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45" w:rsidRDefault="004731A0">
      <w:r w:rsidRPr="004731A0">
        <w:rPr>
          <w:noProof/>
        </w:rPr>
        <w:drawing>
          <wp:inline distT="0" distB="0" distL="0" distR="0">
            <wp:extent cx="6086475" cy="1085850"/>
            <wp:effectExtent l="19050" t="0" r="0" b="0"/>
            <wp:docPr id="11" name="Object 1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507705" cy="1371600"/>
                      <a:chOff x="685799" y="533400"/>
                      <a:chExt cx="7507705" cy="1371600"/>
                    </a:xfrm>
                  </a:grpSpPr>
                  <a:sp>
                    <a:nvSpPr>
                      <a:cNvPr id="4" name="Rectangle 3"/>
                      <a:cNvSpPr/>
                    </a:nvSpPr>
                    <a:spPr>
                      <a:xfrm>
                        <a:off x="685799" y="533400"/>
                        <a:ext cx="7507705" cy="13716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7000">
                            <a:srgbClr val="A73327"/>
                          </a:gs>
                          <a:gs pos="57000">
                            <a:schemeClr val="accent6">
                              <a:lumMod val="75000"/>
                              <a:shade val="67500"/>
                              <a:satMod val="115000"/>
                            </a:schemeClr>
                          </a:gs>
                          <a:gs pos="40000">
                            <a:schemeClr val="bg1"/>
                          </a:gs>
                        </a:gsLst>
                        <a:path path="circle">
                          <a:fillToRect t="100000" r="100000"/>
                        </a:path>
                        <a:tileRect l="-100000" b="-100000"/>
                      </a:gradFill>
                      <a:ln w="123825">
                        <a:solidFill>
                          <a:srgbClr val="94330C"/>
                        </a:solidFill>
                        <a:miter lim="800000"/>
                      </a:ln>
                    </a:spPr>
                    <a:txSp>
                      <a:txBody>
                        <a:bodyPr rtlCol="0" anchor="ctr"/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lt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ctr"/>
                          <a:endParaRPr lang="en-US"/>
                        </a:p>
                      </a:txBody>
                      <a:useSpRect/>
                    </a:txSp>
                    <a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a:style>
                  </a:sp>
                  <a:sp>
                    <a:nvSpPr>
                      <a:cNvPr id="6" name="TextBox 5"/>
                      <a:cNvSpPr txBox="1"/>
                    </a:nvSpPr>
                    <a:spPr>
                      <a:xfrm>
                        <a:off x="1828800" y="1524000"/>
                        <a:ext cx="1955132" cy="276999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square" lIns="0" rIns="0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pPr algn="r"/>
                          <a:r>
                            <a:rPr lang="en-US" sz="1200" b="1" dirty="0" smtClean="0">
                              <a:solidFill>
                                <a:schemeClr val="bg2">
                                  <a:lumMod val="50000"/>
                                </a:schemeClr>
                              </a:solidFill>
                            </a:rPr>
                            <a:t>www.bazelon.org</a:t>
                          </a:r>
                          <a:endParaRPr lang="en-US" sz="1200" b="1" dirty="0">
                            <a:solidFill>
                              <a:schemeClr val="bg2">
                                <a:lumMod val="50000"/>
                              </a:schemeClr>
                            </a:solidFill>
                          </a:endParaRPr>
                        </a:p>
                      </a:txBody>
                      <a:useSpRect/>
                    </a:txSp>
                  </a:sp>
                  <a:sp>
                    <a:nvSpPr>
                      <a:cNvPr id="7" name="TextBox 6"/>
                      <a:cNvSpPr txBox="1"/>
                    </a:nvSpPr>
                    <a:spPr>
                      <a:xfrm>
                        <a:off x="838200" y="685800"/>
                        <a:ext cx="2971800" cy="914400"/>
                      </a:xfrm>
                      <a:prstGeom prst="rect">
                        <a:avLst/>
                      </a:prstGeom>
                      <a:noFill/>
                    </a:spPr>
                    <a:txSp>
                      <a:txBody>
                        <a:bodyPr wrap="none" lIns="0" rIns="0" rtlCol="0">
                          <a:noAutofit/>
                        </a:bodyPr>
                        <a:lstStyle>
                          <a:defPPr>
                            <a:defRPr lang="en-US"/>
                          </a:defPPr>
                          <a:lvl1pPr marL="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9144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n-US" sz="1500" b="1" dirty="0" smtClean="0">
                              <a:solidFill>
                                <a:srgbClr val="6F6741"/>
                              </a:solidFill>
                            </a:rPr>
                            <a:t> Judge David L. </a:t>
                          </a:r>
                        </a:p>
                        <a:p>
                          <a:pPr algn="just"/>
                          <a:r>
                            <a:rPr lang="en-US" sz="2600" dirty="0" smtClean="0">
                              <a:solidFill>
                                <a:schemeClr val="bg2">
                                  <a:lumMod val="10000"/>
                                </a:schemeClr>
                              </a:solidFill>
                              <a:latin typeface="Georgia" pitchFamily="18" charset="0"/>
                            </a:rPr>
                            <a:t>BAZELON CENTER</a:t>
                          </a:r>
                        </a:p>
                        <a:p>
                          <a:pPr algn="r"/>
                          <a:r>
                            <a:rPr lang="en-US" sz="1600" b="1" dirty="0" smtClean="0">
                              <a:solidFill>
                                <a:srgbClr val="6F6741"/>
                              </a:solidFill>
                            </a:rPr>
                            <a:t>for Mental Health Law </a:t>
                          </a:r>
                        </a:p>
                        <a:p>
                          <a:endParaRPr lang="en-US" sz="1600" dirty="0">
                            <a:latin typeface="Baskerville Old Face" pitchFamily="18" charset="0"/>
                          </a:endParaRPr>
                        </a:p>
                      </a:txBody>
                      <a:useSpRect/>
                    </a:txSp>
                  </a:sp>
                </lc:lockedCanvas>
              </a:graphicData>
            </a:graphic>
          </wp:inline>
        </w:drawing>
      </w:r>
    </w:p>
    <w:p w:rsidR="00BE34C5" w:rsidRDefault="00BE34C5" w:rsidP="00BE34C5">
      <w:pPr>
        <w:ind w:left="180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 xml:space="preserve">   </w:t>
      </w:r>
    </w:p>
    <w:p w:rsidR="00BE34C5" w:rsidRPr="00BE34C5" w:rsidRDefault="00BE34C5" w:rsidP="00BE34C5">
      <w:pPr>
        <w:ind w:left="18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E34C5">
        <w:rPr>
          <w:rFonts w:ascii="Times New Roman" w:hAnsi="Times New Roman" w:cs="Times New Roman"/>
          <w:b/>
          <w:sz w:val="44"/>
          <w:szCs w:val="44"/>
        </w:rPr>
        <w:t>Bazelon Center Seeks Experienced Attorney</w:t>
      </w:r>
    </w:p>
    <w:p w:rsidR="00BE34C5" w:rsidRPr="00BE34C5" w:rsidRDefault="00815CBA" w:rsidP="00BE34C5">
      <w:pPr>
        <w:ind w:left="180"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January</w:t>
      </w:r>
      <w:r w:rsidR="002F2F68">
        <w:rPr>
          <w:rFonts w:ascii="Times New Roman" w:hAnsi="Times New Roman" w:cs="Times New Roman"/>
        </w:rPr>
        <w:t xml:space="preserve"> </w:t>
      </w:r>
      <w:r w:rsidR="00292E44">
        <w:rPr>
          <w:rFonts w:ascii="Times New Roman" w:hAnsi="Times New Roman" w:cs="Times New Roman"/>
        </w:rPr>
        <w:t>1</w:t>
      </w:r>
      <w:r w:rsidR="008B24C7">
        <w:rPr>
          <w:rFonts w:ascii="Times New Roman" w:hAnsi="Times New Roman" w:cs="Times New Roman"/>
        </w:rPr>
        <w:t>9</w:t>
      </w:r>
      <w:r w:rsidR="00292E44">
        <w:rPr>
          <w:rFonts w:ascii="Times New Roman" w:hAnsi="Times New Roman" w:cs="Times New Roman"/>
        </w:rPr>
        <w:t>,</w:t>
      </w:r>
      <w:r w:rsidR="00BE34C5">
        <w:rPr>
          <w:rFonts w:ascii="Times New Roman" w:hAnsi="Times New Roman" w:cs="Times New Roman"/>
        </w:rPr>
        <w:t xml:space="preserve"> 201</w:t>
      </w:r>
      <w:r w:rsidR="00292E44">
        <w:rPr>
          <w:rFonts w:ascii="Times New Roman" w:hAnsi="Times New Roman" w:cs="Times New Roman"/>
        </w:rPr>
        <w:t>1</w:t>
      </w:r>
      <w:r w:rsidR="00BE34C5">
        <w:rPr>
          <w:rFonts w:ascii="Times New Roman" w:hAnsi="Times New Roman" w:cs="Times New Roman"/>
        </w:rPr>
        <w:t xml:space="preserve"> -- </w:t>
      </w:r>
      <w:r w:rsidR="00BE34C5" w:rsidRPr="00BE34C5">
        <w:rPr>
          <w:rFonts w:ascii="Times New Roman" w:hAnsi="Times New Roman" w:cs="Times New Roman"/>
        </w:rPr>
        <w:t xml:space="preserve">The Judge David L. Bazelon Center for Mental Health Law seeks an attorney </w:t>
      </w:r>
      <w:r w:rsidR="00C52272">
        <w:rPr>
          <w:rFonts w:ascii="Times New Roman" w:hAnsi="Times New Roman" w:cs="Times New Roman"/>
        </w:rPr>
        <w:t xml:space="preserve">with at least 5-7 years of experience </w:t>
      </w:r>
      <w:r w:rsidR="00BE34C5" w:rsidRPr="00BE34C5">
        <w:rPr>
          <w:rFonts w:ascii="Times New Roman" w:hAnsi="Times New Roman" w:cs="Times New Roman"/>
        </w:rPr>
        <w:t xml:space="preserve">to </w:t>
      </w:r>
      <w:r w:rsidR="001A2BD6">
        <w:rPr>
          <w:rFonts w:ascii="Times New Roman" w:hAnsi="Times New Roman" w:cs="Times New Roman"/>
        </w:rPr>
        <w:t xml:space="preserve">help develop and litigate </w:t>
      </w:r>
      <w:r w:rsidR="00BE34C5" w:rsidRPr="00BE34C5">
        <w:rPr>
          <w:rFonts w:ascii="Times New Roman" w:hAnsi="Times New Roman" w:cs="Times New Roman"/>
        </w:rPr>
        <w:t xml:space="preserve">ground-breaking </w:t>
      </w:r>
      <w:r w:rsidR="001A2BD6">
        <w:rPr>
          <w:rFonts w:ascii="Times New Roman" w:hAnsi="Times New Roman" w:cs="Times New Roman"/>
        </w:rPr>
        <w:t xml:space="preserve">cases </w:t>
      </w:r>
      <w:r w:rsidR="00C52272">
        <w:rPr>
          <w:rFonts w:ascii="Times New Roman" w:hAnsi="Times New Roman" w:cs="Times New Roman"/>
        </w:rPr>
        <w:t xml:space="preserve">that </w:t>
      </w:r>
      <w:r w:rsidR="00BE34C5" w:rsidRPr="00BE34C5">
        <w:rPr>
          <w:rFonts w:ascii="Times New Roman" w:hAnsi="Times New Roman" w:cs="Times New Roman"/>
        </w:rPr>
        <w:t>advanc</w:t>
      </w:r>
      <w:r w:rsidR="00C52272">
        <w:rPr>
          <w:rFonts w:ascii="Times New Roman" w:hAnsi="Times New Roman" w:cs="Times New Roman"/>
        </w:rPr>
        <w:t xml:space="preserve">e </w:t>
      </w:r>
      <w:r w:rsidR="00BE34C5" w:rsidRPr="00BE34C5">
        <w:rPr>
          <w:rFonts w:ascii="Times New Roman" w:hAnsi="Times New Roman" w:cs="Times New Roman"/>
        </w:rPr>
        <w:t xml:space="preserve">the rights of </w:t>
      </w:r>
      <w:r w:rsidR="001A2BD6">
        <w:rPr>
          <w:rFonts w:ascii="Times New Roman" w:hAnsi="Times New Roman" w:cs="Times New Roman"/>
        </w:rPr>
        <w:t xml:space="preserve">adults and children </w:t>
      </w:r>
      <w:r w:rsidR="00BE34C5" w:rsidRPr="00BE34C5">
        <w:rPr>
          <w:rFonts w:ascii="Times New Roman" w:hAnsi="Times New Roman" w:cs="Times New Roman"/>
        </w:rPr>
        <w:t>with mental disabilities</w:t>
      </w:r>
      <w:r w:rsidR="00C52272">
        <w:rPr>
          <w:rFonts w:ascii="Times New Roman" w:hAnsi="Times New Roman" w:cs="Times New Roman"/>
        </w:rPr>
        <w:t xml:space="preserve">.  </w:t>
      </w:r>
      <w:r w:rsidR="00BE34C5" w:rsidRPr="00BE34C5">
        <w:rPr>
          <w:rFonts w:ascii="Times New Roman" w:hAnsi="Times New Roman" w:cs="Times New Roman"/>
        </w:rPr>
        <w:t>The Center, a national advocacy organization founded in 1972, is a leader in promoting community integration and self-determination for people with mental disabilities</w:t>
      </w:r>
      <w:r w:rsidR="00C52272">
        <w:rPr>
          <w:rFonts w:ascii="Times New Roman" w:hAnsi="Times New Roman" w:cs="Times New Roman"/>
        </w:rPr>
        <w:t xml:space="preserve">, including by reforming public service systems.  </w:t>
      </w:r>
      <w:r w:rsidR="00BE34C5" w:rsidRPr="00BE34C5">
        <w:rPr>
          <w:rFonts w:ascii="Times New Roman" w:hAnsi="Times New Roman" w:cs="Times New Roman"/>
        </w:rPr>
        <w:t xml:space="preserve">The Center’s staff includes </w:t>
      </w:r>
      <w:r w:rsidR="00C95E72">
        <w:rPr>
          <w:rFonts w:ascii="Times New Roman" w:hAnsi="Times New Roman" w:cs="Times New Roman"/>
        </w:rPr>
        <w:t>six</w:t>
      </w:r>
      <w:r w:rsidR="00BE34C5" w:rsidRPr="00BE34C5">
        <w:rPr>
          <w:rFonts w:ascii="Times New Roman" w:hAnsi="Times New Roman" w:cs="Times New Roman"/>
        </w:rPr>
        <w:t xml:space="preserve"> lawyers, </w:t>
      </w:r>
      <w:r w:rsidR="00C95E72">
        <w:rPr>
          <w:rFonts w:ascii="Times New Roman" w:hAnsi="Times New Roman" w:cs="Times New Roman"/>
        </w:rPr>
        <w:t xml:space="preserve">four </w:t>
      </w:r>
      <w:r w:rsidR="00BE34C5" w:rsidRPr="00BE34C5">
        <w:rPr>
          <w:rFonts w:ascii="Times New Roman" w:hAnsi="Times New Roman" w:cs="Times New Roman"/>
        </w:rPr>
        <w:t xml:space="preserve">policy advocates, and other professionals.  </w:t>
      </w:r>
    </w:p>
    <w:p w:rsidR="00BE34C5" w:rsidRPr="00BE34C5" w:rsidRDefault="00BE34C5" w:rsidP="00BE34C5">
      <w:pPr>
        <w:ind w:left="180" w:firstLine="540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 xml:space="preserve">Current litigation priorities include: implementing the Americans with Disabilities Act’s integration mandate, preventing the incarceration of individuals with mental illnesses, </w:t>
      </w:r>
      <w:r w:rsidR="001A2BD6">
        <w:rPr>
          <w:rFonts w:ascii="Times New Roman" w:hAnsi="Times New Roman" w:cs="Times New Roman"/>
        </w:rPr>
        <w:t xml:space="preserve">securing a quality education for children with emotional disturbance, </w:t>
      </w:r>
      <w:r w:rsidRPr="00BE34C5">
        <w:rPr>
          <w:rFonts w:ascii="Times New Roman" w:hAnsi="Times New Roman" w:cs="Times New Roman"/>
        </w:rPr>
        <w:t xml:space="preserve">and </w:t>
      </w:r>
      <w:r w:rsidR="001A2BD6">
        <w:rPr>
          <w:rFonts w:ascii="Times New Roman" w:hAnsi="Times New Roman" w:cs="Times New Roman"/>
        </w:rPr>
        <w:t xml:space="preserve">enforcing entitlements under the Medicaid Act.  </w:t>
      </w:r>
      <w:r w:rsidRPr="00BE34C5">
        <w:rPr>
          <w:rFonts w:ascii="Times New Roman" w:hAnsi="Times New Roman" w:cs="Times New Roman"/>
        </w:rPr>
        <w:t xml:space="preserve"> </w:t>
      </w:r>
      <w:r w:rsidR="00520601">
        <w:rPr>
          <w:rFonts w:ascii="Times New Roman" w:hAnsi="Times New Roman" w:cs="Times New Roman"/>
        </w:rPr>
        <w:t>In addition to working in trial courts,</w:t>
      </w:r>
      <w:r w:rsidR="00C52272">
        <w:rPr>
          <w:rFonts w:ascii="Times New Roman" w:hAnsi="Times New Roman" w:cs="Times New Roman"/>
        </w:rPr>
        <w:t xml:space="preserve"> Center </w:t>
      </w:r>
      <w:r w:rsidRPr="00BE34C5">
        <w:rPr>
          <w:rFonts w:ascii="Times New Roman" w:hAnsi="Times New Roman" w:cs="Times New Roman"/>
        </w:rPr>
        <w:t>attorn</w:t>
      </w:r>
      <w:r w:rsidR="00C52272">
        <w:rPr>
          <w:rFonts w:ascii="Times New Roman" w:hAnsi="Times New Roman" w:cs="Times New Roman"/>
        </w:rPr>
        <w:t xml:space="preserve">eys are engaged in </w:t>
      </w:r>
      <w:r w:rsidRPr="00BE34C5">
        <w:rPr>
          <w:rFonts w:ascii="Times New Roman" w:hAnsi="Times New Roman" w:cs="Times New Roman"/>
        </w:rPr>
        <w:t xml:space="preserve">Supreme Court and other appellate </w:t>
      </w:r>
      <w:r w:rsidR="00C52272">
        <w:rPr>
          <w:rFonts w:ascii="Times New Roman" w:hAnsi="Times New Roman" w:cs="Times New Roman"/>
        </w:rPr>
        <w:t xml:space="preserve">advocacy, </w:t>
      </w:r>
      <w:r w:rsidRPr="00BE34C5">
        <w:rPr>
          <w:rFonts w:ascii="Times New Roman" w:hAnsi="Times New Roman" w:cs="Times New Roman"/>
        </w:rPr>
        <w:t xml:space="preserve">lobby federal agencies, and </w:t>
      </w:r>
      <w:r w:rsidR="00C52272">
        <w:rPr>
          <w:rFonts w:ascii="Times New Roman" w:hAnsi="Times New Roman" w:cs="Times New Roman"/>
        </w:rPr>
        <w:t xml:space="preserve">provide </w:t>
      </w:r>
      <w:r w:rsidR="004278F6">
        <w:rPr>
          <w:rFonts w:ascii="Times New Roman" w:hAnsi="Times New Roman" w:cs="Times New Roman"/>
        </w:rPr>
        <w:t xml:space="preserve">support to </w:t>
      </w:r>
      <w:r w:rsidRPr="00BE34C5">
        <w:rPr>
          <w:rFonts w:ascii="Times New Roman" w:hAnsi="Times New Roman" w:cs="Times New Roman"/>
        </w:rPr>
        <w:t>state-based advoca</w:t>
      </w:r>
      <w:r w:rsidR="00520601">
        <w:rPr>
          <w:rFonts w:ascii="Times New Roman" w:hAnsi="Times New Roman" w:cs="Times New Roman"/>
        </w:rPr>
        <w:t>cy organizations</w:t>
      </w:r>
      <w:r w:rsidRPr="00BE34C5">
        <w:rPr>
          <w:rFonts w:ascii="Times New Roman" w:hAnsi="Times New Roman" w:cs="Times New Roman"/>
        </w:rPr>
        <w:t>.</w:t>
      </w:r>
    </w:p>
    <w:p w:rsidR="00BE34C5" w:rsidRPr="00BE34C5" w:rsidRDefault="00BE34C5" w:rsidP="00BE34C5">
      <w:pPr>
        <w:ind w:left="180" w:firstLine="540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 xml:space="preserve">Applicants should have a </w:t>
      </w:r>
      <w:r w:rsidR="00C52272">
        <w:rPr>
          <w:rFonts w:ascii="Times New Roman" w:hAnsi="Times New Roman" w:cs="Times New Roman"/>
        </w:rPr>
        <w:t xml:space="preserve">strong </w:t>
      </w:r>
      <w:r w:rsidRPr="00BE34C5">
        <w:rPr>
          <w:rFonts w:ascii="Times New Roman" w:hAnsi="Times New Roman" w:cs="Times New Roman"/>
        </w:rPr>
        <w:t xml:space="preserve">commitment to </w:t>
      </w:r>
      <w:r w:rsidR="00EE1957">
        <w:rPr>
          <w:rFonts w:ascii="Times New Roman" w:hAnsi="Times New Roman" w:cs="Times New Roman"/>
        </w:rPr>
        <w:t xml:space="preserve">civil rights, </w:t>
      </w:r>
      <w:r w:rsidRPr="00BE34C5">
        <w:rPr>
          <w:rFonts w:ascii="Times New Roman" w:hAnsi="Times New Roman" w:cs="Times New Roman"/>
        </w:rPr>
        <w:t>as well as excellent analytic and writing skills.  A background in public interest law</w:t>
      </w:r>
      <w:r w:rsidR="00520601">
        <w:rPr>
          <w:rFonts w:ascii="Times New Roman" w:hAnsi="Times New Roman" w:cs="Times New Roman"/>
        </w:rPr>
        <w:t xml:space="preserve">, especially disability law, </w:t>
      </w:r>
      <w:r w:rsidRPr="00BE34C5">
        <w:rPr>
          <w:rFonts w:ascii="Times New Roman" w:hAnsi="Times New Roman" w:cs="Times New Roman"/>
        </w:rPr>
        <w:t xml:space="preserve">is preferred.  </w:t>
      </w:r>
    </w:p>
    <w:p w:rsidR="00BE34C5" w:rsidRDefault="00BE34C5" w:rsidP="00B23D4D">
      <w:pPr>
        <w:ind w:left="180" w:firstLine="540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>Salary depends on qualifications and experience.  Excellent benefits</w:t>
      </w:r>
      <w:r w:rsidR="00022501">
        <w:rPr>
          <w:rFonts w:ascii="Times New Roman" w:hAnsi="Times New Roman" w:cs="Times New Roman"/>
        </w:rPr>
        <w:t>, including flexible schedule</w:t>
      </w:r>
      <w:r w:rsidR="00C52272">
        <w:rPr>
          <w:rFonts w:ascii="Times New Roman" w:hAnsi="Times New Roman" w:cs="Times New Roman"/>
        </w:rPr>
        <w:t>.</w:t>
      </w:r>
      <w:r w:rsidRPr="00BE34C5">
        <w:rPr>
          <w:rFonts w:ascii="Times New Roman" w:hAnsi="Times New Roman" w:cs="Times New Roman"/>
        </w:rPr>
        <w:t xml:space="preserve">  Individuals with disabilities and members of </w:t>
      </w:r>
      <w:r w:rsidR="00C52272">
        <w:rPr>
          <w:rFonts w:ascii="Times New Roman" w:hAnsi="Times New Roman" w:cs="Times New Roman"/>
        </w:rPr>
        <w:t xml:space="preserve">other </w:t>
      </w:r>
      <w:r w:rsidRPr="00BE34C5">
        <w:rPr>
          <w:rFonts w:ascii="Times New Roman" w:hAnsi="Times New Roman" w:cs="Times New Roman"/>
        </w:rPr>
        <w:t xml:space="preserve">minority groups are encouraged to apply.  To apply, please submit a resume, a list of references, and two writing samples </w:t>
      </w:r>
      <w:r w:rsidR="00B23D4D">
        <w:rPr>
          <w:rFonts w:ascii="Times New Roman" w:hAnsi="Times New Roman" w:cs="Times New Roman"/>
        </w:rPr>
        <w:t xml:space="preserve">to: </w:t>
      </w:r>
    </w:p>
    <w:p w:rsidR="00B23D4D" w:rsidRDefault="00BE34C5" w:rsidP="00455A23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>Ira Burnim, Legal Director</w:t>
      </w:r>
    </w:p>
    <w:p w:rsidR="00BE34C5" w:rsidRPr="00BE34C5" w:rsidRDefault="00BE34C5" w:rsidP="00455A23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>Bazelon Center for Mental Health Law</w:t>
      </w:r>
    </w:p>
    <w:p w:rsidR="00BE34C5" w:rsidRPr="00BE34C5" w:rsidRDefault="00BE34C5" w:rsidP="00455A23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>1101 15th Street, N.W., Suite 1212</w:t>
      </w:r>
    </w:p>
    <w:p w:rsidR="00BE34C5" w:rsidRPr="00BE34C5" w:rsidRDefault="00BE34C5" w:rsidP="00455A23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>Washington, D.C.  20005</w:t>
      </w:r>
    </w:p>
    <w:p w:rsidR="00BE34C5" w:rsidRDefault="00455A23" w:rsidP="00455A23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  <w:r w:rsidRPr="00455A23">
        <w:rPr>
          <w:rFonts w:ascii="Times New Roman" w:hAnsi="Times New Roman" w:cs="Times New Roman"/>
        </w:rPr>
        <w:t>irab@bazelon.org</w:t>
      </w:r>
    </w:p>
    <w:p w:rsidR="00455A23" w:rsidRPr="00BE34C5" w:rsidRDefault="00455A23" w:rsidP="00455A23">
      <w:pPr>
        <w:spacing w:after="0" w:line="240" w:lineRule="auto"/>
        <w:ind w:left="187"/>
        <w:jc w:val="center"/>
        <w:rPr>
          <w:rFonts w:ascii="Times New Roman" w:hAnsi="Times New Roman" w:cs="Times New Roman"/>
        </w:rPr>
      </w:pPr>
    </w:p>
    <w:p w:rsidR="00403520" w:rsidRPr="00BE34C5" w:rsidRDefault="00EE1957" w:rsidP="00EE1957">
      <w:pPr>
        <w:spacing w:line="240" w:lineRule="auto"/>
        <w:ind w:left="180" w:firstLine="540"/>
        <w:rPr>
          <w:rFonts w:ascii="Times New Roman" w:hAnsi="Times New Roman" w:cs="Times New Roman"/>
        </w:rPr>
      </w:pPr>
      <w:r w:rsidRPr="00BE34C5">
        <w:rPr>
          <w:rFonts w:ascii="Times New Roman" w:hAnsi="Times New Roman" w:cs="Times New Roman"/>
        </w:rPr>
        <w:t xml:space="preserve">Applications will be accepted until the position is filled.  </w:t>
      </w:r>
      <w:r w:rsidR="00C95E72">
        <w:rPr>
          <w:rFonts w:ascii="Times New Roman" w:hAnsi="Times New Roman" w:cs="Times New Roman"/>
        </w:rPr>
        <w:t xml:space="preserve">The job remains open if listed at </w:t>
      </w:r>
      <w:hyperlink r:id="rId5" w:history="1">
        <w:r w:rsidRPr="00781DC9">
          <w:rPr>
            <w:rStyle w:val="Hyperlink"/>
            <w:rFonts w:ascii="Times New Roman" w:hAnsi="Times New Roman" w:cs="Times New Roman"/>
          </w:rPr>
          <w:t>http://bazelon.org/Who-We-Are/Careers-andInternships.aspx</w:t>
        </w:r>
      </w:hyperlink>
      <w:r w:rsidR="00455A23">
        <w:rPr>
          <w:rFonts w:ascii="Times New Roman" w:hAnsi="Times New Roman" w:cs="Times New Roman"/>
        </w:rPr>
        <w:t>.</w:t>
      </w:r>
    </w:p>
    <w:sectPr w:rsidR="00403520" w:rsidRPr="00BE34C5" w:rsidSect="004731A0">
      <w:pgSz w:w="12240" w:h="15840"/>
      <w:pgMar w:top="1440" w:right="144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717A5"/>
    <w:rsid w:val="00022501"/>
    <w:rsid w:val="00025AB6"/>
    <w:rsid w:val="00044891"/>
    <w:rsid w:val="000C435E"/>
    <w:rsid w:val="000E6647"/>
    <w:rsid w:val="00165D23"/>
    <w:rsid w:val="001A2BD6"/>
    <w:rsid w:val="001C030F"/>
    <w:rsid w:val="00225BBF"/>
    <w:rsid w:val="00292E44"/>
    <w:rsid w:val="002F2F68"/>
    <w:rsid w:val="00334448"/>
    <w:rsid w:val="00347514"/>
    <w:rsid w:val="003651BF"/>
    <w:rsid w:val="00403520"/>
    <w:rsid w:val="00411A1A"/>
    <w:rsid w:val="00426A38"/>
    <w:rsid w:val="004278F6"/>
    <w:rsid w:val="00455A23"/>
    <w:rsid w:val="004731A0"/>
    <w:rsid w:val="00491DBA"/>
    <w:rsid w:val="004D1421"/>
    <w:rsid w:val="004D79FC"/>
    <w:rsid w:val="004E5BFB"/>
    <w:rsid w:val="00503A24"/>
    <w:rsid w:val="0050714B"/>
    <w:rsid w:val="00520601"/>
    <w:rsid w:val="00551932"/>
    <w:rsid w:val="00562566"/>
    <w:rsid w:val="005717A5"/>
    <w:rsid w:val="006E63AF"/>
    <w:rsid w:val="00723A34"/>
    <w:rsid w:val="007B3123"/>
    <w:rsid w:val="00815CBA"/>
    <w:rsid w:val="00850BD6"/>
    <w:rsid w:val="0085478A"/>
    <w:rsid w:val="00864A22"/>
    <w:rsid w:val="008B24C7"/>
    <w:rsid w:val="008C4F59"/>
    <w:rsid w:val="009A6C45"/>
    <w:rsid w:val="00A93BF0"/>
    <w:rsid w:val="00AB3FC5"/>
    <w:rsid w:val="00AC530F"/>
    <w:rsid w:val="00B23D4D"/>
    <w:rsid w:val="00B65CBD"/>
    <w:rsid w:val="00B719EF"/>
    <w:rsid w:val="00BA3A95"/>
    <w:rsid w:val="00BE34C5"/>
    <w:rsid w:val="00C41F9C"/>
    <w:rsid w:val="00C52272"/>
    <w:rsid w:val="00C56079"/>
    <w:rsid w:val="00C6567D"/>
    <w:rsid w:val="00C9427E"/>
    <w:rsid w:val="00C95E72"/>
    <w:rsid w:val="00D17072"/>
    <w:rsid w:val="00D369EA"/>
    <w:rsid w:val="00D46C51"/>
    <w:rsid w:val="00D94039"/>
    <w:rsid w:val="00DC03EC"/>
    <w:rsid w:val="00DD1CB7"/>
    <w:rsid w:val="00DE4E82"/>
    <w:rsid w:val="00E02472"/>
    <w:rsid w:val="00E547B8"/>
    <w:rsid w:val="00E634C4"/>
    <w:rsid w:val="00E92F2C"/>
    <w:rsid w:val="00EE1957"/>
    <w:rsid w:val="00F004A8"/>
    <w:rsid w:val="00FC2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17A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46C5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azelon.org/Who-We-Are/Careers-andInternships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F6A9B-03D5-4D6E-808C-D70E13228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robertb</dc:creator>
  <cp:lastModifiedBy>irab</cp:lastModifiedBy>
  <cp:revision>6</cp:revision>
  <cp:lastPrinted>2011-11-01T22:15:00Z</cp:lastPrinted>
  <dcterms:created xsi:type="dcterms:W3CDTF">2012-01-10T22:40:00Z</dcterms:created>
  <dcterms:modified xsi:type="dcterms:W3CDTF">2012-01-19T22:09:00Z</dcterms:modified>
</cp:coreProperties>
</file>