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68" w:rsidRPr="00680468" w:rsidRDefault="00680468" w:rsidP="00680468">
      <w:pPr>
        <w:pStyle w:val="StyleHeading1Left"/>
        <w:rPr>
          <w:rFonts w:cs="Arial"/>
        </w:rPr>
      </w:pPr>
      <w:r w:rsidRPr="00680468">
        <w:rPr>
          <w:rFonts w:cs="Arial"/>
        </w:rPr>
        <w:t>For Immediate Release</w:t>
      </w:r>
    </w:p>
    <w:p w:rsidR="00680468" w:rsidRPr="00680468" w:rsidRDefault="00680468" w:rsidP="00680468">
      <w:pPr>
        <w:pStyle w:val="Heading1"/>
        <w:jc w:val="right"/>
        <w:rPr>
          <w:rFonts w:ascii="Arial" w:hAnsi="Arial" w:cs="Arial"/>
        </w:rPr>
      </w:pPr>
      <w:r w:rsidRPr="00680468">
        <w:rPr>
          <w:rFonts w:ascii="Arial" w:hAnsi="Arial" w:cs="Arial"/>
        </w:rPr>
        <w:t>Contact:</w:t>
      </w:r>
    </w:p>
    <w:p w:rsidR="00680468" w:rsidRPr="00680468" w:rsidRDefault="00680468" w:rsidP="00680468">
      <w:pPr>
        <w:jc w:val="right"/>
        <w:rPr>
          <w:rFonts w:ascii="Arial" w:hAnsi="Arial" w:cs="Arial"/>
        </w:rPr>
      </w:pPr>
      <w:r w:rsidRPr="00680468">
        <w:rPr>
          <w:rFonts w:ascii="Arial" w:hAnsi="Arial" w:cs="Arial"/>
        </w:rPr>
        <w:t>Ashley Biggs</w:t>
      </w:r>
    </w:p>
    <w:p w:rsidR="00680468" w:rsidRPr="00680468" w:rsidRDefault="00680468" w:rsidP="00680468">
      <w:pPr>
        <w:jc w:val="right"/>
        <w:rPr>
          <w:rFonts w:ascii="Arial" w:hAnsi="Arial" w:cs="Arial"/>
        </w:rPr>
      </w:pPr>
      <w:r w:rsidRPr="00680468">
        <w:rPr>
          <w:rFonts w:ascii="Arial" w:hAnsi="Arial" w:cs="Arial"/>
        </w:rPr>
        <w:t xml:space="preserve">Maryland State Library for the </w:t>
      </w:r>
    </w:p>
    <w:p w:rsidR="00680468" w:rsidRPr="00680468" w:rsidRDefault="00680468" w:rsidP="00680468">
      <w:pPr>
        <w:jc w:val="right"/>
        <w:rPr>
          <w:rFonts w:ascii="Arial" w:hAnsi="Arial" w:cs="Arial"/>
        </w:rPr>
      </w:pPr>
      <w:r w:rsidRPr="00680468">
        <w:rPr>
          <w:rFonts w:ascii="Arial" w:hAnsi="Arial" w:cs="Arial"/>
        </w:rPr>
        <w:t>Blind and Physically Handicapped</w:t>
      </w:r>
    </w:p>
    <w:p w:rsidR="00680468" w:rsidRPr="00680468" w:rsidRDefault="00680468" w:rsidP="00680468">
      <w:pPr>
        <w:jc w:val="right"/>
        <w:rPr>
          <w:rFonts w:ascii="Arial" w:hAnsi="Arial" w:cs="Arial"/>
        </w:rPr>
      </w:pPr>
      <w:r w:rsidRPr="00680468">
        <w:rPr>
          <w:rFonts w:ascii="Arial" w:hAnsi="Arial" w:cs="Arial"/>
        </w:rPr>
        <w:t>410-230-2430 | 667-209-1563</w:t>
      </w:r>
    </w:p>
    <w:p w:rsidR="00680468" w:rsidRPr="00680468" w:rsidRDefault="005C47EF" w:rsidP="00680468">
      <w:pPr>
        <w:jc w:val="right"/>
        <w:rPr>
          <w:rFonts w:ascii="Arial" w:hAnsi="Arial" w:cs="Arial"/>
        </w:rPr>
      </w:pPr>
      <w:hyperlink r:id="rId7" w:history="1">
        <w:r w:rsidR="00680468" w:rsidRPr="00680468">
          <w:rPr>
            <w:rStyle w:val="Hyperlink"/>
            <w:rFonts w:ascii="Arial" w:hAnsi="Arial" w:cs="Arial"/>
          </w:rPr>
          <w:t>Ashley.Biggs1@maryland.gov</w:t>
        </w:r>
      </w:hyperlink>
    </w:p>
    <w:p w:rsidR="00680468" w:rsidRPr="00680468" w:rsidRDefault="005C47EF" w:rsidP="00680468">
      <w:pPr>
        <w:jc w:val="right"/>
        <w:rPr>
          <w:rFonts w:ascii="Arial" w:hAnsi="Arial" w:cs="Arial"/>
        </w:rPr>
      </w:pPr>
      <w:hyperlink r:id="rId8" w:history="1">
        <w:r w:rsidR="00680468" w:rsidRPr="00680468">
          <w:rPr>
            <w:rStyle w:val="Hyperlink"/>
            <w:rFonts w:ascii="Arial" w:hAnsi="Arial" w:cs="Arial"/>
          </w:rPr>
          <w:t>www.lbph.maryland.gov</w:t>
        </w:r>
      </w:hyperlink>
    </w:p>
    <w:p w:rsidR="00680468" w:rsidRPr="00680468" w:rsidRDefault="00680468" w:rsidP="00680468">
      <w:pPr>
        <w:rPr>
          <w:rFonts w:ascii="Arial" w:hAnsi="Arial" w:cs="Arial"/>
        </w:rPr>
      </w:pPr>
    </w:p>
    <w:p w:rsidR="00680468" w:rsidRPr="00680468" w:rsidRDefault="00680468" w:rsidP="00680468">
      <w:pPr>
        <w:rPr>
          <w:rFonts w:ascii="Arial" w:hAnsi="Arial" w:cs="Arial"/>
        </w:rPr>
      </w:pPr>
    </w:p>
    <w:p w:rsidR="00680468" w:rsidRPr="00680468" w:rsidRDefault="00680468" w:rsidP="00680468">
      <w:pPr>
        <w:rPr>
          <w:rFonts w:ascii="Arial" w:eastAsia="Arial Unicode MS" w:hAnsi="Arial" w:cs="Arial"/>
          <w:b/>
          <w:bCs/>
          <w:spacing w:val="-3"/>
          <w:kern w:val="36"/>
        </w:rPr>
      </w:pPr>
      <w:r w:rsidRPr="00680468">
        <w:rPr>
          <w:rFonts w:ascii="Arial" w:eastAsia="Arial Unicode MS" w:hAnsi="Arial" w:cs="Arial"/>
          <w:b/>
          <w:bCs/>
          <w:spacing w:val="-3"/>
          <w:kern w:val="36"/>
        </w:rPr>
        <w:fldChar w:fldCharType="begin"/>
      </w:r>
      <w:r w:rsidRPr="00680468">
        <w:rPr>
          <w:rFonts w:ascii="Arial" w:eastAsia="Arial Unicode MS" w:hAnsi="Arial" w:cs="Arial"/>
          <w:b/>
          <w:bCs/>
          <w:spacing w:val="-3"/>
          <w:kern w:val="36"/>
        </w:rPr>
        <w:instrText xml:space="preserve"> DATE \@ "dddd, MMMM dd, yyyy" </w:instrText>
      </w:r>
      <w:r w:rsidRPr="00680468">
        <w:rPr>
          <w:rFonts w:ascii="Arial" w:eastAsia="Arial Unicode MS" w:hAnsi="Arial" w:cs="Arial"/>
          <w:b/>
          <w:bCs/>
          <w:spacing w:val="-3"/>
          <w:kern w:val="36"/>
        </w:rPr>
        <w:fldChar w:fldCharType="separate"/>
      </w:r>
      <w:r w:rsidR="001A4DF5">
        <w:rPr>
          <w:rFonts w:ascii="Arial" w:eastAsia="Arial Unicode MS" w:hAnsi="Arial" w:cs="Arial"/>
          <w:b/>
          <w:bCs/>
          <w:noProof/>
          <w:spacing w:val="-3"/>
          <w:kern w:val="36"/>
        </w:rPr>
        <w:t>Friday, August 24, 2018</w:t>
      </w:r>
      <w:r w:rsidRPr="00680468">
        <w:rPr>
          <w:rFonts w:ascii="Arial" w:eastAsia="Arial Unicode MS" w:hAnsi="Arial" w:cs="Arial"/>
          <w:b/>
          <w:bCs/>
          <w:spacing w:val="-3"/>
          <w:kern w:val="36"/>
        </w:rPr>
        <w:fldChar w:fldCharType="end"/>
      </w:r>
    </w:p>
    <w:p w:rsidR="00680468" w:rsidRPr="00680468" w:rsidRDefault="00680468" w:rsidP="00680468">
      <w:pPr>
        <w:rPr>
          <w:rFonts w:ascii="Arial" w:hAnsi="Arial" w:cs="Arial"/>
        </w:rPr>
      </w:pPr>
    </w:p>
    <w:p w:rsidR="00680468" w:rsidRPr="00680468" w:rsidRDefault="00680468" w:rsidP="00680468">
      <w:pPr>
        <w:pStyle w:val="Heading1"/>
        <w:rPr>
          <w:rFonts w:ascii="Arial" w:hAnsi="Arial" w:cs="Arial"/>
        </w:rPr>
      </w:pPr>
      <w:r>
        <w:rPr>
          <w:rFonts w:ascii="Arial" w:hAnsi="Arial" w:cs="Arial"/>
        </w:rPr>
        <w:t xml:space="preserve">LBPH to Host Free Teleconference with </w:t>
      </w:r>
      <w:r w:rsidR="005D6F19">
        <w:rPr>
          <w:rFonts w:ascii="Arial" w:hAnsi="Arial" w:cs="Arial"/>
        </w:rPr>
        <w:t xml:space="preserve">the Director of </w:t>
      </w:r>
      <w:r>
        <w:rPr>
          <w:rFonts w:ascii="Arial" w:hAnsi="Arial" w:cs="Arial"/>
        </w:rPr>
        <w:t>the Innocence Project Clinic</w:t>
      </w:r>
      <w:r w:rsidR="00E4653B" w:rsidRPr="005D6F19">
        <w:rPr>
          <w:rFonts w:ascii="Arial" w:hAnsi="Arial" w:cs="Arial"/>
        </w:rPr>
        <w:t>.</w:t>
      </w:r>
    </w:p>
    <w:p w:rsidR="00680468" w:rsidRPr="00680468" w:rsidRDefault="00680468" w:rsidP="00680468">
      <w:pPr>
        <w:pStyle w:val="Heading1"/>
        <w:rPr>
          <w:rFonts w:ascii="Arial" w:hAnsi="Arial" w:cs="Arial"/>
        </w:rPr>
      </w:pPr>
      <w:r>
        <w:rPr>
          <w:rFonts w:ascii="Arial" w:hAnsi="Arial" w:cs="Arial"/>
          <w:noProof/>
        </w:rPr>
        <w:t>Th</w:t>
      </w:r>
      <w:r w:rsidR="00E4653B">
        <w:rPr>
          <w:rFonts w:ascii="Arial" w:hAnsi="Arial" w:cs="Arial"/>
          <w:noProof/>
        </w:rPr>
        <w:t>is</w:t>
      </w:r>
      <w:r>
        <w:rPr>
          <w:rFonts w:ascii="Arial" w:hAnsi="Arial" w:cs="Arial"/>
          <w:noProof/>
        </w:rPr>
        <w:t xml:space="preserve"> event is part of the </w:t>
      </w:r>
      <w:r w:rsidRPr="00E4653B">
        <w:rPr>
          <w:rFonts w:ascii="Arial" w:hAnsi="Arial" w:cs="Arial"/>
          <w:i/>
          <w:noProof/>
        </w:rPr>
        <w:t>One Maryland, One Book</w:t>
      </w:r>
      <w:r w:rsidR="00E4653B">
        <w:rPr>
          <w:rFonts w:ascii="Arial" w:hAnsi="Arial" w:cs="Arial"/>
          <w:noProof/>
        </w:rPr>
        <w:t xml:space="preserve"> reading campaign</w:t>
      </w:r>
      <w:r w:rsidR="00E4653B" w:rsidRPr="005D6F19">
        <w:rPr>
          <w:rFonts w:ascii="Arial" w:hAnsi="Arial" w:cs="Arial"/>
          <w:noProof/>
        </w:rPr>
        <w:t>.</w:t>
      </w:r>
    </w:p>
    <w:p w:rsidR="00680468" w:rsidRPr="00680468" w:rsidRDefault="00680468" w:rsidP="00680468">
      <w:pPr>
        <w:rPr>
          <w:rFonts w:ascii="Arial" w:hAnsi="Arial" w:cs="Arial"/>
        </w:rPr>
      </w:pPr>
    </w:p>
    <w:p w:rsidR="00680468" w:rsidRPr="00680468" w:rsidRDefault="00680468" w:rsidP="00680468">
      <w:pPr>
        <w:pStyle w:val="ListParagraph0"/>
        <w:numPr>
          <w:ilvl w:val="0"/>
          <w:numId w:val="4"/>
        </w:numPr>
        <w:rPr>
          <w:rFonts w:cs="Arial"/>
        </w:rPr>
      </w:pPr>
      <w:r>
        <w:rPr>
          <w:rFonts w:cs="Arial"/>
        </w:rPr>
        <w:t>Attorney Michele Nethercott, Director of the Innocence Project Clinic</w:t>
      </w:r>
      <w:r w:rsidR="00B00F25">
        <w:rPr>
          <w:rFonts w:cs="Arial"/>
        </w:rPr>
        <w:t>,</w:t>
      </w:r>
      <w:r>
        <w:rPr>
          <w:rFonts w:cs="Arial"/>
        </w:rPr>
        <w:t xml:space="preserve"> </w:t>
      </w:r>
      <w:r w:rsidR="00E4653B">
        <w:rPr>
          <w:rFonts w:cs="Arial"/>
        </w:rPr>
        <w:t>will</w:t>
      </w:r>
      <w:r>
        <w:rPr>
          <w:rFonts w:cs="Arial"/>
        </w:rPr>
        <w:t xml:space="preserve"> speak</w:t>
      </w:r>
    </w:p>
    <w:p w:rsidR="00680468" w:rsidRPr="00680468" w:rsidRDefault="00680468" w:rsidP="00680468">
      <w:pPr>
        <w:pStyle w:val="ListParagraph0"/>
        <w:numPr>
          <w:ilvl w:val="0"/>
          <w:numId w:val="4"/>
        </w:numPr>
        <w:rPr>
          <w:rFonts w:cs="Arial"/>
        </w:rPr>
      </w:pPr>
      <w:r w:rsidRPr="00680468">
        <w:rPr>
          <w:rFonts w:cs="Arial"/>
          <w:noProof/>
        </w:rPr>
        <w:t>The program</w:t>
      </w:r>
      <w:r w:rsidRPr="00680468">
        <w:rPr>
          <w:rFonts w:cs="Arial"/>
        </w:rPr>
        <w:t xml:space="preserve"> is hosted via Teleconference and is FREE to all Marylanders</w:t>
      </w:r>
    </w:p>
    <w:p w:rsidR="00680468" w:rsidRPr="00680468" w:rsidRDefault="00680468" w:rsidP="00680468">
      <w:pPr>
        <w:pStyle w:val="ListParagraph0"/>
        <w:numPr>
          <w:ilvl w:val="0"/>
          <w:numId w:val="4"/>
        </w:numPr>
        <w:rPr>
          <w:rFonts w:cs="Arial"/>
        </w:rPr>
      </w:pPr>
      <w:r w:rsidRPr="00680468">
        <w:rPr>
          <w:rFonts w:cs="Arial"/>
          <w:noProof/>
        </w:rPr>
        <w:t>Particular</w:t>
      </w:r>
      <w:r w:rsidRPr="00680468">
        <w:rPr>
          <w:rFonts w:cs="Arial"/>
        </w:rPr>
        <w:t xml:space="preserve"> emphasis on </w:t>
      </w:r>
      <w:r>
        <w:rPr>
          <w:rFonts w:cs="Arial"/>
        </w:rPr>
        <w:t>scientific evidence and its relationship to the wrongfully convicted</w:t>
      </w:r>
    </w:p>
    <w:p w:rsidR="00680468" w:rsidRPr="00680468" w:rsidRDefault="00680468" w:rsidP="00680468">
      <w:pPr>
        <w:rPr>
          <w:rFonts w:ascii="Arial" w:hAnsi="Arial" w:cs="Arial"/>
        </w:rPr>
      </w:pPr>
    </w:p>
    <w:p w:rsidR="00680468" w:rsidRDefault="00680468" w:rsidP="00680468">
      <w:pPr>
        <w:rPr>
          <w:rFonts w:ascii="Arial" w:hAnsi="Arial" w:cs="Arial"/>
        </w:rPr>
      </w:pPr>
      <w:r w:rsidRPr="00680468">
        <w:rPr>
          <w:rStyle w:val="Heading1Char"/>
          <w:rFonts w:ascii="Arial" w:hAnsi="Arial" w:cs="Arial"/>
        </w:rPr>
        <w:t>Baltimore, MD</w:t>
      </w:r>
      <w:r w:rsidRPr="00680468">
        <w:rPr>
          <w:rFonts w:ascii="Arial" w:hAnsi="Arial" w:cs="Arial"/>
        </w:rPr>
        <w:t xml:space="preserve"> – </w:t>
      </w:r>
      <w:r>
        <w:rPr>
          <w:rFonts w:ascii="Arial" w:hAnsi="Arial" w:cs="Arial"/>
        </w:rPr>
        <w:t xml:space="preserve">The Maryland State Library for the Blind and Physically Handicapped </w:t>
      </w:r>
      <w:r w:rsidR="00F86C61">
        <w:rPr>
          <w:rFonts w:ascii="Arial" w:hAnsi="Arial" w:cs="Arial"/>
        </w:rPr>
        <w:t xml:space="preserve">(LBPH) </w:t>
      </w:r>
      <w:r>
        <w:rPr>
          <w:rFonts w:ascii="Arial" w:hAnsi="Arial" w:cs="Arial"/>
        </w:rPr>
        <w:t xml:space="preserve">is excited to announce that it will host a FREE teleconference program with </w:t>
      </w:r>
      <w:r w:rsidR="00E4653B">
        <w:rPr>
          <w:rFonts w:ascii="Arial" w:hAnsi="Arial" w:cs="Arial"/>
        </w:rPr>
        <w:t>attorney Michele Nethercott</w:t>
      </w:r>
      <w:r w:rsidR="00E4653B">
        <w:rPr>
          <w:rFonts w:ascii="Arial" w:hAnsi="Arial" w:cs="Arial"/>
        </w:rPr>
        <w:t>,</w:t>
      </w:r>
      <w:r>
        <w:rPr>
          <w:rFonts w:ascii="Arial" w:hAnsi="Arial" w:cs="Arial"/>
        </w:rPr>
        <w:t xml:space="preserve"> Director of the Innocence Project Clinic</w:t>
      </w:r>
      <w:r w:rsidR="00E4653B">
        <w:rPr>
          <w:rFonts w:ascii="Arial" w:hAnsi="Arial" w:cs="Arial"/>
        </w:rPr>
        <w:t xml:space="preserve"> at the University of Baltimore School of Law</w:t>
      </w:r>
      <w:r>
        <w:rPr>
          <w:rFonts w:ascii="Arial" w:hAnsi="Arial" w:cs="Arial"/>
        </w:rPr>
        <w:t>, focus</w:t>
      </w:r>
      <w:r w:rsidR="00E4653B">
        <w:rPr>
          <w:rFonts w:ascii="Arial" w:hAnsi="Arial" w:cs="Arial"/>
        </w:rPr>
        <w:t>ing</w:t>
      </w:r>
      <w:r>
        <w:rPr>
          <w:rFonts w:ascii="Arial" w:hAnsi="Arial" w:cs="Arial"/>
        </w:rPr>
        <w:t xml:space="preserve"> on the </w:t>
      </w:r>
      <w:r w:rsidRPr="00680468">
        <w:rPr>
          <w:rFonts w:ascii="Arial" w:hAnsi="Arial" w:cs="Arial"/>
          <w:noProof/>
        </w:rPr>
        <w:t>rol</w:t>
      </w:r>
      <w:r>
        <w:rPr>
          <w:rFonts w:ascii="Arial" w:hAnsi="Arial" w:cs="Arial"/>
          <w:noProof/>
        </w:rPr>
        <w:t>e</w:t>
      </w:r>
      <w:r>
        <w:rPr>
          <w:rFonts w:ascii="Arial" w:hAnsi="Arial" w:cs="Arial"/>
        </w:rPr>
        <w:t xml:space="preserve"> </w:t>
      </w:r>
      <w:r w:rsidR="00E4653B">
        <w:rPr>
          <w:rFonts w:ascii="Arial" w:hAnsi="Arial" w:cs="Arial"/>
        </w:rPr>
        <w:t xml:space="preserve">that </w:t>
      </w:r>
      <w:r>
        <w:rPr>
          <w:rFonts w:ascii="Arial" w:hAnsi="Arial" w:cs="Arial"/>
        </w:rPr>
        <w:t xml:space="preserve">science plays in the </w:t>
      </w:r>
      <w:r w:rsidRPr="00680468">
        <w:rPr>
          <w:rFonts w:ascii="Arial" w:hAnsi="Arial" w:cs="Arial"/>
          <w:noProof/>
        </w:rPr>
        <w:t>conviction</w:t>
      </w:r>
      <w:r>
        <w:rPr>
          <w:rFonts w:ascii="Arial" w:hAnsi="Arial" w:cs="Arial"/>
        </w:rPr>
        <w:t xml:space="preserve"> </w:t>
      </w:r>
      <w:r w:rsidR="0096365A">
        <w:rPr>
          <w:rFonts w:ascii="Arial" w:hAnsi="Arial" w:cs="Arial"/>
        </w:rPr>
        <w:t xml:space="preserve">and exoneration </w:t>
      </w:r>
      <w:r>
        <w:rPr>
          <w:rFonts w:ascii="Arial" w:hAnsi="Arial" w:cs="Arial"/>
        </w:rPr>
        <w:t>of defendant</w:t>
      </w:r>
      <w:r w:rsidR="00E4653B">
        <w:rPr>
          <w:rFonts w:ascii="Arial" w:hAnsi="Arial" w:cs="Arial"/>
        </w:rPr>
        <w:t>s</w:t>
      </w:r>
      <w:r>
        <w:rPr>
          <w:rFonts w:ascii="Arial" w:hAnsi="Arial" w:cs="Arial"/>
        </w:rPr>
        <w:t xml:space="preserve"> in criminal cases. The </w:t>
      </w:r>
      <w:r>
        <w:rPr>
          <w:rFonts w:ascii="Arial" w:hAnsi="Arial" w:cs="Arial"/>
          <w:noProof/>
        </w:rPr>
        <w:t>event</w:t>
      </w:r>
      <w:r>
        <w:rPr>
          <w:rFonts w:ascii="Arial" w:hAnsi="Arial" w:cs="Arial"/>
        </w:rPr>
        <w:t xml:space="preserve">, entitled </w:t>
      </w:r>
      <w:r>
        <w:rPr>
          <w:rFonts w:ascii="Arial" w:hAnsi="Arial" w:cs="Arial"/>
          <w:i/>
        </w:rPr>
        <w:t>Righting Wrongs: Scientific Evidence and the Wrongfully Convicted</w:t>
      </w:r>
      <w:r>
        <w:rPr>
          <w:rFonts w:ascii="Arial" w:hAnsi="Arial" w:cs="Arial"/>
        </w:rPr>
        <w:t xml:space="preserve">, is part of </w:t>
      </w:r>
      <w:r w:rsidRPr="00680468">
        <w:rPr>
          <w:rFonts w:ascii="Arial" w:hAnsi="Arial" w:cs="Arial"/>
          <w:noProof/>
        </w:rPr>
        <w:t>a larger</w:t>
      </w:r>
      <w:r>
        <w:rPr>
          <w:rFonts w:ascii="Arial" w:hAnsi="Arial" w:cs="Arial"/>
        </w:rPr>
        <w:t xml:space="preserve"> collaborative effort with </w:t>
      </w:r>
      <w:r w:rsidR="00E4653B">
        <w:rPr>
          <w:rFonts w:ascii="Arial" w:hAnsi="Arial" w:cs="Arial"/>
        </w:rPr>
        <w:t xml:space="preserve">the </w:t>
      </w:r>
      <w:r>
        <w:rPr>
          <w:rFonts w:ascii="Arial" w:hAnsi="Arial" w:cs="Arial"/>
        </w:rPr>
        <w:t xml:space="preserve">Maryland Humanities’ </w:t>
      </w:r>
      <w:r w:rsidRPr="00680468">
        <w:rPr>
          <w:rFonts w:ascii="Arial" w:hAnsi="Arial" w:cs="Arial"/>
          <w:i/>
        </w:rPr>
        <w:t>One Maryland, One Book</w:t>
      </w:r>
      <w:r>
        <w:rPr>
          <w:rFonts w:ascii="Arial" w:hAnsi="Arial" w:cs="Arial"/>
        </w:rPr>
        <w:t xml:space="preserve"> campaign.</w:t>
      </w:r>
    </w:p>
    <w:p w:rsidR="00680468" w:rsidRDefault="00680468" w:rsidP="00680468">
      <w:pPr>
        <w:rPr>
          <w:rFonts w:ascii="Arial" w:hAnsi="Arial" w:cs="Arial"/>
        </w:rPr>
      </w:pPr>
    </w:p>
    <w:p w:rsidR="00680468" w:rsidRDefault="00680468" w:rsidP="00680468">
      <w:pPr>
        <w:rPr>
          <w:rFonts w:ascii="Arial" w:hAnsi="Arial" w:cs="Arial"/>
        </w:rPr>
      </w:pPr>
      <w:r>
        <w:rPr>
          <w:rFonts w:ascii="Arial" w:hAnsi="Arial" w:cs="Arial"/>
        </w:rPr>
        <w:t xml:space="preserve">The </w:t>
      </w:r>
      <w:r w:rsidR="00655E62">
        <w:rPr>
          <w:rFonts w:ascii="Arial" w:hAnsi="Arial" w:cs="Arial"/>
        </w:rPr>
        <w:t xml:space="preserve">theme of the </w:t>
      </w:r>
      <w:r>
        <w:rPr>
          <w:rFonts w:ascii="Arial" w:hAnsi="Arial" w:cs="Arial"/>
          <w:i/>
        </w:rPr>
        <w:t>One Maryland, One Book</w:t>
      </w:r>
      <w:r>
        <w:rPr>
          <w:rFonts w:ascii="Arial" w:hAnsi="Arial" w:cs="Arial"/>
        </w:rPr>
        <w:t xml:space="preserve"> campaign </w:t>
      </w:r>
      <w:r w:rsidR="00655E62">
        <w:rPr>
          <w:rFonts w:ascii="Arial" w:hAnsi="Arial" w:cs="Arial"/>
        </w:rPr>
        <w:t xml:space="preserve">for </w:t>
      </w:r>
      <w:r w:rsidR="00655E62">
        <w:rPr>
          <w:rFonts w:ascii="Arial" w:hAnsi="Arial" w:cs="Arial"/>
        </w:rPr>
        <w:t xml:space="preserve">2018 </w:t>
      </w:r>
      <w:r w:rsidR="00655E62">
        <w:rPr>
          <w:rFonts w:ascii="Arial" w:hAnsi="Arial" w:cs="Arial"/>
        </w:rPr>
        <w:t xml:space="preserve">is Justice, and </w:t>
      </w:r>
      <w:r>
        <w:rPr>
          <w:rFonts w:ascii="Arial" w:hAnsi="Arial" w:cs="Arial"/>
        </w:rPr>
        <w:t xml:space="preserve">the book </w:t>
      </w:r>
      <w:r w:rsidR="00655E62">
        <w:rPr>
          <w:rFonts w:ascii="Arial" w:hAnsi="Arial" w:cs="Arial"/>
        </w:rPr>
        <w:t xml:space="preserve">selected to represent that theme is </w:t>
      </w:r>
      <w:proofErr w:type="spellStart"/>
      <w:r w:rsidRPr="005066FE">
        <w:rPr>
          <w:rFonts w:ascii="Arial" w:hAnsi="Arial" w:cs="Arial"/>
          <w:b/>
          <w:i/>
        </w:rPr>
        <w:t>Bloodsworth</w:t>
      </w:r>
      <w:proofErr w:type="spellEnd"/>
      <w:r w:rsidRPr="005066FE">
        <w:rPr>
          <w:rFonts w:ascii="Arial" w:hAnsi="Arial" w:cs="Arial"/>
          <w:b/>
          <w:i/>
        </w:rPr>
        <w:t>: The True Story of the First Death Row I</w:t>
      </w:r>
      <w:r w:rsidR="00655E62" w:rsidRPr="005066FE">
        <w:rPr>
          <w:rFonts w:ascii="Arial" w:hAnsi="Arial" w:cs="Arial"/>
          <w:b/>
          <w:i/>
        </w:rPr>
        <w:t>n</w:t>
      </w:r>
      <w:r w:rsidRPr="005066FE">
        <w:rPr>
          <w:rFonts w:ascii="Arial" w:hAnsi="Arial" w:cs="Arial"/>
          <w:b/>
          <w:i/>
        </w:rPr>
        <w:t>mate Exonerated by DNA</w:t>
      </w:r>
      <w:r>
        <w:rPr>
          <w:rFonts w:ascii="Arial" w:hAnsi="Arial" w:cs="Arial"/>
        </w:rPr>
        <w:t xml:space="preserve">. The book, </w:t>
      </w:r>
      <w:r w:rsidRPr="00680468">
        <w:rPr>
          <w:rFonts w:ascii="Arial" w:hAnsi="Arial" w:cs="Arial"/>
          <w:noProof/>
        </w:rPr>
        <w:t>originally</w:t>
      </w:r>
      <w:r>
        <w:rPr>
          <w:rFonts w:ascii="Arial" w:hAnsi="Arial" w:cs="Arial"/>
        </w:rPr>
        <w:t xml:space="preserve"> published in 200</w:t>
      </w:r>
      <w:r w:rsidR="003C6E52">
        <w:rPr>
          <w:rFonts w:ascii="Arial" w:hAnsi="Arial" w:cs="Arial"/>
        </w:rPr>
        <w:t>4</w:t>
      </w:r>
      <w:r>
        <w:rPr>
          <w:rFonts w:ascii="Arial" w:hAnsi="Arial" w:cs="Arial"/>
        </w:rPr>
        <w:t xml:space="preserve">, is the detailed and sometimes harrowing retelling of Kurt </w:t>
      </w:r>
      <w:proofErr w:type="spellStart"/>
      <w:r>
        <w:rPr>
          <w:rFonts w:ascii="Arial" w:hAnsi="Arial" w:cs="Arial"/>
        </w:rPr>
        <w:t>Bloodsworth’s</w:t>
      </w:r>
      <w:proofErr w:type="spellEnd"/>
      <w:r>
        <w:rPr>
          <w:rFonts w:ascii="Arial" w:hAnsi="Arial" w:cs="Arial"/>
        </w:rPr>
        <w:t xml:space="preserve"> nearly </w:t>
      </w:r>
      <w:r w:rsidRPr="00680468">
        <w:rPr>
          <w:rFonts w:ascii="Arial" w:hAnsi="Arial" w:cs="Arial"/>
          <w:noProof/>
        </w:rPr>
        <w:t>20</w:t>
      </w:r>
      <w:r>
        <w:rPr>
          <w:rFonts w:ascii="Arial" w:hAnsi="Arial" w:cs="Arial"/>
          <w:noProof/>
        </w:rPr>
        <w:t>-</w:t>
      </w:r>
      <w:r w:rsidRPr="00680468">
        <w:rPr>
          <w:rFonts w:ascii="Arial" w:hAnsi="Arial" w:cs="Arial"/>
          <w:noProof/>
        </w:rPr>
        <w:t>year</w:t>
      </w:r>
      <w:r>
        <w:rPr>
          <w:rFonts w:ascii="Arial" w:hAnsi="Arial" w:cs="Arial"/>
        </w:rPr>
        <w:t xml:space="preserve"> battle to clear his name after being convicted of the rape and murder of a nine-year-old girl in 1984. </w:t>
      </w:r>
      <w:r w:rsidR="00AD36E1">
        <w:rPr>
          <w:rFonts w:ascii="Arial" w:hAnsi="Arial" w:cs="Arial"/>
        </w:rPr>
        <w:t>He</w:t>
      </w:r>
      <w:r>
        <w:rPr>
          <w:rFonts w:ascii="Arial" w:hAnsi="Arial" w:cs="Arial"/>
        </w:rPr>
        <w:t xml:space="preserve"> became a self-advocate and lobbied for DNA testing on the trial evidence </w:t>
      </w:r>
      <w:r w:rsidR="00AD36E1">
        <w:rPr>
          <w:rFonts w:ascii="Arial" w:hAnsi="Arial" w:cs="Arial"/>
        </w:rPr>
        <w:t xml:space="preserve">that was </w:t>
      </w:r>
      <w:r>
        <w:rPr>
          <w:rFonts w:ascii="Arial" w:hAnsi="Arial" w:cs="Arial"/>
        </w:rPr>
        <w:t xml:space="preserve">used </w:t>
      </w:r>
      <w:r>
        <w:rPr>
          <w:rFonts w:ascii="Arial" w:hAnsi="Arial" w:cs="Arial"/>
          <w:noProof/>
        </w:rPr>
        <w:t xml:space="preserve">against him. Despite having been </w:t>
      </w:r>
      <w:r w:rsidRPr="00680468">
        <w:rPr>
          <w:rFonts w:ascii="Arial" w:hAnsi="Arial" w:cs="Arial"/>
          <w:noProof/>
        </w:rPr>
        <w:t>released</w:t>
      </w:r>
      <w:r>
        <w:rPr>
          <w:rFonts w:ascii="Arial" w:hAnsi="Arial" w:cs="Arial"/>
        </w:rPr>
        <w:t xml:space="preserve"> from prison in 1993</w:t>
      </w:r>
      <w:r w:rsidR="00816A22">
        <w:rPr>
          <w:rFonts w:ascii="Arial" w:hAnsi="Arial" w:cs="Arial"/>
        </w:rPr>
        <w:t xml:space="preserve"> and granted a full pardon from the governor of Maryland in 1994</w:t>
      </w:r>
      <w:r>
        <w:rPr>
          <w:rFonts w:ascii="Arial" w:hAnsi="Arial" w:cs="Arial"/>
        </w:rPr>
        <w:t xml:space="preserve">, </w:t>
      </w:r>
      <w:proofErr w:type="spellStart"/>
      <w:r>
        <w:rPr>
          <w:rFonts w:ascii="Arial" w:hAnsi="Arial" w:cs="Arial"/>
        </w:rPr>
        <w:t>Bloodsworth</w:t>
      </w:r>
      <w:proofErr w:type="spellEnd"/>
      <w:r>
        <w:rPr>
          <w:rFonts w:ascii="Arial" w:hAnsi="Arial" w:cs="Arial"/>
        </w:rPr>
        <w:t xml:space="preserve"> was not </w:t>
      </w:r>
      <w:r w:rsidR="00816A22">
        <w:rPr>
          <w:rFonts w:ascii="Arial" w:hAnsi="Arial" w:cs="Arial"/>
        </w:rPr>
        <w:t xml:space="preserve">fully </w:t>
      </w:r>
      <w:r>
        <w:rPr>
          <w:rFonts w:ascii="Arial" w:hAnsi="Arial" w:cs="Arial"/>
        </w:rPr>
        <w:t>exonerated until 2004</w:t>
      </w:r>
      <w:r w:rsidR="00AD36E1">
        <w:rPr>
          <w:rFonts w:ascii="Arial" w:hAnsi="Arial" w:cs="Arial"/>
        </w:rPr>
        <w:t>,</w:t>
      </w:r>
      <w:r>
        <w:rPr>
          <w:rFonts w:ascii="Arial" w:hAnsi="Arial" w:cs="Arial"/>
        </w:rPr>
        <w:t xml:space="preserve"> when new forensic </w:t>
      </w:r>
      <w:r w:rsidRPr="00680468">
        <w:rPr>
          <w:rFonts w:ascii="Arial" w:hAnsi="Arial" w:cs="Arial"/>
          <w:noProof/>
        </w:rPr>
        <w:t>testing</w:t>
      </w:r>
      <w:r>
        <w:rPr>
          <w:rFonts w:ascii="Arial" w:hAnsi="Arial" w:cs="Arial"/>
        </w:rPr>
        <w:t xml:space="preserve"> </w:t>
      </w:r>
      <w:r w:rsidRPr="00680468">
        <w:rPr>
          <w:rFonts w:ascii="Arial" w:hAnsi="Arial" w:cs="Arial"/>
          <w:noProof/>
        </w:rPr>
        <w:t>led</w:t>
      </w:r>
      <w:r>
        <w:rPr>
          <w:rFonts w:ascii="Arial" w:hAnsi="Arial" w:cs="Arial"/>
        </w:rPr>
        <w:t xml:space="preserve"> </w:t>
      </w:r>
      <w:r w:rsidR="00AD36E1">
        <w:rPr>
          <w:rFonts w:ascii="Arial" w:hAnsi="Arial" w:cs="Arial"/>
        </w:rPr>
        <w:t xml:space="preserve">to </w:t>
      </w:r>
      <w:r>
        <w:rPr>
          <w:rFonts w:ascii="Arial" w:hAnsi="Arial" w:cs="Arial"/>
        </w:rPr>
        <w:t xml:space="preserve">the trial and conviction of Kimberly </w:t>
      </w:r>
      <w:r w:rsidR="005066FE">
        <w:rPr>
          <w:rFonts w:ascii="Arial" w:hAnsi="Arial" w:cs="Arial"/>
        </w:rPr>
        <w:t xml:space="preserve">Shay </w:t>
      </w:r>
      <w:proofErr w:type="spellStart"/>
      <w:r>
        <w:rPr>
          <w:rFonts w:ascii="Arial" w:hAnsi="Arial" w:cs="Arial"/>
        </w:rPr>
        <w:t>Ruffner</w:t>
      </w:r>
      <w:proofErr w:type="spellEnd"/>
      <w:r>
        <w:rPr>
          <w:rFonts w:ascii="Arial" w:hAnsi="Arial" w:cs="Arial"/>
        </w:rPr>
        <w:t xml:space="preserve">. </w:t>
      </w:r>
      <w:r w:rsidR="008B7660">
        <w:rPr>
          <w:rFonts w:ascii="Arial" w:hAnsi="Arial" w:cs="Arial"/>
        </w:rPr>
        <w:t xml:space="preserve">Bloodworth’s story </w:t>
      </w:r>
      <w:r w:rsidR="008B7660">
        <w:rPr>
          <w:rFonts w:ascii="Arial" w:hAnsi="Arial" w:cs="Arial"/>
        </w:rPr>
        <w:t xml:space="preserve">has </w:t>
      </w:r>
      <w:r w:rsidR="00996B6C">
        <w:rPr>
          <w:rFonts w:ascii="Arial" w:hAnsi="Arial" w:cs="Arial"/>
        </w:rPr>
        <w:t xml:space="preserve">since </w:t>
      </w:r>
      <w:r w:rsidR="008B7660">
        <w:rPr>
          <w:rFonts w:ascii="Arial" w:hAnsi="Arial" w:cs="Arial"/>
        </w:rPr>
        <w:t>gained widespread recognition as a</w:t>
      </w:r>
      <w:r w:rsidR="00FC4173">
        <w:rPr>
          <w:rFonts w:ascii="Arial" w:hAnsi="Arial" w:cs="Arial"/>
        </w:rPr>
        <w:t xml:space="preserve"> prime</w:t>
      </w:r>
      <w:r w:rsidR="008B7660">
        <w:rPr>
          <w:rFonts w:ascii="Arial" w:hAnsi="Arial" w:cs="Arial"/>
        </w:rPr>
        <w:t xml:space="preserve"> example of justice system failure.</w:t>
      </w:r>
    </w:p>
    <w:p w:rsidR="00680468" w:rsidRDefault="00680468" w:rsidP="00680468">
      <w:pPr>
        <w:rPr>
          <w:rFonts w:ascii="Arial" w:hAnsi="Arial" w:cs="Arial"/>
        </w:rPr>
      </w:pPr>
    </w:p>
    <w:p w:rsidR="00680468" w:rsidRDefault="005C47EF" w:rsidP="00680468">
      <w:pPr>
        <w:rPr>
          <w:rFonts w:ascii="Arial" w:hAnsi="Arial" w:cs="Arial"/>
        </w:rPr>
      </w:pPr>
      <w:r>
        <w:rPr>
          <w:rFonts w:ascii="Arial" w:hAnsi="Arial" w:cs="Arial"/>
        </w:rPr>
        <w:t>As part of</w:t>
      </w:r>
      <w:bookmarkStart w:id="0" w:name="_GoBack"/>
      <w:bookmarkEnd w:id="0"/>
      <w:r>
        <w:rPr>
          <w:rFonts w:ascii="Arial" w:hAnsi="Arial" w:cs="Arial"/>
        </w:rPr>
        <w:t xml:space="preserve"> the </w:t>
      </w:r>
      <w:r w:rsidRPr="005C47EF">
        <w:rPr>
          <w:rFonts w:ascii="Arial" w:hAnsi="Arial" w:cs="Arial"/>
          <w:i/>
        </w:rPr>
        <w:t>One Maryland, One Book</w:t>
      </w:r>
      <w:r>
        <w:rPr>
          <w:rFonts w:ascii="Arial" w:hAnsi="Arial" w:cs="Arial"/>
        </w:rPr>
        <w:t xml:space="preserve"> reading campaign</w:t>
      </w:r>
      <w:r w:rsidR="00680468">
        <w:rPr>
          <w:rFonts w:ascii="Arial" w:hAnsi="Arial" w:cs="Arial"/>
        </w:rPr>
        <w:t xml:space="preserve">, </w:t>
      </w:r>
      <w:r w:rsidR="00687D37">
        <w:rPr>
          <w:rFonts w:ascii="Arial" w:hAnsi="Arial" w:cs="Arial"/>
        </w:rPr>
        <w:t xml:space="preserve">the </w:t>
      </w:r>
      <w:r w:rsidR="00687D37">
        <w:rPr>
          <w:rFonts w:ascii="Arial" w:hAnsi="Arial" w:cs="Arial"/>
        </w:rPr>
        <w:t>Maryland State Library for the Blind and Physically Handicapped</w:t>
      </w:r>
      <w:r w:rsidR="00680468">
        <w:rPr>
          <w:rFonts w:ascii="Arial" w:hAnsi="Arial" w:cs="Arial"/>
        </w:rPr>
        <w:t xml:space="preserve"> has invited Michele Nethercott to speak about the role science </w:t>
      </w:r>
      <w:r w:rsidR="005A2971">
        <w:rPr>
          <w:rFonts w:ascii="Arial" w:hAnsi="Arial" w:cs="Arial"/>
        </w:rPr>
        <w:t>plays</w:t>
      </w:r>
      <w:r w:rsidR="00680468">
        <w:rPr>
          <w:rFonts w:ascii="Arial" w:hAnsi="Arial" w:cs="Arial"/>
        </w:rPr>
        <w:t xml:space="preserve"> in helping those who have </w:t>
      </w:r>
      <w:r w:rsidR="00680468" w:rsidRPr="00680468">
        <w:rPr>
          <w:rFonts w:ascii="Arial" w:hAnsi="Arial" w:cs="Arial"/>
          <w:noProof/>
        </w:rPr>
        <w:t>been wrongfully convicted</w:t>
      </w:r>
      <w:r w:rsidR="00680468">
        <w:rPr>
          <w:rFonts w:ascii="Arial" w:hAnsi="Arial" w:cs="Arial"/>
        </w:rPr>
        <w:t xml:space="preserve"> overturn their </w:t>
      </w:r>
      <w:r w:rsidR="00687D37" w:rsidRPr="00687D37">
        <w:rPr>
          <w:rFonts w:ascii="Arial" w:hAnsi="Arial" w:cs="Arial"/>
        </w:rPr>
        <w:t>verdicts</w:t>
      </w:r>
      <w:r w:rsidR="00680468">
        <w:rPr>
          <w:rFonts w:ascii="Arial" w:hAnsi="Arial" w:cs="Arial"/>
        </w:rPr>
        <w:t xml:space="preserve">. Ms. Nethercott is the Director of the Innocence Project Clinic and has spent her career working to help those wrongfully convicted. </w:t>
      </w:r>
      <w:r w:rsidR="00680468" w:rsidRPr="00680468">
        <w:rPr>
          <w:rFonts w:ascii="Arial" w:hAnsi="Arial" w:cs="Arial"/>
        </w:rPr>
        <w:t>She received her B.A. in Economics from Sarah Lawrence College in 1980 and her J.D. from Northeastern University School of Law in 1984. She has worked as a trial attorney in the Maryland State Office of the Public Defender since 1988.</w:t>
      </w:r>
      <w:r w:rsidR="00680468" w:rsidRPr="00680468">
        <w:t xml:space="preserve"> </w:t>
      </w:r>
      <w:r w:rsidR="00680468" w:rsidRPr="00680468">
        <w:rPr>
          <w:rFonts w:ascii="Arial" w:hAnsi="Arial" w:cs="Arial"/>
        </w:rPr>
        <w:t xml:space="preserve">In the 1990s, Ms. Nethercott took additional courses at Johns Hopkins University in molecular biology and genetics </w:t>
      </w:r>
      <w:r w:rsidR="00680468" w:rsidRPr="00680468">
        <w:rPr>
          <w:rFonts w:ascii="Arial" w:hAnsi="Arial" w:cs="Arial"/>
          <w:noProof/>
        </w:rPr>
        <w:t>to</w:t>
      </w:r>
      <w:r w:rsidR="00680468" w:rsidRPr="00680468">
        <w:rPr>
          <w:rFonts w:ascii="Arial" w:hAnsi="Arial" w:cs="Arial"/>
        </w:rPr>
        <w:t xml:space="preserve"> acquire in-depth knowledge of what was then a new type of evidence </w:t>
      </w:r>
      <w:r w:rsidR="00680468" w:rsidRPr="00680468">
        <w:rPr>
          <w:rFonts w:ascii="Arial" w:hAnsi="Arial" w:cs="Arial"/>
          <w:noProof/>
        </w:rPr>
        <w:t xml:space="preserve">being </w:t>
      </w:r>
      <w:r w:rsidR="00680468" w:rsidRPr="00680468">
        <w:rPr>
          <w:rFonts w:ascii="Arial" w:hAnsi="Arial" w:cs="Arial"/>
          <w:noProof/>
        </w:rPr>
        <w:lastRenderedPageBreak/>
        <w:t>introduced</w:t>
      </w:r>
      <w:r w:rsidR="00680468" w:rsidRPr="00680468">
        <w:rPr>
          <w:rFonts w:ascii="Arial" w:hAnsi="Arial" w:cs="Arial"/>
        </w:rPr>
        <w:t xml:space="preserve"> to the legal system, evidence obtained by DNA testing. She is now a nationally recognized legal expert in DNA evidence and other forms of scientific evidence, having served as co-chair of the Forensic Evidence Committee for the National Association of Criminal Defense Lawyers.</w:t>
      </w:r>
    </w:p>
    <w:p w:rsidR="00680468" w:rsidRDefault="00680468" w:rsidP="00680468">
      <w:pPr>
        <w:rPr>
          <w:rFonts w:ascii="Arial" w:hAnsi="Arial" w:cs="Arial"/>
        </w:rPr>
      </w:pPr>
    </w:p>
    <w:p w:rsidR="00680468" w:rsidRDefault="00680468" w:rsidP="00680468">
      <w:pPr>
        <w:rPr>
          <w:rFonts w:ascii="Arial" w:hAnsi="Arial" w:cs="Arial"/>
        </w:rPr>
      </w:pPr>
      <w:r>
        <w:rPr>
          <w:rFonts w:ascii="Arial" w:hAnsi="Arial" w:cs="Arial"/>
        </w:rPr>
        <w:t xml:space="preserve">The Innocence Project Clinic, which </w:t>
      </w:r>
      <w:r w:rsidRPr="00680468">
        <w:rPr>
          <w:rFonts w:ascii="Arial" w:hAnsi="Arial" w:cs="Arial"/>
          <w:noProof/>
        </w:rPr>
        <w:t>is run</w:t>
      </w:r>
      <w:r>
        <w:rPr>
          <w:rFonts w:ascii="Arial" w:hAnsi="Arial" w:cs="Arial"/>
        </w:rPr>
        <w:t xml:space="preserve"> through the University of Baltimore’s School of Law, “</w:t>
      </w:r>
      <w:r>
        <w:rPr>
          <w:rFonts w:ascii="Arial" w:hAnsi="Arial" w:cs="Arial"/>
          <w:color w:val="333333"/>
          <w:shd w:val="clear" w:color="auto" w:fill="FFFFFF"/>
        </w:rPr>
        <w:t xml:space="preserve">seeks to identify individuals who have </w:t>
      </w:r>
      <w:r w:rsidRPr="00680468">
        <w:rPr>
          <w:rFonts w:ascii="Arial" w:hAnsi="Arial" w:cs="Arial"/>
          <w:noProof/>
          <w:color w:val="333333"/>
          <w:shd w:val="clear" w:color="auto" w:fill="FFFFFF"/>
        </w:rPr>
        <w:t>been convicted</w:t>
      </w:r>
      <w:r>
        <w:rPr>
          <w:rFonts w:ascii="Arial" w:hAnsi="Arial" w:cs="Arial"/>
          <w:color w:val="333333"/>
          <w:shd w:val="clear" w:color="auto" w:fill="FFFFFF"/>
        </w:rPr>
        <w:t xml:space="preserve"> in Maryland state courts of crimes they did not commit and to provide them with assistance in the investigation of their claims. </w:t>
      </w:r>
      <w:r w:rsidRPr="00680468">
        <w:rPr>
          <w:rFonts w:ascii="Arial" w:hAnsi="Arial" w:cs="Arial"/>
          <w:noProof/>
          <w:color w:val="333333"/>
          <w:shd w:val="clear" w:color="auto" w:fill="FFFFFF"/>
        </w:rPr>
        <w:t xml:space="preserve">In </w:t>
      </w:r>
      <w:r>
        <w:rPr>
          <w:rFonts w:ascii="Arial" w:hAnsi="Arial" w:cs="Arial"/>
          <w:noProof/>
          <w:color w:val="333333"/>
          <w:shd w:val="clear" w:color="auto" w:fill="FFFFFF"/>
        </w:rPr>
        <w:t>some</w:t>
      </w:r>
      <w:r>
        <w:rPr>
          <w:rFonts w:ascii="Arial" w:hAnsi="Arial" w:cs="Arial"/>
          <w:color w:val="333333"/>
          <w:shd w:val="clear" w:color="auto" w:fill="FFFFFF"/>
        </w:rPr>
        <w:t xml:space="preserve"> cases, representation will </w:t>
      </w:r>
      <w:r w:rsidRPr="00680468">
        <w:rPr>
          <w:rFonts w:ascii="Arial" w:hAnsi="Arial" w:cs="Arial"/>
          <w:noProof/>
          <w:color w:val="333333"/>
          <w:shd w:val="clear" w:color="auto" w:fill="FFFFFF"/>
        </w:rPr>
        <w:t>be provided</w:t>
      </w:r>
      <w:r>
        <w:rPr>
          <w:rFonts w:ascii="Arial" w:hAnsi="Arial" w:cs="Arial"/>
          <w:color w:val="333333"/>
          <w:shd w:val="clear" w:color="auto" w:fill="FFFFFF"/>
        </w:rPr>
        <w:t xml:space="preserve"> in post-trial litigation efforts to secure exonerations.” </w:t>
      </w:r>
      <w:r w:rsidRPr="00680468">
        <w:rPr>
          <w:rFonts w:ascii="Arial" w:hAnsi="Arial" w:cs="Arial"/>
        </w:rPr>
        <w:t xml:space="preserve">Law students from the Clinic work not only on cases involving DNA </w:t>
      </w:r>
      <w:r w:rsidRPr="00680468">
        <w:rPr>
          <w:rFonts w:ascii="Arial" w:hAnsi="Arial" w:cs="Arial"/>
          <w:noProof/>
        </w:rPr>
        <w:t>evidence</w:t>
      </w:r>
      <w:r w:rsidRPr="00680468">
        <w:rPr>
          <w:rFonts w:ascii="Arial" w:hAnsi="Arial" w:cs="Arial"/>
        </w:rPr>
        <w:t xml:space="preserve"> but also on cases requiring the reinvestigation of other types of evidence. In addition to directing the Clinic, Ms. Nethercott continues to represent clients through the Maryland State Office of the Public Defender, where she persistently seeks justice for those who have </w:t>
      </w:r>
      <w:r w:rsidRPr="00680468">
        <w:rPr>
          <w:rFonts w:ascii="Arial" w:hAnsi="Arial" w:cs="Arial"/>
          <w:noProof/>
        </w:rPr>
        <w:t>been wrongfully convicted</w:t>
      </w:r>
      <w:r w:rsidRPr="00680468">
        <w:rPr>
          <w:rFonts w:ascii="Arial" w:hAnsi="Arial" w:cs="Arial"/>
        </w:rPr>
        <w:t xml:space="preserve"> of crimes.</w:t>
      </w:r>
    </w:p>
    <w:p w:rsidR="00680468" w:rsidRPr="00680468" w:rsidRDefault="00680468" w:rsidP="00680468">
      <w:pPr>
        <w:rPr>
          <w:rFonts w:ascii="Arial" w:hAnsi="Arial" w:cs="Arial"/>
        </w:rPr>
      </w:pPr>
    </w:p>
    <w:p w:rsidR="00680468" w:rsidRPr="00680468" w:rsidRDefault="00680468" w:rsidP="00680468">
      <w:pPr>
        <w:rPr>
          <w:rFonts w:ascii="Arial" w:hAnsi="Arial" w:cs="Arial"/>
        </w:rPr>
      </w:pPr>
      <w:r w:rsidRPr="00680468">
        <w:rPr>
          <w:rFonts w:ascii="Arial" w:hAnsi="Arial" w:cs="Arial"/>
        </w:rPr>
        <w:t xml:space="preserve">This program is FREE and open to all Marylanders. The program is </w:t>
      </w:r>
      <w:r w:rsidRPr="00680468">
        <w:rPr>
          <w:rFonts w:ascii="Arial" w:hAnsi="Arial" w:cs="Arial"/>
          <w:noProof/>
        </w:rPr>
        <w:t>being</w:t>
      </w:r>
      <w:r w:rsidRPr="00680468">
        <w:rPr>
          <w:rFonts w:ascii="Arial" w:hAnsi="Arial" w:cs="Arial"/>
        </w:rPr>
        <w:t xml:space="preserve"> held via conference call and is accessible via telephone only. Program details are as follows:</w:t>
      </w:r>
    </w:p>
    <w:p w:rsidR="00680468" w:rsidRPr="00680468" w:rsidRDefault="00680468" w:rsidP="00680468">
      <w:pPr>
        <w:rPr>
          <w:rFonts w:ascii="Arial" w:hAnsi="Arial" w:cs="Arial"/>
        </w:rPr>
      </w:pPr>
    </w:p>
    <w:p w:rsidR="00680468" w:rsidRPr="00680468" w:rsidRDefault="00680468" w:rsidP="00680468">
      <w:pPr>
        <w:rPr>
          <w:rFonts w:ascii="Arial" w:hAnsi="Arial" w:cs="Arial"/>
        </w:rPr>
      </w:pPr>
      <w:r>
        <w:rPr>
          <w:rFonts w:ascii="Arial" w:hAnsi="Arial" w:cs="Arial"/>
        </w:rPr>
        <w:t>October 15, 2018</w:t>
      </w:r>
    </w:p>
    <w:p w:rsidR="00680468" w:rsidRPr="00680468" w:rsidRDefault="00680468" w:rsidP="00680468">
      <w:pPr>
        <w:rPr>
          <w:rFonts w:ascii="Arial" w:hAnsi="Arial" w:cs="Arial"/>
        </w:rPr>
      </w:pPr>
      <w:r>
        <w:rPr>
          <w:rFonts w:ascii="Arial" w:hAnsi="Arial" w:cs="Arial"/>
        </w:rPr>
        <w:t>6:3</w:t>
      </w:r>
      <w:r w:rsidRPr="00680468">
        <w:rPr>
          <w:rFonts w:ascii="Arial" w:hAnsi="Arial" w:cs="Arial"/>
        </w:rPr>
        <w:t xml:space="preserve">0 PM </w:t>
      </w:r>
    </w:p>
    <w:p w:rsidR="00680468" w:rsidRPr="00680468" w:rsidRDefault="00680468" w:rsidP="00680468">
      <w:pPr>
        <w:rPr>
          <w:rFonts w:ascii="Arial" w:hAnsi="Arial" w:cs="Arial"/>
        </w:rPr>
      </w:pPr>
      <w:r w:rsidRPr="00680468">
        <w:rPr>
          <w:rFonts w:ascii="Arial" w:hAnsi="Arial" w:cs="Arial"/>
        </w:rPr>
        <w:t>Call in: 515-604-9516</w:t>
      </w:r>
    </w:p>
    <w:p w:rsidR="00680468" w:rsidRPr="00680468" w:rsidRDefault="00680468" w:rsidP="00680468">
      <w:pPr>
        <w:rPr>
          <w:rFonts w:ascii="Arial" w:hAnsi="Arial" w:cs="Arial"/>
        </w:rPr>
      </w:pPr>
      <w:r w:rsidRPr="00680468">
        <w:rPr>
          <w:rFonts w:ascii="Arial" w:hAnsi="Arial" w:cs="Arial"/>
        </w:rPr>
        <w:t>Access Code: 202933</w:t>
      </w:r>
    </w:p>
    <w:p w:rsidR="00680468" w:rsidRDefault="00680468" w:rsidP="00680468">
      <w:pPr>
        <w:rPr>
          <w:rFonts w:ascii="Arial" w:hAnsi="Arial" w:cs="Arial"/>
        </w:rPr>
      </w:pPr>
    </w:p>
    <w:p w:rsidR="00167B3A" w:rsidRPr="00680468" w:rsidRDefault="00680468" w:rsidP="00D63791">
      <w:pPr>
        <w:rPr>
          <w:rFonts w:ascii="Arial" w:hAnsi="Arial" w:cs="Arial"/>
        </w:rPr>
      </w:pPr>
      <w:r>
        <w:rPr>
          <w:rFonts w:ascii="Arial" w:hAnsi="Arial" w:cs="Arial"/>
        </w:rPr>
        <w:t>RSVP not required to attend.</w:t>
      </w:r>
    </w:p>
    <w:sectPr w:rsidR="00167B3A" w:rsidRPr="00680468" w:rsidSect="007739C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F3F" w:rsidRDefault="00BC5F3F">
      <w:r>
        <w:separator/>
      </w:r>
    </w:p>
  </w:endnote>
  <w:endnote w:type="continuationSeparator" w:id="0">
    <w:p w:rsidR="00BC5F3F" w:rsidRDefault="00BC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48" w:rsidRDefault="00BE1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33" w:rsidRPr="00EE54A6" w:rsidRDefault="007B2E33" w:rsidP="00EE54A6">
    <w:pPr>
      <w:pStyle w:val="Footer"/>
      <w:jc w:val="center"/>
      <w:rPr>
        <w:rFonts w:ascii="Calibri" w:hAnsi="Calibri"/>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48" w:rsidRDefault="00BE1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F3F" w:rsidRDefault="00BC5F3F">
      <w:r>
        <w:separator/>
      </w:r>
    </w:p>
  </w:footnote>
  <w:footnote w:type="continuationSeparator" w:id="0">
    <w:p w:rsidR="00BC5F3F" w:rsidRDefault="00BC5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48" w:rsidRDefault="00BE1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48" w:rsidRDefault="00BE1B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8" w:type="dxa"/>
      <w:jc w:val="center"/>
      <w:tblLook w:val="01E0" w:firstRow="1" w:lastRow="1" w:firstColumn="1" w:lastColumn="1" w:noHBand="0" w:noVBand="0"/>
    </w:tblPr>
    <w:tblGrid>
      <w:gridCol w:w="5134"/>
      <w:gridCol w:w="5134"/>
    </w:tblGrid>
    <w:tr w:rsidR="00395D7B" w:rsidRPr="00BE1B48" w:rsidTr="003C5ACA">
      <w:trPr>
        <w:trHeight w:val="1195"/>
        <w:jc w:val="center"/>
      </w:trPr>
      <w:tc>
        <w:tcPr>
          <w:tcW w:w="5134" w:type="dxa"/>
        </w:tcPr>
        <w:p w:rsidR="00395D7B" w:rsidRPr="00DB5618" w:rsidRDefault="002E191C" w:rsidP="00375675">
          <w:pPr>
            <w:pStyle w:val="Header"/>
            <w:spacing w:line="276" w:lineRule="auto"/>
            <w:rPr>
              <w:rFonts w:ascii="Calibri" w:hAnsi="Calibri"/>
              <w:sz w:val="18"/>
            </w:rPr>
          </w:pPr>
          <w:r w:rsidRPr="002E191C">
            <w:rPr>
              <w:rFonts w:ascii="Calibri" w:hAnsi="Calibri"/>
              <w:noProof/>
              <w:sz w:val="18"/>
            </w:rPr>
            <w:drawing>
              <wp:anchor distT="0" distB="0" distL="114300" distR="114300" simplePos="0" relativeHeight="251659264" behindDoc="0" locked="0" layoutInCell="1" allowOverlap="1">
                <wp:simplePos x="0" y="0"/>
                <wp:positionH relativeFrom="column">
                  <wp:posOffset>-85090</wp:posOffset>
                </wp:positionH>
                <wp:positionV relativeFrom="paragraph">
                  <wp:posOffset>-57150</wp:posOffset>
                </wp:positionV>
                <wp:extent cx="2133600" cy="781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141044" cy="783775"/>
                        </a:xfrm>
                        <a:prstGeom prst="rect">
                          <a:avLst/>
                        </a:prstGeom>
                        <a:noFill/>
                        <a:ln>
                          <a:noFill/>
                        </a:ln>
                      </pic:spPr>
                    </pic:pic>
                  </a:graphicData>
                </a:graphic>
                <wp14:sizeRelH relativeFrom="margin">
                  <wp14:pctWidth>0</wp14:pctWidth>
                </wp14:sizeRelH>
              </wp:anchor>
            </w:drawing>
          </w:r>
        </w:p>
      </w:tc>
      <w:tc>
        <w:tcPr>
          <w:tcW w:w="5134" w:type="dxa"/>
        </w:tcPr>
        <w:p w:rsidR="00395D7B" w:rsidRPr="00BE1B48" w:rsidRDefault="002E191C" w:rsidP="00D97D10">
          <w:pPr>
            <w:pStyle w:val="Header"/>
            <w:jc w:val="right"/>
            <w:rPr>
              <w:rFonts w:ascii="Calibri" w:hAnsi="Calibri"/>
              <w:b/>
              <w:i/>
              <w:sz w:val="20"/>
              <w:szCs w:val="20"/>
            </w:rPr>
          </w:pPr>
          <w:r w:rsidRPr="00BE1B48">
            <w:rPr>
              <w:rFonts w:ascii="Calibri" w:hAnsi="Calibri"/>
              <w:b/>
              <w:i/>
              <w:sz w:val="20"/>
              <w:szCs w:val="20"/>
            </w:rPr>
            <w:t>Irene M. Padilla</w:t>
          </w:r>
        </w:p>
        <w:p w:rsidR="00395D7B" w:rsidRPr="00BE1B48" w:rsidRDefault="00BE1B48" w:rsidP="00D97D10">
          <w:pPr>
            <w:pStyle w:val="Header"/>
            <w:jc w:val="right"/>
            <w:rPr>
              <w:rFonts w:ascii="Calibri" w:hAnsi="Calibri"/>
              <w:sz w:val="20"/>
              <w:szCs w:val="20"/>
            </w:rPr>
          </w:pPr>
          <w:r>
            <w:rPr>
              <w:rFonts w:ascii="Calibri" w:hAnsi="Calibri"/>
              <w:b/>
              <w:i/>
              <w:sz w:val="20"/>
              <w:szCs w:val="20"/>
            </w:rPr>
            <w:t xml:space="preserve">Maryland </w:t>
          </w:r>
          <w:r w:rsidR="002E191C" w:rsidRPr="00BE1B48">
            <w:rPr>
              <w:rFonts w:ascii="Calibri" w:hAnsi="Calibri"/>
              <w:b/>
              <w:i/>
              <w:sz w:val="20"/>
              <w:szCs w:val="20"/>
            </w:rPr>
            <w:t>State Librarian</w:t>
          </w:r>
          <w:r w:rsidR="002E191C" w:rsidRPr="00BE1B48">
            <w:rPr>
              <w:rFonts w:ascii="Calibri" w:hAnsi="Calibri"/>
              <w:b/>
              <w:sz w:val="20"/>
              <w:szCs w:val="20"/>
            </w:rPr>
            <w:t xml:space="preserve"> </w:t>
          </w:r>
        </w:p>
      </w:tc>
    </w:tr>
    <w:tr w:rsidR="00395D7B" w:rsidRPr="00DB5618" w:rsidTr="003C5ACA">
      <w:trPr>
        <w:trHeight w:val="621"/>
        <w:jc w:val="center"/>
      </w:trPr>
      <w:tc>
        <w:tcPr>
          <w:tcW w:w="10268" w:type="dxa"/>
          <w:gridSpan w:val="2"/>
        </w:tcPr>
        <w:p w:rsidR="00395D7B" w:rsidRPr="00C51630" w:rsidRDefault="002E191C" w:rsidP="00FF3C78">
          <w:pPr>
            <w:pStyle w:val="Header"/>
            <w:spacing w:before="40"/>
            <w:rPr>
              <w:rFonts w:asciiTheme="minorHAnsi" w:hAnsiTheme="minorHAnsi" w:cstheme="minorHAnsi"/>
              <w:sz w:val="20"/>
              <w:szCs w:val="20"/>
            </w:rPr>
          </w:pPr>
          <w:r>
            <w:rPr>
              <w:rFonts w:asciiTheme="minorHAnsi" w:hAnsiTheme="minorHAnsi" w:cstheme="minorHAnsi"/>
              <w:sz w:val="20"/>
              <w:szCs w:val="20"/>
            </w:rPr>
            <w:t>22 South Calhoun Street</w:t>
          </w:r>
          <w:r w:rsidR="00DE6D35">
            <w:rPr>
              <w:rFonts w:asciiTheme="minorHAnsi" w:hAnsiTheme="minorHAnsi" w:cstheme="minorHAnsi"/>
              <w:sz w:val="20"/>
              <w:szCs w:val="20"/>
            </w:rPr>
            <w:t xml:space="preserve"> •</w:t>
          </w:r>
          <w:r>
            <w:rPr>
              <w:rFonts w:asciiTheme="minorHAnsi" w:hAnsiTheme="minorHAnsi" w:cstheme="minorHAnsi"/>
              <w:sz w:val="20"/>
              <w:szCs w:val="20"/>
            </w:rPr>
            <w:t xml:space="preserve"> Baltimore, Maryland 21223</w:t>
          </w:r>
          <w:r w:rsidR="00DE6D35">
            <w:rPr>
              <w:rFonts w:asciiTheme="minorHAnsi" w:hAnsiTheme="minorHAnsi" w:cstheme="minorHAnsi"/>
              <w:sz w:val="20"/>
              <w:szCs w:val="20"/>
            </w:rPr>
            <w:t xml:space="preserve"> </w:t>
          </w:r>
          <w:r>
            <w:rPr>
              <w:rFonts w:asciiTheme="minorHAnsi" w:hAnsiTheme="minorHAnsi" w:cstheme="minorHAnsi"/>
              <w:sz w:val="20"/>
              <w:szCs w:val="20"/>
            </w:rPr>
            <w:t xml:space="preserve"> </w:t>
          </w:r>
          <w:r w:rsidR="00C530D3">
            <w:rPr>
              <w:rFonts w:asciiTheme="minorHAnsi" w:hAnsiTheme="minorHAnsi" w:cstheme="minorHAnsi"/>
              <w:sz w:val="20"/>
              <w:szCs w:val="20"/>
            </w:rPr>
            <w:t>•</w:t>
          </w:r>
          <w:r w:rsidR="00DE6D35">
            <w:rPr>
              <w:rFonts w:asciiTheme="minorHAnsi" w:hAnsiTheme="minorHAnsi" w:cstheme="minorHAnsi"/>
              <w:sz w:val="20"/>
              <w:szCs w:val="20"/>
            </w:rPr>
            <w:t xml:space="preserve"> </w:t>
          </w:r>
          <w:r>
            <w:rPr>
              <w:rFonts w:asciiTheme="minorHAnsi" w:hAnsiTheme="minorHAnsi" w:cstheme="minorHAnsi"/>
              <w:sz w:val="20"/>
              <w:szCs w:val="20"/>
            </w:rPr>
            <w:t xml:space="preserve"> 6</w:t>
          </w:r>
          <w:r w:rsidR="00FF3C78">
            <w:rPr>
              <w:rFonts w:asciiTheme="minorHAnsi" w:hAnsiTheme="minorHAnsi" w:cstheme="minorHAnsi"/>
              <w:sz w:val="20"/>
              <w:szCs w:val="20"/>
            </w:rPr>
            <w:t>6</w:t>
          </w:r>
          <w:r>
            <w:rPr>
              <w:rFonts w:asciiTheme="minorHAnsi" w:hAnsiTheme="minorHAnsi" w:cstheme="minorHAnsi"/>
              <w:sz w:val="20"/>
              <w:szCs w:val="20"/>
            </w:rPr>
            <w:t>7-401-2671</w:t>
          </w:r>
          <w:r w:rsidR="00EE7CCA" w:rsidRPr="00C51630">
            <w:rPr>
              <w:rFonts w:asciiTheme="minorHAnsi" w:hAnsiTheme="minorHAnsi" w:cstheme="minorHAnsi"/>
              <w:sz w:val="20"/>
              <w:szCs w:val="20"/>
            </w:rPr>
            <w:t xml:space="preserve"> </w:t>
          </w:r>
        </w:p>
      </w:tc>
    </w:tr>
  </w:tbl>
  <w:p w:rsidR="00395D7B" w:rsidRPr="00B36929" w:rsidRDefault="00395D7B" w:rsidP="00B36929">
    <w:pPr>
      <w:pStyle w:val="Header"/>
      <w:rPr>
        <w:rFonts w:ascii="Calibri" w:hAnsi="Calibri"/>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5E8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439B1"/>
    <w:multiLevelType w:val="hybridMultilevel"/>
    <w:tmpl w:val="1BC8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C62CC"/>
    <w:multiLevelType w:val="hybridMultilevel"/>
    <w:tmpl w:val="F9AE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C20F8"/>
    <w:multiLevelType w:val="hybridMultilevel"/>
    <w:tmpl w:val="18D03F4A"/>
    <w:lvl w:ilvl="0" w:tplc="04090001">
      <w:start w:val="1"/>
      <w:numFmt w:val="bullet"/>
      <w:lvlText w:val=""/>
      <w:lvlJc w:val="left"/>
      <w:pPr>
        <w:ind w:left="117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2NjY0NjK3NDG0NLJU0lEKTi0uzszPAykwrAUArFwZJCwAAAA="/>
  </w:docVars>
  <w:rsids>
    <w:rsidRoot w:val="00325660"/>
    <w:rsid w:val="0000587D"/>
    <w:rsid w:val="00016131"/>
    <w:rsid w:val="00022AEF"/>
    <w:rsid w:val="00026103"/>
    <w:rsid w:val="000359A6"/>
    <w:rsid w:val="00040958"/>
    <w:rsid w:val="00041010"/>
    <w:rsid w:val="000457DE"/>
    <w:rsid w:val="00066A1B"/>
    <w:rsid w:val="00084133"/>
    <w:rsid w:val="00084FA1"/>
    <w:rsid w:val="00094CC5"/>
    <w:rsid w:val="000A08B6"/>
    <w:rsid w:val="000A5014"/>
    <w:rsid w:val="000B406D"/>
    <w:rsid w:val="000C1E92"/>
    <w:rsid w:val="000C6495"/>
    <w:rsid w:val="000E382A"/>
    <w:rsid w:val="000F6A92"/>
    <w:rsid w:val="001540A1"/>
    <w:rsid w:val="00167B3A"/>
    <w:rsid w:val="00195716"/>
    <w:rsid w:val="001A27E3"/>
    <w:rsid w:val="001A4DF5"/>
    <w:rsid w:val="001B3725"/>
    <w:rsid w:val="001D2E3F"/>
    <w:rsid w:val="001E2982"/>
    <w:rsid w:val="00213DCE"/>
    <w:rsid w:val="00230CF8"/>
    <w:rsid w:val="00257077"/>
    <w:rsid w:val="002616D9"/>
    <w:rsid w:val="00267BB0"/>
    <w:rsid w:val="00277D57"/>
    <w:rsid w:val="00292281"/>
    <w:rsid w:val="0029661D"/>
    <w:rsid w:val="002E191C"/>
    <w:rsid w:val="002F1C16"/>
    <w:rsid w:val="00302526"/>
    <w:rsid w:val="00316010"/>
    <w:rsid w:val="00325660"/>
    <w:rsid w:val="00340A96"/>
    <w:rsid w:val="003459AD"/>
    <w:rsid w:val="00355F0E"/>
    <w:rsid w:val="00375675"/>
    <w:rsid w:val="00391724"/>
    <w:rsid w:val="00395D7B"/>
    <w:rsid w:val="003C5876"/>
    <w:rsid w:val="003C5ACA"/>
    <w:rsid w:val="003C6E52"/>
    <w:rsid w:val="003D569F"/>
    <w:rsid w:val="003E6F25"/>
    <w:rsid w:val="0042134B"/>
    <w:rsid w:val="0042429D"/>
    <w:rsid w:val="00425534"/>
    <w:rsid w:val="0044441A"/>
    <w:rsid w:val="004548A7"/>
    <w:rsid w:val="004642E0"/>
    <w:rsid w:val="00476E0C"/>
    <w:rsid w:val="004804F8"/>
    <w:rsid w:val="00490903"/>
    <w:rsid w:val="004A20ED"/>
    <w:rsid w:val="004A5C83"/>
    <w:rsid w:val="004D66E8"/>
    <w:rsid w:val="005066FE"/>
    <w:rsid w:val="00507ACB"/>
    <w:rsid w:val="00520DAC"/>
    <w:rsid w:val="00542418"/>
    <w:rsid w:val="0059001E"/>
    <w:rsid w:val="00591EC0"/>
    <w:rsid w:val="00595B56"/>
    <w:rsid w:val="005A2971"/>
    <w:rsid w:val="005B6A40"/>
    <w:rsid w:val="005C47EF"/>
    <w:rsid w:val="005D5F3D"/>
    <w:rsid w:val="005D6F19"/>
    <w:rsid w:val="005F09A0"/>
    <w:rsid w:val="00605E67"/>
    <w:rsid w:val="00646424"/>
    <w:rsid w:val="00655AD0"/>
    <w:rsid w:val="00655E62"/>
    <w:rsid w:val="006579A8"/>
    <w:rsid w:val="00680468"/>
    <w:rsid w:val="00687D37"/>
    <w:rsid w:val="006A53F2"/>
    <w:rsid w:val="006A6E2E"/>
    <w:rsid w:val="006C0E5A"/>
    <w:rsid w:val="007157C3"/>
    <w:rsid w:val="0074022A"/>
    <w:rsid w:val="00742130"/>
    <w:rsid w:val="00756DF9"/>
    <w:rsid w:val="007739CD"/>
    <w:rsid w:val="00774632"/>
    <w:rsid w:val="00782EF2"/>
    <w:rsid w:val="007B2E33"/>
    <w:rsid w:val="007B4C08"/>
    <w:rsid w:val="007B7371"/>
    <w:rsid w:val="007C6CB8"/>
    <w:rsid w:val="007D4F0E"/>
    <w:rsid w:val="00804A03"/>
    <w:rsid w:val="00806A5F"/>
    <w:rsid w:val="008113CD"/>
    <w:rsid w:val="008136E1"/>
    <w:rsid w:val="00816A22"/>
    <w:rsid w:val="00817448"/>
    <w:rsid w:val="00827210"/>
    <w:rsid w:val="00835B56"/>
    <w:rsid w:val="00850C8D"/>
    <w:rsid w:val="00864B8A"/>
    <w:rsid w:val="00871E41"/>
    <w:rsid w:val="008732F7"/>
    <w:rsid w:val="008762B7"/>
    <w:rsid w:val="00882A7B"/>
    <w:rsid w:val="008846E9"/>
    <w:rsid w:val="008A2F58"/>
    <w:rsid w:val="008A46F9"/>
    <w:rsid w:val="008B7660"/>
    <w:rsid w:val="008C591B"/>
    <w:rsid w:val="008D1A9B"/>
    <w:rsid w:val="008E1EEC"/>
    <w:rsid w:val="008F15F8"/>
    <w:rsid w:val="008F55DD"/>
    <w:rsid w:val="008F6C36"/>
    <w:rsid w:val="00911E07"/>
    <w:rsid w:val="00913C54"/>
    <w:rsid w:val="0094367F"/>
    <w:rsid w:val="009528F5"/>
    <w:rsid w:val="0096365A"/>
    <w:rsid w:val="00970806"/>
    <w:rsid w:val="00971CC3"/>
    <w:rsid w:val="00985DDD"/>
    <w:rsid w:val="00990A7A"/>
    <w:rsid w:val="00992A87"/>
    <w:rsid w:val="00996B6C"/>
    <w:rsid w:val="009A6C39"/>
    <w:rsid w:val="009C1EA9"/>
    <w:rsid w:val="009C27E5"/>
    <w:rsid w:val="009F2BE7"/>
    <w:rsid w:val="00A11930"/>
    <w:rsid w:val="00A23804"/>
    <w:rsid w:val="00A26093"/>
    <w:rsid w:val="00A3241D"/>
    <w:rsid w:val="00A46783"/>
    <w:rsid w:val="00A63ECC"/>
    <w:rsid w:val="00A76F89"/>
    <w:rsid w:val="00A966C4"/>
    <w:rsid w:val="00AA2D0D"/>
    <w:rsid w:val="00AB14AC"/>
    <w:rsid w:val="00AB71D1"/>
    <w:rsid w:val="00AD36E1"/>
    <w:rsid w:val="00AE650E"/>
    <w:rsid w:val="00AF0D78"/>
    <w:rsid w:val="00B00F25"/>
    <w:rsid w:val="00B016EC"/>
    <w:rsid w:val="00B04FC4"/>
    <w:rsid w:val="00B26FE9"/>
    <w:rsid w:val="00B35AA5"/>
    <w:rsid w:val="00B35D73"/>
    <w:rsid w:val="00B36929"/>
    <w:rsid w:val="00B3740B"/>
    <w:rsid w:val="00B42C47"/>
    <w:rsid w:val="00B42D78"/>
    <w:rsid w:val="00B51E4F"/>
    <w:rsid w:val="00B636ED"/>
    <w:rsid w:val="00B959C7"/>
    <w:rsid w:val="00BA0326"/>
    <w:rsid w:val="00BA5530"/>
    <w:rsid w:val="00BB65D7"/>
    <w:rsid w:val="00BC5F3F"/>
    <w:rsid w:val="00BD35E3"/>
    <w:rsid w:val="00BE1B48"/>
    <w:rsid w:val="00C061E3"/>
    <w:rsid w:val="00C17E60"/>
    <w:rsid w:val="00C30F2C"/>
    <w:rsid w:val="00C46D44"/>
    <w:rsid w:val="00C51630"/>
    <w:rsid w:val="00C530D3"/>
    <w:rsid w:val="00C75F1B"/>
    <w:rsid w:val="00C84747"/>
    <w:rsid w:val="00C965A1"/>
    <w:rsid w:val="00CA00B7"/>
    <w:rsid w:val="00CA5C97"/>
    <w:rsid w:val="00CB76B5"/>
    <w:rsid w:val="00CC69FD"/>
    <w:rsid w:val="00CE5EF6"/>
    <w:rsid w:val="00D034D4"/>
    <w:rsid w:val="00D46D2C"/>
    <w:rsid w:val="00D51337"/>
    <w:rsid w:val="00D63269"/>
    <w:rsid w:val="00D63791"/>
    <w:rsid w:val="00D66A58"/>
    <w:rsid w:val="00D74ABB"/>
    <w:rsid w:val="00D76FD8"/>
    <w:rsid w:val="00D93612"/>
    <w:rsid w:val="00D97D10"/>
    <w:rsid w:val="00DB190F"/>
    <w:rsid w:val="00DC1869"/>
    <w:rsid w:val="00DC40DB"/>
    <w:rsid w:val="00DC5395"/>
    <w:rsid w:val="00DE6D35"/>
    <w:rsid w:val="00DF3A66"/>
    <w:rsid w:val="00E05F49"/>
    <w:rsid w:val="00E11F43"/>
    <w:rsid w:val="00E277EC"/>
    <w:rsid w:val="00E30012"/>
    <w:rsid w:val="00E37A31"/>
    <w:rsid w:val="00E37CDB"/>
    <w:rsid w:val="00E41C8A"/>
    <w:rsid w:val="00E44DF2"/>
    <w:rsid w:val="00E4653B"/>
    <w:rsid w:val="00E477D8"/>
    <w:rsid w:val="00E63E3C"/>
    <w:rsid w:val="00E71388"/>
    <w:rsid w:val="00E73260"/>
    <w:rsid w:val="00E9507D"/>
    <w:rsid w:val="00E95484"/>
    <w:rsid w:val="00EE54A6"/>
    <w:rsid w:val="00EE7CCA"/>
    <w:rsid w:val="00F05A45"/>
    <w:rsid w:val="00F13AC9"/>
    <w:rsid w:val="00F41925"/>
    <w:rsid w:val="00F41EDD"/>
    <w:rsid w:val="00F45CC6"/>
    <w:rsid w:val="00F55097"/>
    <w:rsid w:val="00F5751D"/>
    <w:rsid w:val="00F65AAA"/>
    <w:rsid w:val="00F77D5E"/>
    <w:rsid w:val="00F86C61"/>
    <w:rsid w:val="00FA4600"/>
    <w:rsid w:val="00FA581E"/>
    <w:rsid w:val="00FB6A60"/>
    <w:rsid w:val="00FB7240"/>
    <w:rsid w:val="00FC4173"/>
    <w:rsid w:val="00FD167D"/>
    <w:rsid w:val="00FD6A0A"/>
    <w:rsid w:val="00FF3C78"/>
    <w:rsid w:val="00FF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1A3133-6684-4AC8-9C17-4B0D723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CDB"/>
    <w:rPr>
      <w:sz w:val="24"/>
      <w:szCs w:val="24"/>
    </w:rPr>
  </w:style>
  <w:style w:type="paragraph" w:styleId="Heading1">
    <w:name w:val="heading 1"/>
    <w:basedOn w:val="Normal"/>
    <w:link w:val="Heading1Char"/>
    <w:qFormat/>
    <w:rsid w:val="00A966C4"/>
    <w:pPr>
      <w:keepNext/>
      <w:jc w:val="center"/>
      <w:outlineLvl w:val="0"/>
    </w:pPr>
    <w:rPr>
      <w:rFonts w:ascii="CG Times" w:eastAsia="Arial Unicode MS" w:hAnsi="CG Times"/>
      <w:b/>
      <w:bCs/>
      <w:spacing w:val="-3"/>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54A6"/>
    <w:pPr>
      <w:tabs>
        <w:tab w:val="center" w:pos="4320"/>
        <w:tab w:val="right" w:pos="8640"/>
      </w:tabs>
    </w:pPr>
  </w:style>
  <w:style w:type="paragraph" w:styleId="Footer">
    <w:name w:val="footer"/>
    <w:basedOn w:val="Normal"/>
    <w:link w:val="FooterChar"/>
    <w:rsid w:val="00EE54A6"/>
    <w:pPr>
      <w:tabs>
        <w:tab w:val="center" w:pos="4320"/>
        <w:tab w:val="right" w:pos="8640"/>
      </w:tabs>
    </w:pPr>
  </w:style>
  <w:style w:type="table" w:styleId="TableGrid">
    <w:name w:val="Table Grid"/>
    <w:basedOn w:val="TableNormal"/>
    <w:rsid w:val="00EE5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E54A6"/>
    <w:pPr>
      <w:numPr>
        <w:numId w:val="1"/>
      </w:numPr>
    </w:pPr>
  </w:style>
  <w:style w:type="character" w:customStyle="1" w:styleId="Heading1Char">
    <w:name w:val="Heading 1 Char"/>
    <w:link w:val="Heading1"/>
    <w:rsid w:val="00A966C4"/>
    <w:rPr>
      <w:rFonts w:ascii="CG Times" w:eastAsia="Arial Unicode MS" w:hAnsi="CG Times" w:cs="Arial Unicode MS"/>
      <w:b/>
      <w:bCs/>
      <w:spacing w:val="-3"/>
      <w:kern w:val="36"/>
      <w:sz w:val="24"/>
      <w:szCs w:val="24"/>
    </w:rPr>
  </w:style>
  <w:style w:type="character" w:styleId="Hyperlink">
    <w:name w:val="Hyperlink"/>
    <w:rsid w:val="00A966C4"/>
    <w:rPr>
      <w:color w:val="0000FF"/>
      <w:u w:val="single"/>
    </w:rPr>
  </w:style>
  <w:style w:type="paragraph" w:styleId="BodyText">
    <w:name w:val="Body Text"/>
    <w:basedOn w:val="Normal"/>
    <w:link w:val="BodyTextChar"/>
    <w:rsid w:val="00A966C4"/>
    <w:pPr>
      <w:widowControl w:val="0"/>
      <w:tabs>
        <w:tab w:val="left" w:pos="-720"/>
      </w:tabs>
      <w:suppressAutoHyphens/>
      <w:jc w:val="both"/>
    </w:pPr>
    <w:rPr>
      <w:szCs w:val="20"/>
    </w:rPr>
  </w:style>
  <w:style w:type="character" w:customStyle="1" w:styleId="BodyTextChar">
    <w:name w:val="Body Text Char"/>
    <w:link w:val="BodyText"/>
    <w:rsid w:val="00A966C4"/>
    <w:rPr>
      <w:sz w:val="24"/>
    </w:rPr>
  </w:style>
  <w:style w:type="paragraph" w:styleId="NormalWeb">
    <w:name w:val="Normal (Web)"/>
    <w:basedOn w:val="Normal"/>
    <w:uiPriority w:val="99"/>
    <w:unhideWhenUsed/>
    <w:rsid w:val="001A27E3"/>
    <w:pPr>
      <w:spacing w:before="100" w:beforeAutospacing="1" w:after="100" w:afterAutospacing="1"/>
    </w:pPr>
    <w:rPr>
      <w:rFonts w:eastAsia="Calibri"/>
    </w:rPr>
  </w:style>
  <w:style w:type="character" w:styleId="CommentReference">
    <w:name w:val="annotation reference"/>
    <w:rsid w:val="00213DCE"/>
    <w:rPr>
      <w:sz w:val="16"/>
      <w:szCs w:val="16"/>
    </w:rPr>
  </w:style>
  <w:style w:type="paragraph" w:styleId="CommentText">
    <w:name w:val="annotation text"/>
    <w:basedOn w:val="Normal"/>
    <w:link w:val="CommentTextChar"/>
    <w:rsid w:val="00213DCE"/>
    <w:rPr>
      <w:sz w:val="20"/>
      <w:szCs w:val="20"/>
    </w:rPr>
  </w:style>
  <w:style w:type="character" w:customStyle="1" w:styleId="CommentTextChar">
    <w:name w:val="Comment Text Char"/>
    <w:basedOn w:val="DefaultParagraphFont"/>
    <w:link w:val="CommentText"/>
    <w:rsid w:val="00213DCE"/>
  </w:style>
  <w:style w:type="paragraph" w:styleId="CommentSubject">
    <w:name w:val="annotation subject"/>
    <w:basedOn w:val="CommentText"/>
    <w:next w:val="CommentText"/>
    <w:link w:val="CommentSubjectChar"/>
    <w:rsid w:val="00213DCE"/>
    <w:rPr>
      <w:b/>
      <w:bCs/>
    </w:rPr>
  </w:style>
  <w:style w:type="character" w:customStyle="1" w:styleId="CommentSubjectChar">
    <w:name w:val="Comment Subject Char"/>
    <w:link w:val="CommentSubject"/>
    <w:rsid w:val="00213DCE"/>
    <w:rPr>
      <w:b/>
      <w:bCs/>
    </w:rPr>
  </w:style>
  <w:style w:type="paragraph" w:styleId="BalloonText">
    <w:name w:val="Balloon Text"/>
    <w:basedOn w:val="Normal"/>
    <w:link w:val="BalloonTextChar"/>
    <w:rsid w:val="00213DCE"/>
    <w:rPr>
      <w:rFonts w:ascii="Tahoma" w:hAnsi="Tahoma"/>
      <w:sz w:val="16"/>
      <w:szCs w:val="16"/>
    </w:rPr>
  </w:style>
  <w:style w:type="character" w:customStyle="1" w:styleId="BalloonTextChar">
    <w:name w:val="Balloon Text Char"/>
    <w:link w:val="BalloonText"/>
    <w:rsid w:val="00213DCE"/>
    <w:rPr>
      <w:rFonts w:ascii="Tahoma" w:hAnsi="Tahoma" w:cs="Tahoma"/>
      <w:sz w:val="16"/>
      <w:szCs w:val="16"/>
    </w:rPr>
  </w:style>
  <w:style w:type="character" w:customStyle="1" w:styleId="FooterChar">
    <w:name w:val="Footer Char"/>
    <w:link w:val="Footer"/>
    <w:rsid w:val="00292281"/>
    <w:rPr>
      <w:sz w:val="24"/>
      <w:szCs w:val="24"/>
    </w:rPr>
  </w:style>
  <w:style w:type="paragraph" w:styleId="BodyTextIndent">
    <w:name w:val="Body Text Indent"/>
    <w:basedOn w:val="Normal"/>
    <w:link w:val="BodyTextIndentChar"/>
    <w:rsid w:val="00B51E4F"/>
    <w:pPr>
      <w:spacing w:after="120"/>
      <w:ind w:left="360"/>
    </w:pPr>
  </w:style>
  <w:style w:type="character" w:customStyle="1" w:styleId="BodyTextIndentChar">
    <w:name w:val="Body Text Indent Char"/>
    <w:basedOn w:val="DefaultParagraphFont"/>
    <w:link w:val="BodyTextIndent"/>
    <w:rsid w:val="00B51E4F"/>
    <w:rPr>
      <w:sz w:val="24"/>
      <w:szCs w:val="24"/>
    </w:rPr>
  </w:style>
  <w:style w:type="paragraph" w:customStyle="1" w:styleId="listparagraph">
    <w:name w:val="listparagraph"/>
    <w:basedOn w:val="Normal"/>
    <w:rsid w:val="00B51E4F"/>
    <w:pPr>
      <w:spacing w:after="200" w:line="276" w:lineRule="auto"/>
      <w:ind w:left="720"/>
    </w:pPr>
    <w:rPr>
      <w:rFonts w:ascii="Calibri" w:eastAsia="Calibri" w:hAnsi="Calibri"/>
      <w:sz w:val="22"/>
      <w:szCs w:val="22"/>
    </w:rPr>
  </w:style>
  <w:style w:type="paragraph" w:customStyle="1" w:styleId="StyleHeading1Left">
    <w:name w:val="Style Heading 1 + Left"/>
    <w:basedOn w:val="Heading1"/>
    <w:rsid w:val="00680468"/>
    <w:pPr>
      <w:jc w:val="left"/>
    </w:pPr>
    <w:rPr>
      <w:rFonts w:ascii="Arial" w:eastAsia="Times New Roman" w:hAnsi="Arial"/>
      <w:b w:val="0"/>
      <w:sz w:val="28"/>
      <w:szCs w:val="20"/>
    </w:rPr>
  </w:style>
  <w:style w:type="paragraph" w:styleId="ListParagraph0">
    <w:name w:val="List Paragraph"/>
    <w:basedOn w:val="Normal"/>
    <w:uiPriority w:val="34"/>
    <w:qFormat/>
    <w:rsid w:val="00680468"/>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ph.maryland.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hley.Biggs1@maryland.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659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 IMMEDIATE RELEASE                         CONTACT: William Reinhard, 410-767-0486</vt:lpstr>
    </vt:vector>
  </TitlesOfParts>
  <Company>MSDE</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CONTACT: William Reinhard, 410-767-0486</dc:title>
  <dc:creator>hbradbury</dc:creator>
  <cp:lastModifiedBy>Mary Ramos</cp:lastModifiedBy>
  <cp:revision>19</cp:revision>
  <cp:lastPrinted>2017-07-31T20:03:00Z</cp:lastPrinted>
  <dcterms:created xsi:type="dcterms:W3CDTF">2018-08-24T12:58:00Z</dcterms:created>
  <dcterms:modified xsi:type="dcterms:W3CDTF">2018-08-24T14:28:00Z</dcterms:modified>
</cp:coreProperties>
</file>