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B8" w:rsidRDefault="000F6AF8">
      <w:pPr>
        <w:pStyle w:val="Heading1"/>
        <w:spacing w:before="81"/>
        <w:ind w:left="2640"/>
      </w:pPr>
      <w:r>
        <w:t>FEDERAL CAREER OPPORTUNITY</w:t>
      </w:r>
    </w:p>
    <w:p w:rsidR="00B104B8" w:rsidRDefault="000F6AF8">
      <w:pPr>
        <w:spacing w:before="1"/>
        <w:ind w:left="2487" w:right="2491" w:firstLine="459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U.S. DEPARTMENT OF LABOR</w:t>
      </w:r>
      <w:r>
        <w:rPr>
          <w:rFonts w:ascii="Verdana"/>
          <w:b/>
          <w:color w:val="FF0000"/>
          <w:sz w:val="28"/>
        </w:rPr>
        <w:t xml:space="preserve"> FULL-TIME PERMANENT POSITION</w:t>
      </w:r>
    </w:p>
    <w:p w:rsidR="00B104B8" w:rsidRDefault="000F6AF8">
      <w:pPr>
        <w:spacing w:before="1"/>
        <w:ind w:left="3826" w:right="3827"/>
        <w:jc w:val="center"/>
        <w:rPr>
          <w:rFonts w:ascii="Verdana"/>
          <w:b/>
          <w:sz w:val="28"/>
        </w:rPr>
      </w:pPr>
      <w:r>
        <w:rPr>
          <w:rFonts w:ascii="Verdana"/>
          <w:b/>
          <w:color w:val="FF0000"/>
          <w:sz w:val="28"/>
        </w:rPr>
        <w:t>TRIAL ATTORNEY</w:t>
      </w:r>
    </w:p>
    <w:p w:rsidR="00B104B8" w:rsidRDefault="00B104B8">
      <w:pPr>
        <w:pStyle w:val="BodyText"/>
        <w:spacing w:before="3"/>
        <w:ind w:left="0"/>
        <w:rPr>
          <w:rFonts w:ascii="Verdana"/>
          <w:b/>
          <w:sz w:val="28"/>
        </w:rPr>
      </w:pPr>
    </w:p>
    <w:p w:rsidR="00B104B8" w:rsidRDefault="000F6AF8">
      <w:pPr>
        <w:pStyle w:val="BodyText"/>
        <w:spacing w:line="252" w:lineRule="auto"/>
        <w:ind w:right="104"/>
        <w:jc w:val="both"/>
        <w:rPr>
          <w:b/>
        </w:rPr>
      </w:pPr>
      <w:r>
        <w:rPr>
          <w:w w:val="105"/>
        </w:rPr>
        <w:t>The U.S. Department of Labor, Office of the Solicitor (SOL) seeks a top-quality, experienced trial attorney to join</w:t>
      </w:r>
      <w:r>
        <w:rPr>
          <w:spacing w:val="55"/>
          <w:w w:val="105"/>
        </w:rPr>
        <w:t xml:space="preserve"> </w:t>
      </w:r>
      <w:r>
        <w:rPr>
          <w:b/>
          <w:w w:val="105"/>
        </w:rPr>
        <w:t>the San Francisco, CA, Seattle, WA, or Los Angeles, CA</w:t>
      </w:r>
      <w:r>
        <w:rPr>
          <w:b/>
          <w:spacing w:val="55"/>
          <w:w w:val="105"/>
        </w:rPr>
        <w:t xml:space="preserve"> </w:t>
      </w:r>
      <w:r>
        <w:rPr>
          <w:b/>
          <w:w w:val="105"/>
        </w:rPr>
        <w:t>sub-</w:t>
      </w:r>
      <w:proofErr w:type="gramStart"/>
      <w:r>
        <w:rPr>
          <w:b/>
          <w:w w:val="105"/>
        </w:rPr>
        <w:t>Regional  office</w:t>
      </w:r>
      <w:proofErr w:type="gramEnd"/>
      <w:r>
        <w:rPr>
          <w:w w:val="105"/>
        </w:rPr>
        <w:t xml:space="preserve">.  </w:t>
      </w:r>
      <w:proofErr w:type="gramStart"/>
      <w:r>
        <w:rPr>
          <w:w w:val="105"/>
        </w:rPr>
        <w:t>This  is</w:t>
      </w:r>
      <w:proofErr w:type="gramEnd"/>
      <w:r>
        <w:rPr>
          <w:w w:val="105"/>
        </w:rPr>
        <w:t xml:space="preserve">  a  full  time,  permanent GS-0905 position i</w:t>
      </w:r>
      <w:r w:rsidR="005513B6">
        <w:rPr>
          <w:w w:val="105"/>
        </w:rPr>
        <w:t xml:space="preserve">n the excepted  service.  This </w:t>
      </w:r>
      <w:proofErr w:type="gramStart"/>
      <w:r>
        <w:rPr>
          <w:w w:val="105"/>
        </w:rPr>
        <w:t>position  has</w:t>
      </w:r>
      <w:proofErr w:type="gramEnd"/>
      <w:r>
        <w:rPr>
          <w:w w:val="105"/>
        </w:rPr>
        <w:t xml:space="preserve">  promotion  potential  to  the  GS-14</w:t>
      </w:r>
      <w:r>
        <w:rPr>
          <w:spacing w:val="55"/>
          <w:w w:val="105"/>
        </w:rPr>
        <w:t xml:space="preserve"> </w:t>
      </w:r>
      <w:r>
        <w:rPr>
          <w:w w:val="105"/>
        </w:rPr>
        <w:t>level. The Trial Attorney will handle all phases  of  litigation  before  federal  courts  and administrative  bodies</w:t>
      </w:r>
      <w:r>
        <w:rPr>
          <w:spacing w:val="55"/>
          <w:w w:val="105"/>
        </w:rPr>
        <w:t xml:space="preserve"> </w:t>
      </w:r>
      <w:r>
        <w:rPr>
          <w:w w:val="105"/>
        </w:rPr>
        <w:t>under the Fair Labor</w:t>
      </w:r>
      <w:r>
        <w:rPr>
          <w:spacing w:val="55"/>
          <w:w w:val="105"/>
        </w:rPr>
        <w:t xml:space="preserve"> </w:t>
      </w:r>
      <w:r>
        <w:rPr>
          <w:w w:val="105"/>
        </w:rPr>
        <w:t>Standards  Act  (FLSA),  Employee  Retirement  Income  Security  Act  (ERISA),  Occupational Safety and Health Administration (OSHA), Mine Safety and Health Administration (MSHA), Office of Federal Contract Compliance Programs (OFCCP) and other</w:t>
      </w:r>
      <w:r>
        <w:rPr>
          <w:spacing w:val="55"/>
          <w:w w:val="105"/>
        </w:rPr>
        <w:t xml:space="preserve"> </w:t>
      </w:r>
      <w:r>
        <w:rPr>
          <w:w w:val="105"/>
        </w:rPr>
        <w:t>statutes  enforced  by  the  Department.  D</w:t>
      </w:r>
      <w:r w:rsidR="005513B6">
        <w:rPr>
          <w:w w:val="105"/>
        </w:rPr>
        <w:t xml:space="preserve">emonstrated interest in public </w:t>
      </w:r>
      <w:bookmarkStart w:id="0" w:name="_GoBack"/>
      <w:bookmarkEnd w:id="0"/>
      <w:r>
        <w:rPr>
          <w:w w:val="105"/>
        </w:rPr>
        <w:t>interest  law  and/or  experience  with  employment  laws  and/or  vulnerable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worker populations is desirable. Ability to speak Chinese, Korean or Spanish is not required, but preferred. </w:t>
      </w:r>
      <w:r>
        <w:rPr>
          <w:b/>
          <w:w w:val="105"/>
        </w:rPr>
        <w:t>Must</w:t>
      </w:r>
      <w:r>
        <w:rPr>
          <w:b/>
          <w:spacing w:val="55"/>
          <w:w w:val="105"/>
        </w:rPr>
        <w:t xml:space="preserve"> </w:t>
      </w:r>
      <w:r>
        <w:rPr>
          <w:b/>
          <w:w w:val="105"/>
        </w:rPr>
        <w:t>be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active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member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California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Bar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if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selected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for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San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Francisco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or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Los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Angeles.</w:t>
      </w:r>
    </w:p>
    <w:p w:rsidR="00B104B8" w:rsidRDefault="00B104B8">
      <w:pPr>
        <w:pStyle w:val="BodyText"/>
        <w:spacing w:before="11"/>
        <w:ind w:left="0"/>
        <w:rPr>
          <w:b/>
          <w:sz w:val="20"/>
        </w:rPr>
      </w:pPr>
    </w:p>
    <w:p w:rsidR="00B104B8" w:rsidRDefault="000F6AF8" w:rsidP="00693729">
      <w:pPr>
        <w:widowControl/>
        <w:autoSpaceDE/>
        <w:autoSpaceDN/>
        <w:jc w:val="both"/>
        <w:rPr>
          <w:rFonts w:eastAsia="Times New Roman"/>
          <w:bCs/>
          <w:spacing w:val="-2"/>
          <w:sz w:val="20"/>
          <w:szCs w:val="20"/>
        </w:rPr>
      </w:pPr>
      <w:r w:rsidRPr="000F6AF8">
        <w:rPr>
          <w:rFonts w:eastAsia="Times New Roman"/>
          <w:b/>
          <w:bCs/>
          <w:spacing w:val="-2"/>
          <w:sz w:val="20"/>
          <w:szCs w:val="20"/>
        </w:rPr>
        <w:t xml:space="preserve">SALARY:  </w:t>
      </w:r>
      <w:r w:rsidRPr="000F6AF8">
        <w:rPr>
          <w:rFonts w:eastAsia="Times New Roman"/>
          <w:bCs/>
          <w:spacing w:val="-2"/>
          <w:sz w:val="20"/>
          <w:szCs w:val="20"/>
        </w:rPr>
        <w:t xml:space="preserve">For more information, refer to the </w:t>
      </w:r>
      <w:r>
        <w:rPr>
          <w:rFonts w:eastAsia="Times New Roman"/>
          <w:bCs/>
          <w:spacing w:val="-2"/>
          <w:sz w:val="20"/>
          <w:szCs w:val="20"/>
        </w:rPr>
        <w:t>2019</w:t>
      </w:r>
      <w:r w:rsidRPr="000F6AF8">
        <w:rPr>
          <w:rFonts w:eastAsia="Times New Roman"/>
          <w:bCs/>
          <w:spacing w:val="-2"/>
          <w:sz w:val="20"/>
          <w:szCs w:val="20"/>
        </w:rPr>
        <w:t xml:space="preserve"> OPM General Schedule Salary Tables for the locality areas of </w:t>
      </w:r>
      <w:hyperlink r:id="rId4" w:history="1">
        <w:r w:rsidRPr="000F6AF8">
          <w:rPr>
            <w:rFonts w:eastAsia="Times New Roman"/>
            <w:bCs/>
            <w:color w:val="0000FF"/>
            <w:spacing w:val="-2"/>
            <w:sz w:val="20"/>
            <w:szCs w:val="20"/>
            <w:u w:val="single"/>
          </w:rPr>
          <w:t>Seattle, WA</w:t>
        </w:r>
      </w:hyperlink>
      <w:r w:rsidRPr="000F6AF8">
        <w:rPr>
          <w:rFonts w:eastAsia="Times New Roman"/>
          <w:bCs/>
          <w:spacing w:val="-2"/>
          <w:sz w:val="20"/>
          <w:szCs w:val="20"/>
        </w:rPr>
        <w:t xml:space="preserve">, </w:t>
      </w:r>
      <w:hyperlink r:id="rId5" w:history="1">
        <w:r w:rsidRPr="000F6AF8">
          <w:rPr>
            <w:rFonts w:eastAsia="Times New Roman"/>
            <w:bCs/>
            <w:color w:val="0000FF"/>
            <w:spacing w:val="-2"/>
            <w:sz w:val="20"/>
            <w:szCs w:val="20"/>
            <w:u w:val="single"/>
          </w:rPr>
          <w:t>San Francisco, CA</w:t>
        </w:r>
      </w:hyperlink>
      <w:r w:rsidRPr="000F6AF8">
        <w:rPr>
          <w:rFonts w:eastAsia="Times New Roman"/>
          <w:bCs/>
          <w:spacing w:val="-2"/>
          <w:sz w:val="20"/>
          <w:szCs w:val="20"/>
        </w:rPr>
        <w:t xml:space="preserve">, and </w:t>
      </w:r>
      <w:hyperlink r:id="rId6" w:history="1">
        <w:r w:rsidRPr="000F6AF8">
          <w:rPr>
            <w:rFonts w:eastAsia="Times New Roman"/>
            <w:bCs/>
            <w:color w:val="0000FF"/>
            <w:spacing w:val="-2"/>
            <w:sz w:val="20"/>
            <w:szCs w:val="20"/>
            <w:u w:val="single"/>
          </w:rPr>
          <w:t>Los Angeles, CA</w:t>
        </w:r>
      </w:hyperlink>
      <w:r w:rsidRPr="000F6AF8">
        <w:rPr>
          <w:rFonts w:eastAsia="Times New Roman"/>
          <w:bCs/>
          <w:spacing w:val="-2"/>
          <w:sz w:val="20"/>
          <w:szCs w:val="20"/>
        </w:rPr>
        <w:t>.</w:t>
      </w:r>
    </w:p>
    <w:p w:rsidR="00693729" w:rsidRPr="00693729" w:rsidRDefault="00693729" w:rsidP="00693729">
      <w:pPr>
        <w:widowControl/>
        <w:autoSpaceDE/>
        <w:autoSpaceDN/>
        <w:jc w:val="both"/>
        <w:rPr>
          <w:rFonts w:eastAsia="Times New Roman"/>
          <w:b/>
          <w:bCs/>
          <w:spacing w:val="-2"/>
          <w:sz w:val="20"/>
          <w:szCs w:val="20"/>
        </w:rPr>
      </w:pPr>
    </w:p>
    <w:p w:rsidR="00B104B8" w:rsidRDefault="00B104B8">
      <w:pPr>
        <w:pStyle w:val="BodyText"/>
        <w:spacing w:before="6"/>
        <w:ind w:left="0"/>
        <w:rPr>
          <w:sz w:val="20"/>
        </w:rPr>
      </w:pPr>
    </w:p>
    <w:p w:rsidR="00B104B8" w:rsidRDefault="000F6AF8">
      <w:pPr>
        <w:ind w:left="105"/>
        <w:rPr>
          <w:b/>
          <w:sz w:val="19"/>
        </w:rPr>
      </w:pPr>
      <w:r>
        <w:rPr>
          <w:b/>
          <w:w w:val="105"/>
          <w:sz w:val="19"/>
        </w:rPr>
        <w:t>QUALIFICATIONS REQUIREMENTS:</w:t>
      </w:r>
    </w:p>
    <w:p w:rsidR="00B104B8" w:rsidRDefault="00B104B8">
      <w:pPr>
        <w:pStyle w:val="BodyText"/>
        <w:spacing w:before="1"/>
        <w:ind w:left="0"/>
        <w:rPr>
          <w:b/>
          <w:sz w:val="21"/>
        </w:rPr>
      </w:pPr>
    </w:p>
    <w:p w:rsidR="00B104B8" w:rsidRDefault="000F6AF8">
      <w:pPr>
        <w:pStyle w:val="BodyText"/>
        <w:spacing w:line="252" w:lineRule="auto"/>
        <w:ind w:right="107"/>
        <w:jc w:val="both"/>
      </w:pPr>
      <w:r>
        <w:rPr>
          <w:w w:val="105"/>
        </w:rPr>
        <w:t>Requires a first professional law degree (LL.B. or J.D.) and active membership in good standing of the bar of a</w:t>
      </w:r>
      <w:r>
        <w:rPr>
          <w:spacing w:val="55"/>
          <w:w w:val="105"/>
        </w:rPr>
        <w:t xml:space="preserve"> </w:t>
      </w:r>
      <w:r>
        <w:rPr>
          <w:w w:val="105"/>
        </w:rPr>
        <w:t>court of general jurisdiction of a state, territory or possession of the United States, District of Columbia, or Commonwealth of Puerto Rico. In addition to being a member of the bar, applicants must have had the amount of post-law school legal experience indicated below. An LL.M may be substituted for a maximum of one year experience.</w:t>
      </w:r>
    </w:p>
    <w:p w:rsidR="00B104B8" w:rsidRDefault="00B104B8">
      <w:pPr>
        <w:pStyle w:val="BodyText"/>
        <w:spacing w:before="9"/>
        <w:ind w:left="0"/>
        <w:rPr>
          <w:sz w:val="11"/>
        </w:rPr>
      </w:pPr>
    </w:p>
    <w:p w:rsidR="00B104B8" w:rsidRDefault="00B104B8">
      <w:pPr>
        <w:rPr>
          <w:sz w:val="11"/>
        </w:rPr>
        <w:sectPr w:rsidR="00B104B8">
          <w:type w:val="continuous"/>
          <w:pgSz w:w="12240" w:h="15840"/>
          <w:pgMar w:top="640" w:right="900" w:bottom="280" w:left="900" w:header="720" w:footer="720" w:gutter="0"/>
          <w:cols w:space="720"/>
        </w:sectPr>
      </w:pPr>
    </w:p>
    <w:p w:rsidR="00B104B8" w:rsidRDefault="000F6AF8">
      <w:pPr>
        <w:pStyle w:val="BodyText"/>
        <w:spacing w:before="100" w:line="247" w:lineRule="auto"/>
        <w:ind w:right="38"/>
      </w:pPr>
      <w:r>
        <w:rPr>
          <w:w w:val="105"/>
          <w:u w:val="single"/>
        </w:rPr>
        <w:t xml:space="preserve">Grade </w:t>
      </w:r>
      <w:r>
        <w:rPr>
          <w:spacing w:val="-3"/>
          <w:w w:val="105"/>
          <w:u w:val="single"/>
        </w:rPr>
        <w:t>Level</w:t>
      </w:r>
      <w:r>
        <w:rPr>
          <w:spacing w:val="-3"/>
          <w:w w:val="105"/>
        </w:rPr>
        <w:t xml:space="preserve"> </w:t>
      </w:r>
      <w:r>
        <w:rPr>
          <w:w w:val="105"/>
        </w:rPr>
        <w:t>GS-12</w:t>
      </w:r>
    </w:p>
    <w:p w:rsidR="00B104B8" w:rsidRDefault="000F6AF8">
      <w:pPr>
        <w:pStyle w:val="BodyText"/>
        <w:spacing w:before="6" w:line="252" w:lineRule="auto"/>
        <w:ind w:right="551"/>
      </w:pPr>
      <w:r>
        <w:rPr>
          <w:w w:val="105"/>
        </w:rPr>
        <w:t>GS-13 GS-14</w:t>
      </w:r>
    </w:p>
    <w:p w:rsidR="00B104B8" w:rsidRDefault="000F6AF8">
      <w:pPr>
        <w:pStyle w:val="BodyText"/>
        <w:spacing w:before="100" w:line="252" w:lineRule="auto"/>
        <w:ind w:right="4747"/>
      </w:pPr>
      <w:r>
        <w:br w:type="column"/>
      </w:r>
      <w:r>
        <w:rPr>
          <w:w w:val="105"/>
          <w:u w:val="single"/>
        </w:rPr>
        <w:t>Years of Post Law School Experience</w:t>
      </w:r>
      <w:r>
        <w:rPr>
          <w:w w:val="105"/>
        </w:rPr>
        <w:t xml:space="preserve"> 1 or more</w:t>
      </w:r>
      <w:r>
        <w:rPr>
          <w:spacing w:val="2"/>
          <w:w w:val="105"/>
        </w:rPr>
        <w:t xml:space="preserve"> </w:t>
      </w:r>
      <w:r>
        <w:rPr>
          <w:w w:val="105"/>
        </w:rPr>
        <w:t>years</w:t>
      </w:r>
    </w:p>
    <w:p w:rsidR="00B104B8" w:rsidRDefault="000F6AF8">
      <w:pPr>
        <w:pStyle w:val="BodyText"/>
        <w:spacing w:line="252" w:lineRule="auto"/>
        <w:ind w:right="6759"/>
      </w:pPr>
      <w:r>
        <w:rPr>
          <w:w w:val="105"/>
        </w:rPr>
        <w:t>2 or more years 3 or more</w:t>
      </w:r>
      <w:r>
        <w:rPr>
          <w:spacing w:val="-5"/>
          <w:w w:val="105"/>
        </w:rPr>
        <w:t xml:space="preserve"> </w:t>
      </w:r>
      <w:r>
        <w:rPr>
          <w:w w:val="105"/>
        </w:rPr>
        <w:t>years</w:t>
      </w:r>
    </w:p>
    <w:p w:rsidR="00B104B8" w:rsidRDefault="00B104B8">
      <w:pPr>
        <w:spacing w:line="252" w:lineRule="auto"/>
        <w:sectPr w:rsidR="00B104B8">
          <w:type w:val="continuous"/>
          <w:pgSz w:w="12240" w:h="15840"/>
          <w:pgMar w:top="640" w:right="900" w:bottom="280" w:left="900" w:header="720" w:footer="720" w:gutter="0"/>
          <w:cols w:num="2" w:space="720" w:equalWidth="0">
            <w:col w:w="1235" w:space="924"/>
            <w:col w:w="8281"/>
          </w:cols>
        </w:sectPr>
      </w:pPr>
    </w:p>
    <w:p w:rsidR="00B104B8" w:rsidRPr="000431FF" w:rsidRDefault="000F6AF8" w:rsidP="000431FF">
      <w:pPr>
        <w:pStyle w:val="BodyText"/>
        <w:spacing w:line="252" w:lineRule="auto"/>
        <w:ind w:right="107"/>
        <w:jc w:val="both"/>
        <w:rPr>
          <w:w w:val="105"/>
        </w:rPr>
      </w:pPr>
      <w:r w:rsidRPr="000431FF">
        <w:rPr>
          <w:noProof/>
          <w:w w:val="105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ge">
                  <wp:posOffset>307975</wp:posOffset>
                </wp:positionV>
                <wp:extent cx="7086600" cy="9229725"/>
                <wp:effectExtent l="46355" t="41275" r="39370" b="444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9229725"/>
                        </a:xfrm>
                        <a:custGeom>
                          <a:avLst/>
                          <a:gdLst>
                            <a:gd name="T0" fmla="+- 0 598 538"/>
                            <a:gd name="T1" fmla="*/ T0 w 11160"/>
                            <a:gd name="T2" fmla="+- 0 545 485"/>
                            <a:gd name="T3" fmla="*/ 545 h 14535"/>
                            <a:gd name="T4" fmla="+- 0 11638 538"/>
                            <a:gd name="T5" fmla="*/ T4 w 11160"/>
                            <a:gd name="T6" fmla="+- 0 545 485"/>
                            <a:gd name="T7" fmla="*/ 545 h 14535"/>
                            <a:gd name="T8" fmla="+- 0 538 538"/>
                            <a:gd name="T9" fmla="*/ T8 w 11160"/>
                            <a:gd name="T10" fmla="+- 0 485 485"/>
                            <a:gd name="T11" fmla="*/ 485 h 14535"/>
                            <a:gd name="T12" fmla="+- 0 538 538"/>
                            <a:gd name="T13" fmla="*/ T12 w 11160"/>
                            <a:gd name="T14" fmla="+- 0 15020 485"/>
                            <a:gd name="T15" fmla="*/ 15020 h 14535"/>
                            <a:gd name="T16" fmla="+- 0 11698 538"/>
                            <a:gd name="T17" fmla="*/ T16 w 11160"/>
                            <a:gd name="T18" fmla="+- 0 485 485"/>
                            <a:gd name="T19" fmla="*/ 485 h 14535"/>
                            <a:gd name="T20" fmla="+- 0 11698 538"/>
                            <a:gd name="T21" fmla="*/ T20 w 11160"/>
                            <a:gd name="T22" fmla="+- 0 15020 485"/>
                            <a:gd name="T23" fmla="*/ 15020 h 145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160" h="14535">
                              <a:moveTo>
                                <a:pt x="60" y="60"/>
                              </a:moveTo>
                              <a:lnTo>
                                <a:pt x="11100" y="60"/>
                              </a:lnTo>
                              <a:moveTo>
                                <a:pt x="0" y="0"/>
                              </a:moveTo>
                              <a:lnTo>
                                <a:pt x="0" y="14535"/>
                              </a:lnTo>
                              <a:moveTo>
                                <a:pt x="11160" y="0"/>
                              </a:moveTo>
                              <a:lnTo>
                                <a:pt x="11160" y="14535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04361" id="AutoShape 2" o:spid="_x0000_s1026" style="position:absolute;margin-left:26.9pt;margin-top:24.25pt;width:558pt;height:72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60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" path="m60,60r11040,m,l,14535m11160,r,14535e" filled="f" strokeweight="6pt">
                <v:path arrowok="t" o:connecttype="custom" o:connectlocs="38100,346075;7048500,346075;0,307975;0,9537700;7086600,307975;7086600,9537700" o:connectangles="0,0,0,0,0,0"/>
                <w10:wrap anchorx="page" anchory="page"/>
              </v:shape>
            </w:pict>
          </mc:Fallback>
        </mc:AlternateContent>
      </w:r>
      <w:r>
        <w:rPr>
          <w:w w:val="105"/>
        </w:rPr>
        <w:t xml:space="preserve">The qualifying experience must have been progressively responsible legal experience of a professional nature that demonstrates the ability to perform the work at the grade level for which application is being made. At the </w:t>
      </w:r>
      <w:r w:rsidRPr="000431FF">
        <w:rPr>
          <w:w w:val="105"/>
        </w:rPr>
        <w:t xml:space="preserve">GS-14 </w:t>
      </w:r>
      <w:r>
        <w:rPr>
          <w:w w:val="105"/>
        </w:rPr>
        <w:t xml:space="preserve">level, at least twelve months of the qualifying experience must have been at a level of difficulty comparable to the next lower grade in the federal service. Qualifying experience in military service shall be counted as a continuation of any legal position held immediately prior to such service. In any case, the experience of the applicant must be of sufficient </w:t>
      </w:r>
      <w:proofErr w:type="spellStart"/>
      <w:r>
        <w:rPr>
          <w:w w:val="105"/>
        </w:rPr>
        <w:t>recency</w:t>
      </w:r>
      <w:proofErr w:type="spellEnd"/>
      <w:r>
        <w:rPr>
          <w:w w:val="105"/>
        </w:rPr>
        <w:t xml:space="preserve"> to indicate that he/she is capable of performing the duties of the</w:t>
      </w:r>
      <w:r w:rsidRPr="000431FF">
        <w:rPr>
          <w:w w:val="105"/>
        </w:rPr>
        <w:t xml:space="preserve"> </w:t>
      </w:r>
      <w:r>
        <w:rPr>
          <w:w w:val="105"/>
        </w:rPr>
        <w:t>position.</w:t>
      </w:r>
    </w:p>
    <w:p w:rsidR="00B104B8" w:rsidRDefault="00B104B8">
      <w:pPr>
        <w:pStyle w:val="BodyText"/>
        <w:spacing w:before="1"/>
        <w:ind w:left="0"/>
        <w:rPr>
          <w:sz w:val="25"/>
        </w:rPr>
      </w:pPr>
    </w:p>
    <w:p w:rsidR="00B104B8" w:rsidRDefault="000F6AF8">
      <w:pPr>
        <w:spacing w:before="1" w:line="252" w:lineRule="auto"/>
        <w:ind w:left="105" w:right="109"/>
        <w:jc w:val="both"/>
        <w:rPr>
          <w:sz w:val="19"/>
        </w:rPr>
      </w:pPr>
      <w:r>
        <w:rPr>
          <w:b/>
          <w:w w:val="105"/>
          <w:sz w:val="19"/>
        </w:rPr>
        <w:t xml:space="preserve">EMPLOYMENT/ELIGIBILITY REQUIREMENTS: </w:t>
      </w:r>
      <w:r>
        <w:rPr>
          <w:w w:val="105"/>
          <w:sz w:val="19"/>
        </w:rPr>
        <w:t>U.S. Citizenship or eligible for employment in the United States; must meet DOL investigation requirements.</w:t>
      </w:r>
    </w:p>
    <w:p w:rsidR="00B104B8" w:rsidRDefault="00B104B8">
      <w:pPr>
        <w:pStyle w:val="BodyText"/>
        <w:spacing w:before="10"/>
        <w:ind w:left="0"/>
        <w:rPr>
          <w:sz w:val="23"/>
        </w:rPr>
      </w:pPr>
    </w:p>
    <w:p w:rsidR="00B104B8" w:rsidRDefault="000F6AF8">
      <w:pPr>
        <w:pStyle w:val="BodyText"/>
        <w:spacing w:before="1" w:line="247" w:lineRule="auto"/>
        <w:ind w:right="102"/>
        <w:jc w:val="both"/>
      </w:pPr>
      <w:r>
        <w:rPr>
          <w:b/>
          <w:w w:val="105"/>
        </w:rPr>
        <w:t xml:space="preserve">TO APPLY: </w:t>
      </w:r>
      <w:r>
        <w:rPr>
          <w:w w:val="105"/>
        </w:rPr>
        <w:t xml:space="preserve">Interested candidates must submit cover letter, resume, writing sample, and veteran’s documentation (if applicable) to </w:t>
      </w:r>
      <w:hyperlink r:id="rId7">
        <w:r>
          <w:rPr>
            <w:color w:val="0000FF"/>
            <w:w w:val="105"/>
            <w:u w:val="single" w:color="0000FF"/>
          </w:rPr>
          <w:t>Hoffman.maryvette@dol.gov</w:t>
        </w:r>
      </w:hyperlink>
      <w:r>
        <w:rPr>
          <w:color w:val="0000FF"/>
          <w:w w:val="105"/>
        </w:rPr>
        <w:t xml:space="preserve"> </w:t>
      </w:r>
      <w:r>
        <w:rPr>
          <w:w w:val="105"/>
        </w:rPr>
        <w:t>by March 1, 2019. All resumes and supplemental documentation</w:t>
      </w:r>
      <w:r>
        <w:rPr>
          <w:spacing w:val="55"/>
          <w:w w:val="105"/>
        </w:rPr>
        <w:t xml:space="preserve"> </w:t>
      </w:r>
      <w:r>
        <w:rPr>
          <w:w w:val="105"/>
        </w:rPr>
        <w:t>must be received by 11:59pm, Pacific Time on the closing date of March 1, 2019. Please use code PN-19-SF- SOL-001 in your cover</w:t>
      </w:r>
      <w:r>
        <w:rPr>
          <w:spacing w:val="-8"/>
          <w:w w:val="105"/>
        </w:rPr>
        <w:t xml:space="preserve"> </w:t>
      </w:r>
      <w:r>
        <w:rPr>
          <w:w w:val="105"/>
        </w:rPr>
        <w:t>letter.</w:t>
      </w:r>
    </w:p>
    <w:p w:rsidR="00B104B8" w:rsidRDefault="00B104B8">
      <w:pPr>
        <w:pStyle w:val="BodyText"/>
        <w:spacing w:before="3"/>
        <w:ind w:left="0"/>
        <w:rPr>
          <w:sz w:val="26"/>
        </w:rPr>
      </w:pPr>
    </w:p>
    <w:p w:rsidR="00B104B8" w:rsidRDefault="000F6AF8">
      <w:pPr>
        <w:pStyle w:val="BodyText"/>
        <w:spacing w:line="252" w:lineRule="auto"/>
        <w:ind w:right="102"/>
        <w:jc w:val="both"/>
        <w:rPr>
          <w:w w:val="105"/>
        </w:rPr>
      </w:pPr>
      <w:r>
        <w:rPr>
          <w:b/>
          <w:w w:val="105"/>
        </w:rPr>
        <w:t xml:space="preserve">VETERANS: </w:t>
      </w:r>
      <w:r>
        <w:rPr>
          <w:w w:val="105"/>
        </w:rPr>
        <w:t>If you are a veteran of the U.S. military, you must include a Copy 4 of your DD214, Report of Discharge, with your application/resume. If you</w:t>
      </w:r>
      <w:r>
        <w:rPr>
          <w:spacing w:val="55"/>
          <w:w w:val="105"/>
        </w:rPr>
        <w:t xml:space="preserve"> </w:t>
      </w:r>
      <w:proofErr w:type="gramStart"/>
      <w:r>
        <w:rPr>
          <w:w w:val="105"/>
        </w:rPr>
        <w:t>are  a</w:t>
      </w:r>
      <w:proofErr w:type="gramEnd"/>
      <w:r>
        <w:rPr>
          <w:w w:val="105"/>
        </w:rPr>
        <w:t xml:space="preserve">  veteran  with  a  service-connected  disability,  you  must also include a statement from the VA, along with an SF-15, Application for 10-point Veterans</w:t>
      </w:r>
      <w:r>
        <w:rPr>
          <w:spacing w:val="-8"/>
          <w:w w:val="105"/>
        </w:rPr>
        <w:t xml:space="preserve"> </w:t>
      </w:r>
      <w:r>
        <w:rPr>
          <w:w w:val="105"/>
        </w:rPr>
        <w:t>Preference.</w:t>
      </w:r>
    </w:p>
    <w:p w:rsidR="00F4668F" w:rsidRDefault="00F4668F">
      <w:pPr>
        <w:pStyle w:val="BodyText"/>
        <w:spacing w:line="252" w:lineRule="auto"/>
        <w:ind w:right="102"/>
        <w:jc w:val="both"/>
      </w:pPr>
    </w:p>
    <w:p w:rsidR="005C59B4" w:rsidRDefault="000F6AF8" w:rsidP="00F4668F">
      <w:pPr>
        <w:jc w:val="both"/>
        <w:rPr>
          <w:rFonts w:eastAsiaTheme="minorHAnsi"/>
          <w:color w:val="333333"/>
          <w:sz w:val="20"/>
          <w:szCs w:val="20"/>
          <w:lang w:val="en"/>
        </w:rPr>
      </w:pPr>
      <w:r w:rsidRPr="00F4668F">
        <w:rPr>
          <w:b/>
          <w:w w:val="105"/>
          <w:sz w:val="19"/>
        </w:rPr>
        <w:t>REFER TO THESE LINKS FOR MORE INFORMATION</w:t>
      </w:r>
      <w:r>
        <w:rPr>
          <w:w w:val="105"/>
          <w:sz w:val="19"/>
        </w:rPr>
        <w:t xml:space="preserve">: </w:t>
      </w:r>
      <w:hyperlink r:id="rId8" w:history="1">
        <w:r w:rsidRPr="0055406A">
          <w:rPr>
            <w:color w:val="0000FF"/>
            <w:u w:val="single"/>
          </w:rPr>
          <w:t>DOL SOL WEBSITE</w:t>
        </w:r>
      </w:hyperlink>
      <w:r w:rsidRPr="000F6AF8">
        <w:rPr>
          <w:color w:val="000000"/>
          <w:sz w:val="20"/>
          <w:szCs w:val="20"/>
        </w:rPr>
        <w:t>,</w:t>
      </w:r>
      <w:r w:rsidR="00F4668F">
        <w:rPr>
          <w:color w:val="000000"/>
          <w:sz w:val="20"/>
          <w:szCs w:val="20"/>
        </w:rPr>
        <w:t xml:space="preserve"> </w:t>
      </w:r>
      <w:hyperlink r:id="rId9" w:anchor="Reasonable-Accommodations" w:history="1">
        <w:r w:rsidR="00F4668F" w:rsidRPr="00F4668F">
          <w:rPr>
            <w:rStyle w:val="Hyperlink"/>
            <w:sz w:val="20"/>
            <w:szCs w:val="20"/>
          </w:rPr>
          <w:t>REASONABLE ACCOMMODATIONS</w:t>
        </w:r>
      </w:hyperlink>
      <w:r w:rsidRPr="000F6AF8">
        <w:rPr>
          <w:color w:val="000000"/>
          <w:sz w:val="20"/>
          <w:szCs w:val="20"/>
        </w:rPr>
        <w:t xml:space="preserve"> </w:t>
      </w:r>
      <w:hyperlink r:id="rId10" w:anchor="gen-info" w:history="1">
        <w:r w:rsidR="0055406A">
          <w:rPr>
            <w:rStyle w:val="Hyperlink"/>
          </w:rPr>
          <w:t>GENERAL INFORMATION</w:t>
        </w:r>
      </w:hyperlink>
      <w:r w:rsidR="0055406A">
        <w:t xml:space="preserve">, </w:t>
      </w:r>
      <w:hyperlink r:id="rId11" w:history="1">
        <w:r w:rsidR="0055406A" w:rsidRPr="0055406A">
          <w:rPr>
            <w:rStyle w:val="Hyperlink"/>
            <w:lang w:val="en"/>
          </w:rPr>
          <w:t>ADDITIONAL DOCUMENTATION</w:t>
        </w:r>
      </w:hyperlink>
      <w:r w:rsidR="0055406A">
        <w:rPr>
          <w:rFonts w:ascii="Tahoma" w:hAnsi="Tahoma" w:cs="Tahoma"/>
          <w:color w:val="333333"/>
          <w:sz w:val="18"/>
          <w:szCs w:val="18"/>
          <w:lang w:val="en"/>
        </w:rPr>
        <w:t xml:space="preserve">, </w:t>
      </w:r>
      <w:hyperlink r:id="rId12" w:anchor="eva-foreign" w:history="1">
        <w:r w:rsidR="0055406A">
          <w:rPr>
            <w:rStyle w:val="Hyperlink"/>
          </w:rPr>
          <w:t>EVALUATION OF FOREIGN EDUCATION</w:t>
        </w:r>
      </w:hyperlink>
      <w:r w:rsidR="0055406A">
        <w:t xml:space="preserve">, </w:t>
      </w:r>
      <w:hyperlink r:id="rId13" w:history="1">
        <w:r w:rsidR="0055406A">
          <w:rPr>
            <w:rStyle w:val="Hyperlink"/>
          </w:rPr>
          <w:t>EQUAL OPPORTUNITY EMPLOYMENT POLICY</w:t>
        </w:r>
      </w:hyperlink>
      <w:r w:rsidR="0055406A">
        <w:t xml:space="preserve">, </w:t>
      </w:r>
      <w:hyperlink r:id="rId14" w:history="1">
        <w:r w:rsidR="0055406A">
          <w:rPr>
            <w:rStyle w:val="Hyperlink"/>
          </w:rPr>
          <w:t>SELECTIVE SERVICE REGISTRATION</w:t>
        </w:r>
      </w:hyperlink>
      <w:r w:rsidR="00F4668F">
        <w:t xml:space="preserve">, </w:t>
      </w:r>
      <w:hyperlink r:id="rId15" w:anchor="ben-perm" w:history="1">
        <w:r w:rsidR="00F4668F" w:rsidRPr="005C59B4">
          <w:rPr>
            <w:rStyle w:val="Hyperlink"/>
            <w:lang w:val="en"/>
          </w:rPr>
          <w:t>BENEFITS</w:t>
        </w:r>
      </w:hyperlink>
      <w:r w:rsidR="00F4668F">
        <w:t xml:space="preserve">. </w:t>
      </w:r>
    </w:p>
    <w:p w:rsidR="0055406A" w:rsidRDefault="0055406A" w:rsidP="0055406A"/>
    <w:p w:rsidR="00236361" w:rsidRDefault="00236361" w:rsidP="0055406A"/>
    <w:p w:rsidR="00B104B8" w:rsidRDefault="00B104B8" w:rsidP="000F6AF8">
      <w:pPr>
        <w:spacing w:before="10"/>
        <w:ind w:left="105"/>
      </w:pPr>
    </w:p>
    <w:sectPr w:rsidR="00B104B8">
      <w:type w:val="continuous"/>
      <w:pgSz w:w="12240" w:h="15840"/>
      <w:pgMar w:top="6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B8"/>
    <w:rsid w:val="000431FF"/>
    <w:rsid w:val="000F6AF8"/>
    <w:rsid w:val="00221E48"/>
    <w:rsid w:val="00236361"/>
    <w:rsid w:val="005513B6"/>
    <w:rsid w:val="0055406A"/>
    <w:rsid w:val="005C59B4"/>
    <w:rsid w:val="00693729"/>
    <w:rsid w:val="00AE3D9A"/>
    <w:rsid w:val="00B104B8"/>
    <w:rsid w:val="00DD737A"/>
    <w:rsid w:val="00F4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9BEE"/>
  <w15:docId w15:val="{59C60507-0392-4380-A7C1-2CD58DE2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2487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F6AF8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rsid w:val="000F6AF8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540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3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sol" TargetMode="External"/><Relationship Id="rId13" Type="http://schemas.openxmlformats.org/officeDocument/2006/relationships/hyperlink" Target="https://www.eeoc.gov/federal/fed_employees/index.c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ffman.maryvette@dol.gov" TargetMode="External"/><Relationship Id="rId12" Type="http://schemas.openxmlformats.org/officeDocument/2006/relationships/hyperlink" Target="https://www.dol.gov/general/jobs/vacancy-informatio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opm.gov/policy-data-oversight/pay-leave/salaries-wages/salary-tables/18Tables/html/LA.aspx" TargetMode="External"/><Relationship Id="rId11" Type="http://schemas.openxmlformats.org/officeDocument/2006/relationships/hyperlink" Target="http://www.dol.gov/oasam/doljobs/Additional-Documentation.htm" TargetMode="External"/><Relationship Id="rId5" Type="http://schemas.openxmlformats.org/officeDocument/2006/relationships/hyperlink" Target="https://www.opm.gov/policy-data-oversight/pay-leave/salaries-wages/salary-tables/18Tables/html/SF.aspx" TargetMode="External"/><Relationship Id="rId15" Type="http://schemas.openxmlformats.org/officeDocument/2006/relationships/hyperlink" Target="https://www.dol.gov/general/jobs/vacancy-information" TargetMode="External"/><Relationship Id="rId10" Type="http://schemas.openxmlformats.org/officeDocument/2006/relationships/hyperlink" Target="https://www.dol.gov/general/jobs/vacancy-information" TargetMode="External"/><Relationship Id="rId4" Type="http://schemas.openxmlformats.org/officeDocument/2006/relationships/hyperlink" Target="https://www.opm.gov/policy-data-oversight/pay-leave/salaries-wages/salary-tables/18Tables/html/SEA.aspx" TargetMode="External"/><Relationship Id="rId9" Type="http://schemas.openxmlformats.org/officeDocument/2006/relationships/hyperlink" Target="https://www.dol.gov/general/jobs/vacancy-information" TargetMode="External"/><Relationship Id="rId14" Type="http://schemas.openxmlformats.org/officeDocument/2006/relationships/hyperlink" Target="https://www.usajobs.gov/Help/working-in-government/fair-and-transparent/selective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PN- SOL Trial Attorney PN-18-SF-SOL-001.DOC</vt:lpstr>
    </vt:vector>
  </TitlesOfParts>
  <Company>Department of Labor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PN- SOL Trial Attorney PN-18-SF-SOL-001.DOC</dc:title>
  <dc:creator>Chasek, Daniel - SOL</dc:creator>
  <cp:lastModifiedBy>Chasek, Daniel - SOL</cp:lastModifiedBy>
  <cp:revision>3</cp:revision>
  <dcterms:created xsi:type="dcterms:W3CDTF">2019-02-08T18:26:00Z</dcterms:created>
  <dcterms:modified xsi:type="dcterms:W3CDTF">2019-02-08T18:28:00Z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2018-09-30T00:00:00Z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