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1C399" w14:textId="77777777" w:rsidR="00CD5992" w:rsidRDefault="00CD5992" w:rsidP="00CD5992">
      <w:pPr>
        <w:jc w:val="center"/>
        <w:rPr>
          <w:rFonts w:asciiTheme="minorHAnsi" w:hAnsiTheme="minorHAnsi"/>
          <w:b/>
          <w:szCs w:val="24"/>
        </w:rPr>
      </w:pPr>
    </w:p>
    <w:p w14:paraId="32697177" w14:textId="77777777" w:rsidR="00CD5992" w:rsidRPr="00B10264" w:rsidRDefault="00CD5992" w:rsidP="00CD5992">
      <w:pPr>
        <w:jc w:val="center"/>
        <w:rPr>
          <w:rFonts w:asciiTheme="minorHAnsi" w:hAnsiTheme="minorHAnsi" w:cstheme="minorHAnsi"/>
          <w:b/>
          <w:sz w:val="28"/>
          <w:szCs w:val="28"/>
        </w:rPr>
      </w:pPr>
      <w:r w:rsidRPr="00B10264">
        <w:rPr>
          <w:rFonts w:asciiTheme="minorHAnsi" w:hAnsiTheme="minorHAnsi" w:cstheme="minorHAnsi"/>
          <w:b/>
          <w:sz w:val="28"/>
          <w:szCs w:val="28"/>
        </w:rPr>
        <w:t xml:space="preserve">Job Announcement  </w:t>
      </w:r>
    </w:p>
    <w:p w14:paraId="1232B481" w14:textId="288A651D" w:rsidR="00CD5992" w:rsidRPr="00B10264" w:rsidRDefault="00CD5992" w:rsidP="00CD5992">
      <w:pPr>
        <w:spacing w:line="259" w:lineRule="auto"/>
        <w:ind w:right="342"/>
        <w:jc w:val="center"/>
        <w:rPr>
          <w:rFonts w:asciiTheme="minorHAnsi" w:hAnsiTheme="minorHAnsi" w:cstheme="minorHAnsi"/>
          <w:sz w:val="28"/>
          <w:szCs w:val="28"/>
        </w:rPr>
      </w:pPr>
      <w:r w:rsidRPr="00B10264">
        <w:rPr>
          <w:rFonts w:asciiTheme="minorHAnsi" w:hAnsiTheme="minorHAnsi" w:cstheme="minorHAnsi"/>
          <w:b/>
          <w:sz w:val="28"/>
          <w:szCs w:val="28"/>
        </w:rPr>
        <w:br/>
      </w:r>
      <w:r w:rsidR="00532092">
        <w:rPr>
          <w:rFonts w:asciiTheme="minorHAnsi" w:hAnsiTheme="minorHAnsi" w:cstheme="minorHAnsi"/>
          <w:b/>
          <w:sz w:val="28"/>
          <w:szCs w:val="28"/>
        </w:rPr>
        <w:t xml:space="preserve">Temporary </w:t>
      </w:r>
      <w:r w:rsidRPr="00B10264">
        <w:rPr>
          <w:rFonts w:asciiTheme="minorHAnsi" w:hAnsiTheme="minorHAnsi" w:cstheme="minorHAnsi"/>
          <w:b/>
          <w:sz w:val="28"/>
          <w:szCs w:val="28"/>
        </w:rPr>
        <w:t xml:space="preserve">Staff Attorney, CLEAR/Crime Victims (CV) </w:t>
      </w:r>
    </w:p>
    <w:p w14:paraId="3E437D46" w14:textId="77777777" w:rsidR="00CD5992" w:rsidRPr="00115937" w:rsidRDefault="00CD5992" w:rsidP="00CD5992">
      <w:pPr>
        <w:jc w:val="center"/>
        <w:rPr>
          <w:rFonts w:asciiTheme="minorHAnsi" w:hAnsiTheme="minorHAnsi" w:cstheme="minorHAnsi"/>
          <w:b/>
          <w:szCs w:val="24"/>
        </w:rPr>
      </w:pPr>
    </w:p>
    <w:p w14:paraId="3E29BA0D" w14:textId="77777777" w:rsidR="00CD5992" w:rsidRPr="003004BF" w:rsidRDefault="00CD5992" w:rsidP="00D71F5C">
      <w:pPr>
        <w:tabs>
          <w:tab w:val="left" w:pos="-720"/>
        </w:tabs>
        <w:suppressAutoHyphens/>
        <w:ind w:left="0" w:right="0"/>
        <w:rPr>
          <w:rFonts w:asciiTheme="minorHAnsi" w:hAnsiTheme="minorHAnsi" w:cstheme="minorHAnsi"/>
          <w:szCs w:val="24"/>
        </w:rPr>
      </w:pPr>
      <w:r w:rsidRPr="003004BF">
        <w:rPr>
          <w:rFonts w:asciiTheme="minorHAnsi" w:hAnsiTheme="minorHAnsi" w:cstheme="minorHAnsi"/>
          <w:szCs w:val="24"/>
        </w:rPr>
        <w:t xml:space="preserve">The Northwest Justice Project (NJP) is a not-for-profit statewide law firm with a mission of </w:t>
      </w:r>
      <w:r w:rsidRPr="003004BF">
        <w:rPr>
          <w:rFonts w:asciiTheme="minorHAnsi" w:hAnsiTheme="minorHAnsi" w:cstheme="minorHAnsi"/>
          <w:b/>
          <w:szCs w:val="24"/>
        </w:rPr>
        <w:t>Combatting Injustice • Strengthening Communities • Protecting Human Dignity</w:t>
      </w:r>
      <w:r w:rsidRPr="003004BF">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p>
    <w:p w14:paraId="61D35378" w14:textId="77777777" w:rsidR="00CD5992" w:rsidRPr="00CD4465" w:rsidRDefault="00CD5992" w:rsidP="00D71F5C">
      <w:pPr>
        <w:spacing w:line="259" w:lineRule="auto"/>
        <w:ind w:left="0" w:right="0"/>
        <w:rPr>
          <w:rFonts w:asciiTheme="minorHAnsi" w:hAnsiTheme="minorHAnsi" w:cstheme="minorHAnsi"/>
          <w:sz w:val="23"/>
          <w:szCs w:val="23"/>
        </w:rPr>
      </w:pPr>
      <w:r w:rsidRPr="00CD4465">
        <w:rPr>
          <w:rFonts w:asciiTheme="minorHAnsi" w:hAnsiTheme="minorHAnsi" w:cstheme="minorHAnsi"/>
          <w:sz w:val="23"/>
          <w:szCs w:val="23"/>
        </w:rPr>
        <w:t xml:space="preserve"> </w:t>
      </w:r>
    </w:p>
    <w:p w14:paraId="03361F21" w14:textId="1D010167" w:rsidR="00CD5992" w:rsidRPr="00CD4465" w:rsidRDefault="00CD5992" w:rsidP="00D71F5C">
      <w:pPr>
        <w:ind w:left="0" w:right="0"/>
        <w:rPr>
          <w:rFonts w:asciiTheme="minorHAnsi" w:hAnsiTheme="minorHAnsi" w:cstheme="minorHAnsi"/>
          <w:sz w:val="23"/>
          <w:szCs w:val="23"/>
        </w:rPr>
      </w:pPr>
      <w:r>
        <w:rPr>
          <w:spacing w:val="-5"/>
        </w:rPr>
        <w:t xml:space="preserve">NJP has received one-time funding from the Office of Civil Legal Aid (OCLA) to expand its capacity to serve </w:t>
      </w:r>
      <w:r>
        <w:rPr>
          <w:rFonts w:asciiTheme="minorHAnsi" w:hAnsiTheme="minorHAnsi" w:cstheme="minorHAnsi"/>
          <w:sz w:val="23"/>
          <w:szCs w:val="23"/>
        </w:rPr>
        <w:t xml:space="preserve">victims of crime.  As a </w:t>
      </w:r>
      <w:r w:rsidR="00D71F5C">
        <w:rPr>
          <w:rFonts w:asciiTheme="minorHAnsi" w:hAnsiTheme="minorHAnsi" w:cstheme="minorHAnsi"/>
          <w:sz w:val="23"/>
          <w:szCs w:val="23"/>
        </w:rPr>
        <w:t>result,</w:t>
      </w:r>
      <w:r>
        <w:rPr>
          <w:rFonts w:asciiTheme="minorHAnsi" w:hAnsiTheme="minorHAnsi" w:cstheme="minorHAnsi"/>
          <w:sz w:val="23"/>
          <w:szCs w:val="23"/>
        </w:rPr>
        <w:t xml:space="preserve"> NJP will be adding a Temporary </w:t>
      </w:r>
      <w:r w:rsidRPr="00CD4465">
        <w:rPr>
          <w:rFonts w:asciiTheme="minorHAnsi" w:hAnsiTheme="minorHAnsi" w:cstheme="minorHAnsi"/>
          <w:sz w:val="23"/>
          <w:szCs w:val="23"/>
        </w:rPr>
        <w:t xml:space="preserve">Staff Attorney position in our CLEAR/Crime Victims (CV) unit.  </w:t>
      </w:r>
      <w:r w:rsidRPr="003004BF">
        <w:rPr>
          <w:rFonts w:asciiTheme="minorHAnsi" w:hAnsiTheme="minorHAnsi" w:cstheme="minorHAnsi"/>
          <w:spacing w:val="-3"/>
          <w:szCs w:val="24"/>
        </w:rPr>
        <w:t>This is a full-time position with an</w:t>
      </w:r>
      <w:r w:rsidRPr="003004BF">
        <w:rPr>
          <w:rFonts w:asciiTheme="minorHAnsi" w:hAnsiTheme="minorHAnsi" w:cstheme="minorHAnsi"/>
          <w:szCs w:val="24"/>
        </w:rPr>
        <w:t xml:space="preserve"> anticipated employment duration through June 30, 2021.  </w:t>
      </w:r>
      <w:r w:rsidRPr="00CD4465">
        <w:rPr>
          <w:rFonts w:asciiTheme="minorHAnsi" w:hAnsiTheme="minorHAnsi" w:cstheme="minorHAnsi"/>
          <w:sz w:val="23"/>
          <w:szCs w:val="23"/>
        </w:rPr>
        <w:t xml:space="preserve">This position is located in Seattle. </w:t>
      </w:r>
    </w:p>
    <w:p w14:paraId="4E54E41E" w14:textId="77777777" w:rsidR="00CD5992" w:rsidRPr="00CD4465" w:rsidRDefault="00CD5992" w:rsidP="00D71F5C">
      <w:pPr>
        <w:spacing w:line="259" w:lineRule="auto"/>
        <w:ind w:left="0" w:right="0"/>
        <w:rPr>
          <w:rFonts w:asciiTheme="minorHAnsi" w:hAnsiTheme="minorHAnsi" w:cstheme="minorHAnsi"/>
          <w:sz w:val="23"/>
          <w:szCs w:val="23"/>
        </w:rPr>
      </w:pPr>
      <w:r w:rsidRPr="00CD4465">
        <w:rPr>
          <w:rFonts w:asciiTheme="minorHAnsi" w:hAnsiTheme="minorHAnsi" w:cstheme="minorHAnsi"/>
          <w:b/>
          <w:sz w:val="23"/>
          <w:szCs w:val="23"/>
        </w:rPr>
        <w:t xml:space="preserve"> </w:t>
      </w:r>
    </w:p>
    <w:p w14:paraId="29C03668" w14:textId="77777777" w:rsidR="00CD5992" w:rsidRPr="00CD4465" w:rsidRDefault="00CD5992" w:rsidP="00D71F5C">
      <w:pPr>
        <w:ind w:left="0" w:right="0"/>
        <w:rPr>
          <w:rFonts w:asciiTheme="minorHAnsi" w:hAnsiTheme="minorHAnsi" w:cstheme="minorHAnsi"/>
          <w:sz w:val="23"/>
          <w:szCs w:val="23"/>
        </w:rPr>
      </w:pPr>
      <w:r w:rsidRPr="00CD4465">
        <w:rPr>
          <w:rFonts w:asciiTheme="minorHAnsi" w:hAnsiTheme="minorHAnsi" w:cstheme="minorHAnsi"/>
          <w:sz w:val="23"/>
          <w:szCs w:val="23"/>
        </w:rPr>
        <w:t>CLEAR CV is an exciting NJP project that collaborates statewide with victim services partner agencies to address the legal needs of the agenc</w:t>
      </w:r>
      <w:r>
        <w:rPr>
          <w:rFonts w:asciiTheme="minorHAnsi" w:hAnsiTheme="minorHAnsi" w:cstheme="minorHAnsi"/>
          <w:sz w:val="23"/>
          <w:szCs w:val="23"/>
        </w:rPr>
        <w:t>ies’</w:t>
      </w:r>
      <w:r w:rsidRPr="00CD4465">
        <w:rPr>
          <w:rFonts w:asciiTheme="minorHAnsi" w:hAnsiTheme="minorHAnsi" w:cstheme="minorHAnsi"/>
          <w:sz w:val="23"/>
          <w:szCs w:val="23"/>
        </w:rPr>
        <w:t xml:space="preserve"> domestic violence clients. The legal services are provided to empower victims of crime to obtain the safety and ongoing protections they need to overcome trauma and live crime</w:t>
      </w:r>
      <w:r>
        <w:rPr>
          <w:rFonts w:asciiTheme="minorHAnsi" w:hAnsiTheme="minorHAnsi" w:cstheme="minorHAnsi"/>
          <w:sz w:val="23"/>
          <w:szCs w:val="23"/>
        </w:rPr>
        <w:t>-</w:t>
      </w:r>
      <w:r w:rsidRPr="00CD4465">
        <w:rPr>
          <w:rFonts w:asciiTheme="minorHAnsi" w:hAnsiTheme="minorHAnsi" w:cstheme="minorHAnsi"/>
          <w:sz w:val="23"/>
          <w:szCs w:val="23"/>
        </w:rPr>
        <w:t>free. The attorneys meet telephonically with clients through an appointment sys</w:t>
      </w:r>
      <w:r>
        <w:rPr>
          <w:rFonts w:asciiTheme="minorHAnsi" w:hAnsiTheme="minorHAnsi" w:cstheme="minorHAnsi"/>
          <w:sz w:val="23"/>
          <w:szCs w:val="23"/>
        </w:rPr>
        <w:t>tem and provide advice</w:t>
      </w:r>
      <w:r w:rsidRPr="00CD4465">
        <w:rPr>
          <w:rFonts w:asciiTheme="minorHAnsi" w:hAnsiTheme="minorHAnsi" w:cstheme="minorHAnsi"/>
          <w:sz w:val="23"/>
          <w:szCs w:val="23"/>
        </w:rPr>
        <w:t xml:space="preserve">, limited and extensive </w:t>
      </w:r>
      <w:r w:rsidRPr="00122955">
        <w:rPr>
          <w:rFonts w:asciiTheme="minorHAnsi" w:hAnsiTheme="minorHAnsi" w:cstheme="minorHAnsi"/>
          <w:i/>
          <w:sz w:val="23"/>
          <w:szCs w:val="23"/>
        </w:rPr>
        <w:t>pro se</w:t>
      </w:r>
      <w:r w:rsidRPr="00CD4465">
        <w:rPr>
          <w:rFonts w:asciiTheme="minorHAnsi" w:hAnsiTheme="minorHAnsi" w:cstheme="minorHAnsi"/>
          <w:sz w:val="23"/>
          <w:szCs w:val="23"/>
        </w:rPr>
        <w:t xml:space="preserve"> assistance to victims, and referral to an NJP field office or other resource for more extended representation if needed. Much, but not all, of the legal work relates to the immediate safety, ongoing protection</w:t>
      </w:r>
      <w:r>
        <w:rPr>
          <w:rFonts w:asciiTheme="minorHAnsi" w:hAnsiTheme="minorHAnsi" w:cstheme="minorHAnsi"/>
          <w:sz w:val="23"/>
          <w:szCs w:val="23"/>
        </w:rPr>
        <w:t>,</w:t>
      </w:r>
      <w:r w:rsidRPr="00CD4465">
        <w:rPr>
          <w:rFonts w:asciiTheme="minorHAnsi" w:hAnsiTheme="minorHAnsi" w:cstheme="minorHAnsi"/>
          <w:sz w:val="23"/>
          <w:szCs w:val="23"/>
        </w:rPr>
        <w:t xml:space="preserve"> and family law needs of the clients, with other legal needs such as housing, consumer debt, education, employment</w:t>
      </w:r>
      <w:r>
        <w:rPr>
          <w:rFonts w:asciiTheme="minorHAnsi" w:hAnsiTheme="minorHAnsi" w:cstheme="minorHAnsi"/>
          <w:sz w:val="23"/>
          <w:szCs w:val="23"/>
        </w:rPr>
        <w:t>,</w:t>
      </w:r>
      <w:r w:rsidRPr="00CD4465">
        <w:rPr>
          <w:rFonts w:asciiTheme="minorHAnsi" w:hAnsiTheme="minorHAnsi" w:cstheme="minorHAnsi"/>
          <w:sz w:val="23"/>
          <w:szCs w:val="23"/>
        </w:rPr>
        <w:t xml:space="preserve"> and public assistance needs addressed as part of the crime victim service response.  </w:t>
      </w:r>
    </w:p>
    <w:p w14:paraId="4DF406A7" w14:textId="77777777" w:rsidR="00CD5992" w:rsidRDefault="00CD5992" w:rsidP="00D71F5C">
      <w:pPr>
        <w:spacing w:line="259" w:lineRule="auto"/>
        <w:ind w:left="0" w:right="0"/>
        <w:rPr>
          <w:rFonts w:asciiTheme="minorHAnsi" w:hAnsiTheme="minorHAnsi" w:cstheme="minorHAnsi"/>
          <w:sz w:val="23"/>
          <w:szCs w:val="23"/>
        </w:rPr>
      </w:pPr>
      <w:r w:rsidRPr="00CD4465">
        <w:rPr>
          <w:rFonts w:asciiTheme="minorHAnsi" w:hAnsiTheme="minorHAnsi" w:cstheme="minorHAnsi"/>
          <w:sz w:val="23"/>
          <w:szCs w:val="23"/>
        </w:rPr>
        <w:t xml:space="preserve"> </w:t>
      </w:r>
    </w:p>
    <w:p w14:paraId="25B00A76" w14:textId="77777777" w:rsidR="00CD5992" w:rsidRPr="003004BF" w:rsidRDefault="00CD5992" w:rsidP="00D71F5C">
      <w:pPr>
        <w:tabs>
          <w:tab w:val="left" w:pos="-720"/>
        </w:tabs>
        <w:suppressAutoHyphens/>
        <w:ind w:left="0" w:right="0"/>
        <w:rPr>
          <w:rFonts w:asciiTheme="minorHAnsi" w:hAnsiTheme="minorHAnsi" w:cstheme="minorHAnsi"/>
          <w:b/>
          <w:szCs w:val="24"/>
        </w:rPr>
      </w:pPr>
      <w:r w:rsidRPr="003004BF">
        <w:rPr>
          <w:rFonts w:asciiTheme="minorHAnsi" w:hAnsiTheme="minorHAnsi" w:cstheme="minorHAnsi"/>
          <w:b/>
          <w:szCs w:val="24"/>
        </w:rPr>
        <w:t>RESPONSIBILITIES</w:t>
      </w:r>
    </w:p>
    <w:p w14:paraId="6D8E29E1" w14:textId="77777777" w:rsidR="00CD5992" w:rsidRDefault="00CD5992" w:rsidP="00D71F5C">
      <w:pPr>
        <w:tabs>
          <w:tab w:val="left" w:pos="-720"/>
        </w:tabs>
        <w:suppressAutoHyphens/>
        <w:ind w:left="0" w:right="0"/>
        <w:rPr>
          <w:rFonts w:asciiTheme="minorHAnsi" w:hAnsiTheme="minorHAnsi" w:cstheme="minorHAnsi"/>
          <w:szCs w:val="24"/>
        </w:rPr>
      </w:pPr>
      <w:r w:rsidRPr="003004BF">
        <w:rPr>
          <w:rFonts w:asciiTheme="minorHAnsi" w:hAnsiTheme="minorHAnsi" w:cstheme="minorHAnsi"/>
          <w:szCs w:val="24"/>
        </w:rPr>
        <w:t>The attorney will undertake a range of duties including but not limited to:</w:t>
      </w:r>
      <w:r>
        <w:rPr>
          <w:rFonts w:asciiTheme="minorHAnsi" w:hAnsiTheme="minorHAnsi" w:cstheme="minorHAnsi"/>
          <w:szCs w:val="24"/>
        </w:rPr>
        <w:t xml:space="preserve">  </w:t>
      </w:r>
    </w:p>
    <w:p w14:paraId="01E994DA" w14:textId="7865277A"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Conduct </w:t>
      </w:r>
      <w:r w:rsidR="00D71F5C" w:rsidRPr="00CD4465">
        <w:rPr>
          <w:rFonts w:asciiTheme="minorHAnsi" w:hAnsiTheme="minorHAnsi" w:cstheme="minorHAnsi"/>
          <w:sz w:val="23"/>
          <w:szCs w:val="23"/>
        </w:rPr>
        <w:t>telephone-based</w:t>
      </w:r>
      <w:r w:rsidRPr="00CD4465">
        <w:rPr>
          <w:rFonts w:asciiTheme="minorHAnsi" w:hAnsiTheme="minorHAnsi" w:cstheme="minorHAnsi"/>
          <w:sz w:val="23"/>
          <w:szCs w:val="23"/>
        </w:rPr>
        <w:t xml:space="preserve"> client interviews.  Provide advice and, as appropriate, </w:t>
      </w:r>
      <w:r>
        <w:rPr>
          <w:rFonts w:asciiTheme="minorHAnsi" w:hAnsiTheme="minorHAnsi" w:cstheme="minorHAnsi"/>
          <w:sz w:val="23"/>
          <w:szCs w:val="23"/>
        </w:rPr>
        <w:t>brief service</w:t>
      </w:r>
      <w:r w:rsidRPr="00CD4465">
        <w:rPr>
          <w:rFonts w:asciiTheme="minorHAnsi" w:hAnsiTheme="minorHAnsi" w:cstheme="minorHAnsi"/>
          <w:sz w:val="23"/>
          <w:szCs w:val="23"/>
        </w:rPr>
        <w:t xml:space="preserve">, which may range from </w:t>
      </w:r>
      <w:r>
        <w:rPr>
          <w:rFonts w:asciiTheme="minorHAnsi" w:hAnsiTheme="minorHAnsi" w:cstheme="minorHAnsi"/>
          <w:sz w:val="23"/>
          <w:szCs w:val="23"/>
        </w:rPr>
        <w:t>oral</w:t>
      </w:r>
      <w:r w:rsidRPr="00CD4465">
        <w:rPr>
          <w:rFonts w:asciiTheme="minorHAnsi" w:hAnsiTheme="minorHAnsi" w:cstheme="minorHAnsi"/>
          <w:sz w:val="23"/>
          <w:szCs w:val="23"/>
        </w:rPr>
        <w:t xml:space="preserve"> or written advice, to negotiating a resolution on the client's behalf; </w:t>
      </w:r>
    </w:p>
    <w:p w14:paraId="79002943"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Use a computerized system for contemporaneous recording of client information and case notes, conflict checking, case management, and determining appropriate referrals; </w:t>
      </w:r>
    </w:p>
    <w:p w14:paraId="163BE6C8" w14:textId="6880B1BE"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lastRenderedPageBreak/>
        <w:t>Maintain familiarity with areas of civil law affecting the low</w:t>
      </w:r>
      <w:r w:rsidR="00D71F5C">
        <w:rPr>
          <w:rFonts w:asciiTheme="minorHAnsi" w:hAnsiTheme="minorHAnsi" w:cstheme="minorHAnsi"/>
          <w:sz w:val="23"/>
          <w:szCs w:val="23"/>
        </w:rPr>
        <w:t>-</w:t>
      </w:r>
      <w:r w:rsidRPr="00CD4465">
        <w:rPr>
          <w:rFonts w:asciiTheme="minorHAnsi" w:hAnsiTheme="minorHAnsi" w:cstheme="minorHAnsi"/>
          <w:sz w:val="23"/>
          <w:szCs w:val="23"/>
        </w:rPr>
        <w:t>income population of Washington</w:t>
      </w:r>
      <w:r>
        <w:rPr>
          <w:rFonts w:asciiTheme="minorHAnsi" w:hAnsiTheme="minorHAnsi" w:cstheme="minorHAnsi"/>
          <w:sz w:val="23"/>
          <w:szCs w:val="23"/>
        </w:rPr>
        <w:t>;</w:t>
      </w:r>
      <w:r w:rsidRPr="00CD4465">
        <w:rPr>
          <w:rFonts w:asciiTheme="minorHAnsi" w:hAnsiTheme="minorHAnsi" w:cstheme="minorHAnsi"/>
          <w:sz w:val="23"/>
          <w:szCs w:val="23"/>
        </w:rPr>
        <w:t xml:space="preserve"> </w:t>
      </w:r>
    </w:p>
    <w:p w14:paraId="13113F61"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Engage with partners in the legal services delivery system; </w:t>
      </w:r>
    </w:p>
    <w:p w14:paraId="17B932F9"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Develop self-help and legal education materials for the client community;  </w:t>
      </w:r>
    </w:p>
    <w:p w14:paraId="36E53FEB" w14:textId="77777777" w:rsidR="00CD5992"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Communicate about any matters relating to program integrity and the equal justice needs of the client community including program priorities and delivery system concerns;  </w:t>
      </w:r>
    </w:p>
    <w:p w14:paraId="13D1DC76"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Pr>
          <w:rFonts w:asciiTheme="minorHAnsi" w:hAnsiTheme="minorHAnsi" w:cstheme="minorHAnsi"/>
          <w:sz w:val="23"/>
          <w:szCs w:val="23"/>
        </w:rPr>
        <w:t>Occasional travel to conduct outreach may be required.</w:t>
      </w:r>
    </w:p>
    <w:p w14:paraId="75035648" w14:textId="77777777" w:rsidR="00CD5992" w:rsidRPr="00CD4465" w:rsidRDefault="00CD5992" w:rsidP="00D71F5C">
      <w:pPr>
        <w:spacing w:line="259" w:lineRule="auto"/>
        <w:ind w:left="0" w:right="0"/>
        <w:rPr>
          <w:rFonts w:asciiTheme="minorHAnsi" w:hAnsiTheme="minorHAnsi" w:cstheme="minorHAnsi"/>
          <w:sz w:val="23"/>
          <w:szCs w:val="23"/>
        </w:rPr>
      </w:pPr>
    </w:p>
    <w:p w14:paraId="69983FA9" w14:textId="1C8F7F07" w:rsidR="00D71F5C" w:rsidRPr="003004BF" w:rsidRDefault="00D71F5C" w:rsidP="00D71F5C">
      <w:pPr>
        <w:tabs>
          <w:tab w:val="left" w:pos="-720"/>
        </w:tabs>
        <w:suppressAutoHyphens/>
        <w:ind w:left="0" w:right="0"/>
        <w:rPr>
          <w:rFonts w:asciiTheme="minorHAnsi" w:hAnsiTheme="minorHAnsi" w:cstheme="minorHAnsi"/>
          <w:b/>
          <w:szCs w:val="24"/>
        </w:rPr>
      </w:pPr>
      <w:r>
        <w:rPr>
          <w:rFonts w:asciiTheme="minorHAnsi" w:hAnsiTheme="minorHAnsi" w:cstheme="minorHAnsi"/>
          <w:b/>
          <w:szCs w:val="24"/>
        </w:rPr>
        <w:t>QUALIFICATION</w:t>
      </w:r>
    </w:p>
    <w:p w14:paraId="7B13E060" w14:textId="77777777" w:rsidR="00CD5992" w:rsidRPr="00CD4465" w:rsidRDefault="00CD5992" w:rsidP="00D71F5C">
      <w:pPr>
        <w:spacing w:line="259" w:lineRule="auto"/>
        <w:ind w:left="0" w:right="0"/>
        <w:rPr>
          <w:rFonts w:asciiTheme="minorHAnsi" w:hAnsiTheme="minorHAnsi" w:cstheme="minorHAnsi"/>
          <w:sz w:val="23"/>
          <w:szCs w:val="23"/>
        </w:rPr>
      </w:pPr>
      <w:r w:rsidRPr="00CD4465">
        <w:rPr>
          <w:rFonts w:asciiTheme="minorHAnsi" w:hAnsiTheme="minorHAnsi" w:cstheme="minorHAnsi"/>
          <w:sz w:val="23"/>
          <w:szCs w:val="23"/>
        </w:rPr>
        <w:t xml:space="preserve"> </w:t>
      </w:r>
    </w:p>
    <w:p w14:paraId="4493B8D0" w14:textId="77777777" w:rsidR="00CD5992" w:rsidRDefault="00CD5992" w:rsidP="00D71F5C">
      <w:pPr>
        <w:pStyle w:val="Default"/>
        <w:numPr>
          <w:ilvl w:val="0"/>
          <w:numId w:val="17"/>
        </w:numPr>
        <w:ind w:left="504"/>
        <w:rPr>
          <w:sz w:val="23"/>
          <w:szCs w:val="23"/>
        </w:rPr>
      </w:pPr>
      <w:r>
        <w:rPr>
          <w:sz w:val="23"/>
          <w:szCs w:val="23"/>
        </w:rPr>
        <w:t xml:space="preserve">WSBA membership in good standing or ability to acquire membership through admission by motion. </w:t>
      </w:r>
    </w:p>
    <w:p w14:paraId="7225D9CD"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Strong oral and written communication skills  </w:t>
      </w:r>
    </w:p>
    <w:p w14:paraId="3121904C" w14:textId="77777777" w:rsidR="00CD5992"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Prior legal experience serving crime victims, with a priority for family law</w:t>
      </w:r>
      <w:r>
        <w:rPr>
          <w:rFonts w:asciiTheme="minorHAnsi" w:hAnsiTheme="minorHAnsi" w:cstheme="minorHAnsi"/>
          <w:sz w:val="23"/>
          <w:szCs w:val="23"/>
        </w:rPr>
        <w:t xml:space="preserve"> experience</w:t>
      </w:r>
    </w:p>
    <w:p w14:paraId="6FA99324"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Pr>
          <w:rFonts w:asciiTheme="minorHAnsi" w:hAnsiTheme="minorHAnsi" w:cstheme="minorHAnsi"/>
          <w:sz w:val="23"/>
          <w:szCs w:val="23"/>
        </w:rPr>
        <w:t xml:space="preserve">Experience </w:t>
      </w:r>
      <w:r w:rsidRPr="00CD4465">
        <w:rPr>
          <w:rFonts w:asciiTheme="minorHAnsi" w:hAnsiTheme="minorHAnsi" w:cstheme="minorHAnsi"/>
          <w:sz w:val="23"/>
          <w:szCs w:val="23"/>
        </w:rPr>
        <w:t>in a legal aid or comparable practice</w:t>
      </w:r>
      <w:r>
        <w:rPr>
          <w:rFonts w:asciiTheme="minorHAnsi" w:hAnsiTheme="minorHAnsi" w:cstheme="minorHAnsi"/>
          <w:sz w:val="23"/>
          <w:szCs w:val="23"/>
        </w:rPr>
        <w:t xml:space="preserve"> setting is preferred,</w:t>
      </w:r>
      <w:r w:rsidRPr="00CD4465">
        <w:rPr>
          <w:rFonts w:asciiTheme="minorHAnsi" w:hAnsiTheme="minorHAnsi" w:cstheme="minorHAnsi"/>
          <w:sz w:val="23"/>
          <w:szCs w:val="23"/>
        </w:rPr>
        <w:t xml:space="preserve"> or </w:t>
      </w:r>
      <w:r>
        <w:rPr>
          <w:rFonts w:asciiTheme="minorHAnsi" w:hAnsiTheme="minorHAnsi" w:cstheme="minorHAnsi"/>
          <w:sz w:val="23"/>
          <w:szCs w:val="23"/>
        </w:rPr>
        <w:t xml:space="preserve">a </w:t>
      </w:r>
      <w:r w:rsidRPr="00CD4465">
        <w:rPr>
          <w:rFonts w:asciiTheme="minorHAnsi" w:hAnsiTheme="minorHAnsi" w:cstheme="minorHAnsi"/>
          <w:sz w:val="23"/>
          <w:szCs w:val="23"/>
        </w:rPr>
        <w:t xml:space="preserve">demonstrated commitment to providing civil legal services to the poor  </w:t>
      </w:r>
    </w:p>
    <w:p w14:paraId="577EBC9F"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Strong interviewing skills and ability to work under pressure with clients in crisis  </w:t>
      </w:r>
    </w:p>
    <w:p w14:paraId="3416F302" w14:textId="77777777" w:rsidR="00CD5992" w:rsidRPr="00CD4465" w:rsidRDefault="00CD5992" w:rsidP="00D71F5C">
      <w:pPr>
        <w:numPr>
          <w:ilvl w:val="0"/>
          <w:numId w:val="16"/>
        </w:numPr>
        <w:spacing w:after="33"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Ability to collaborate effectively with other advocates, service providers</w:t>
      </w:r>
      <w:r>
        <w:rPr>
          <w:rFonts w:asciiTheme="minorHAnsi" w:hAnsiTheme="minorHAnsi" w:cstheme="minorHAnsi"/>
          <w:sz w:val="23"/>
          <w:szCs w:val="23"/>
        </w:rPr>
        <w:t>,</w:t>
      </w:r>
      <w:r w:rsidRPr="00CD4465">
        <w:rPr>
          <w:rFonts w:asciiTheme="minorHAnsi" w:hAnsiTheme="minorHAnsi" w:cstheme="minorHAnsi"/>
          <w:sz w:val="23"/>
          <w:szCs w:val="23"/>
        </w:rPr>
        <w:t xml:space="preserve"> and client groups  </w:t>
      </w:r>
    </w:p>
    <w:p w14:paraId="6F7565FF"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Attention to detail and willingness to develop and maintain systems to facilitate grant reporting and compliance requirements  </w:t>
      </w:r>
    </w:p>
    <w:p w14:paraId="05D6D26A"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Cultural competency</w:t>
      </w:r>
      <w:r>
        <w:rPr>
          <w:rFonts w:asciiTheme="minorHAnsi" w:hAnsiTheme="minorHAnsi" w:cstheme="minorHAnsi"/>
          <w:sz w:val="23"/>
          <w:szCs w:val="23"/>
        </w:rPr>
        <w:t>,</w:t>
      </w:r>
      <w:r w:rsidRPr="00CD4465">
        <w:rPr>
          <w:rFonts w:asciiTheme="minorHAnsi" w:hAnsiTheme="minorHAnsi" w:cstheme="minorHAnsi"/>
          <w:sz w:val="23"/>
          <w:szCs w:val="23"/>
        </w:rPr>
        <w:t xml:space="preserve"> especially with immigrants, crime victims, people with disabilities, limited English proficient persons, and seniors </w:t>
      </w:r>
    </w:p>
    <w:p w14:paraId="1D52D9D8"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Experience working with low-income and/or immigrant p</w:t>
      </w:r>
      <w:r>
        <w:rPr>
          <w:rFonts w:asciiTheme="minorHAnsi" w:hAnsiTheme="minorHAnsi" w:cstheme="minorHAnsi"/>
          <w:sz w:val="23"/>
          <w:szCs w:val="23"/>
        </w:rPr>
        <w:t>opulations</w:t>
      </w:r>
      <w:r w:rsidRPr="00CD4465">
        <w:rPr>
          <w:rFonts w:asciiTheme="minorHAnsi" w:hAnsiTheme="minorHAnsi" w:cstheme="minorHAnsi"/>
          <w:sz w:val="23"/>
          <w:szCs w:val="23"/>
        </w:rPr>
        <w:t xml:space="preserve"> is highly preferred </w:t>
      </w:r>
    </w:p>
    <w:p w14:paraId="0E7BE2D4"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Direct experience working with crime victims is a plus   </w:t>
      </w:r>
    </w:p>
    <w:p w14:paraId="41B98AB3"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Technologically independent: possess dependable computer skills in word processing and the ability and interest to learn new software applications necessary for the efficient administration of the project  </w:t>
      </w:r>
    </w:p>
    <w:p w14:paraId="060ACAE6"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Typing skills sufficient to contemporaneously document client </w:t>
      </w:r>
      <w:r>
        <w:rPr>
          <w:rFonts w:asciiTheme="minorHAnsi" w:hAnsiTheme="minorHAnsi" w:cstheme="minorHAnsi"/>
          <w:sz w:val="23"/>
          <w:szCs w:val="23"/>
        </w:rPr>
        <w:t>interviews</w:t>
      </w:r>
      <w:r w:rsidRPr="00CD4465">
        <w:rPr>
          <w:rFonts w:asciiTheme="minorHAnsi" w:hAnsiTheme="minorHAnsi" w:cstheme="minorHAnsi"/>
          <w:sz w:val="23"/>
          <w:szCs w:val="23"/>
        </w:rPr>
        <w:t xml:space="preserve"> </w:t>
      </w:r>
    </w:p>
    <w:p w14:paraId="6716932C" w14:textId="77777777" w:rsidR="00CD5992" w:rsidRPr="00CD4465" w:rsidRDefault="00CD5992" w:rsidP="00D71F5C">
      <w:pPr>
        <w:numPr>
          <w:ilvl w:val="0"/>
          <w:numId w:val="16"/>
        </w:numPr>
        <w:spacing w:after="6" w:line="248" w:lineRule="auto"/>
        <w:ind w:left="504" w:right="0" w:hanging="360"/>
        <w:jc w:val="both"/>
        <w:rPr>
          <w:rFonts w:asciiTheme="minorHAnsi" w:hAnsiTheme="minorHAnsi" w:cstheme="minorHAnsi"/>
          <w:sz w:val="23"/>
          <w:szCs w:val="23"/>
        </w:rPr>
      </w:pPr>
      <w:r w:rsidRPr="00CD4465">
        <w:rPr>
          <w:rFonts w:asciiTheme="minorHAnsi" w:hAnsiTheme="minorHAnsi" w:cstheme="minorHAnsi"/>
          <w:sz w:val="23"/>
          <w:szCs w:val="23"/>
        </w:rPr>
        <w:t xml:space="preserve">Proficiency in a language prevalent in our client communities is preferred  </w:t>
      </w:r>
    </w:p>
    <w:p w14:paraId="6818F2F9" w14:textId="77777777" w:rsidR="00CD5992" w:rsidRPr="00CD4465" w:rsidRDefault="00CD5992" w:rsidP="00D71F5C">
      <w:pPr>
        <w:spacing w:line="259" w:lineRule="auto"/>
        <w:ind w:left="0" w:right="0"/>
        <w:rPr>
          <w:rFonts w:asciiTheme="minorHAnsi" w:hAnsiTheme="minorHAnsi" w:cstheme="minorHAnsi"/>
          <w:sz w:val="23"/>
          <w:szCs w:val="23"/>
        </w:rPr>
      </w:pPr>
      <w:r w:rsidRPr="00CD4465">
        <w:rPr>
          <w:rFonts w:asciiTheme="minorHAnsi" w:hAnsiTheme="minorHAnsi" w:cstheme="minorHAnsi"/>
          <w:sz w:val="23"/>
          <w:szCs w:val="23"/>
        </w:rPr>
        <w:t xml:space="preserve"> </w:t>
      </w:r>
    </w:p>
    <w:p w14:paraId="202E1B31" w14:textId="77777777" w:rsidR="00CD5992" w:rsidRPr="00CD4465" w:rsidRDefault="00CD5992" w:rsidP="00D71F5C">
      <w:pPr>
        <w:spacing w:after="6" w:line="248" w:lineRule="auto"/>
        <w:ind w:left="0" w:right="0"/>
        <w:jc w:val="both"/>
        <w:rPr>
          <w:rFonts w:asciiTheme="minorHAnsi" w:hAnsiTheme="minorHAnsi" w:cstheme="minorHAnsi"/>
          <w:sz w:val="23"/>
          <w:szCs w:val="23"/>
        </w:rPr>
      </w:pPr>
    </w:p>
    <w:p w14:paraId="23D5ED63" w14:textId="77777777" w:rsidR="00CD5992" w:rsidRPr="00CD4465" w:rsidRDefault="00CD5992" w:rsidP="00D71F5C">
      <w:pPr>
        <w:spacing w:after="6" w:line="248" w:lineRule="auto"/>
        <w:ind w:left="0" w:right="0"/>
        <w:jc w:val="both"/>
        <w:rPr>
          <w:rFonts w:asciiTheme="minorHAnsi" w:hAnsiTheme="minorHAnsi" w:cstheme="minorHAnsi"/>
          <w:sz w:val="23"/>
          <w:szCs w:val="23"/>
        </w:rPr>
      </w:pPr>
      <w:r w:rsidRPr="00CD4465">
        <w:rPr>
          <w:rFonts w:asciiTheme="minorHAnsi" w:hAnsiTheme="minorHAnsi" w:cstheme="minorHAnsi"/>
          <w:sz w:val="23"/>
          <w:szCs w:val="23"/>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6100A67C" w14:textId="77777777" w:rsidR="00CD5992" w:rsidRPr="00D75C1E" w:rsidRDefault="00CD5992" w:rsidP="00D71F5C">
      <w:pPr>
        <w:autoSpaceDE w:val="0"/>
        <w:autoSpaceDN w:val="0"/>
        <w:adjustRightInd w:val="0"/>
        <w:ind w:left="0" w:right="0"/>
        <w:rPr>
          <w:rFonts w:asciiTheme="minorHAnsi" w:hAnsiTheme="minorHAnsi" w:cstheme="minorHAnsi"/>
          <w:szCs w:val="24"/>
        </w:rPr>
      </w:pPr>
    </w:p>
    <w:p w14:paraId="70FFD3BD" w14:textId="77777777" w:rsidR="00CD5992" w:rsidRPr="003004BF" w:rsidRDefault="00CD5992" w:rsidP="00D71F5C">
      <w:pPr>
        <w:autoSpaceDE w:val="0"/>
        <w:autoSpaceDN w:val="0"/>
        <w:adjustRightInd w:val="0"/>
        <w:ind w:left="0" w:right="0"/>
        <w:rPr>
          <w:rFonts w:asciiTheme="minorHAnsi" w:hAnsiTheme="minorHAnsi" w:cstheme="minorHAnsi"/>
          <w:szCs w:val="24"/>
        </w:rPr>
      </w:pPr>
      <w:r>
        <w:rPr>
          <w:rFonts w:asciiTheme="minorHAnsi" w:hAnsiTheme="minorHAnsi" w:cstheme="minorHAnsi"/>
          <w:b/>
          <w:szCs w:val="24"/>
          <w:u w:val="single"/>
        </w:rPr>
        <w:t>Compensation</w:t>
      </w:r>
      <w:r w:rsidRPr="00D87A9C">
        <w:rPr>
          <w:rFonts w:asciiTheme="minorHAnsi" w:hAnsiTheme="minorHAnsi" w:cstheme="minorHAnsi"/>
          <w:b/>
          <w:szCs w:val="24"/>
        </w:rPr>
        <w:t xml:space="preserve">:  </w:t>
      </w:r>
      <w:r w:rsidRPr="003004BF">
        <w:rPr>
          <w:rFonts w:asciiTheme="minorHAnsi" w:hAnsiTheme="minorHAnsi" w:cstheme="minorHAnsi"/>
          <w:szCs w:val="24"/>
        </w:rPr>
        <w:t>Starting salary is based upon years of experience, with an annual salary range starting at $6</w:t>
      </w:r>
      <w:r>
        <w:rPr>
          <w:rFonts w:asciiTheme="minorHAnsi" w:hAnsiTheme="minorHAnsi" w:cstheme="minorHAnsi"/>
          <w:szCs w:val="24"/>
        </w:rPr>
        <w:t>3</w:t>
      </w:r>
      <w:r w:rsidRPr="003004BF">
        <w:rPr>
          <w:rFonts w:asciiTheme="minorHAnsi" w:hAnsiTheme="minorHAnsi" w:cstheme="minorHAnsi"/>
          <w:szCs w:val="24"/>
        </w:rPr>
        <w:t>,233 to $118,185.   We offer a comprehensive benefits package which includes 100% paid employee health premiums and significant premium shares for family health premiums, as well as generous time off.</w:t>
      </w:r>
    </w:p>
    <w:p w14:paraId="216ADAB2" w14:textId="77777777" w:rsidR="00CD5992" w:rsidRPr="003004BF" w:rsidRDefault="00CD5992" w:rsidP="00D71F5C">
      <w:pPr>
        <w:ind w:left="0" w:right="0"/>
        <w:rPr>
          <w:rFonts w:asciiTheme="minorHAnsi" w:hAnsiTheme="minorHAnsi" w:cstheme="minorHAnsi"/>
          <w:spacing w:val="-3"/>
          <w:szCs w:val="24"/>
        </w:rPr>
      </w:pPr>
    </w:p>
    <w:p w14:paraId="1B549AD6" w14:textId="77777777" w:rsidR="00CD5992" w:rsidRPr="003004BF" w:rsidRDefault="00CD5992" w:rsidP="00D71F5C">
      <w:pPr>
        <w:autoSpaceDE w:val="0"/>
        <w:autoSpaceDN w:val="0"/>
        <w:adjustRightInd w:val="0"/>
        <w:ind w:left="0" w:right="0"/>
        <w:rPr>
          <w:rFonts w:asciiTheme="minorHAnsi" w:hAnsiTheme="minorHAnsi" w:cstheme="minorHAnsi"/>
          <w:szCs w:val="24"/>
        </w:rPr>
      </w:pPr>
      <w:r w:rsidRPr="003004BF">
        <w:rPr>
          <w:rFonts w:asciiTheme="minorHAnsi" w:hAnsiTheme="minorHAnsi" w:cstheme="minorHAnsi"/>
          <w:b/>
          <w:szCs w:val="24"/>
          <w:u w:val="single"/>
        </w:rPr>
        <w:lastRenderedPageBreak/>
        <w:t>Hours of work:</w:t>
      </w:r>
      <w:r w:rsidRPr="003004BF">
        <w:rPr>
          <w:rFonts w:asciiTheme="minorHAnsi" w:hAnsiTheme="minorHAnsi" w:cstheme="minorHAnsi"/>
          <w:szCs w:val="24"/>
        </w:rPr>
        <w:t xml:space="preserve"> NJP’s typical client office hours are 9:00 – 5:00, Monday through Friday. Attorney positions are exempt and those in the position are expected to work the hours needed to meet the professional responsibilities.</w:t>
      </w:r>
    </w:p>
    <w:p w14:paraId="17C4B1C0" w14:textId="77777777" w:rsidR="00CD5992" w:rsidRPr="003004BF" w:rsidRDefault="00CD5992" w:rsidP="00D71F5C">
      <w:pPr>
        <w:ind w:left="0" w:right="0"/>
        <w:rPr>
          <w:rFonts w:asciiTheme="minorHAnsi" w:hAnsiTheme="minorHAnsi" w:cstheme="minorHAnsi"/>
          <w:b/>
          <w:spacing w:val="-3"/>
          <w:szCs w:val="24"/>
          <w:u w:val="single"/>
        </w:rPr>
      </w:pPr>
    </w:p>
    <w:p w14:paraId="6FE3DA74" w14:textId="77777777" w:rsidR="00CD5992" w:rsidRPr="003004BF" w:rsidRDefault="00CD5992" w:rsidP="00D71F5C">
      <w:pPr>
        <w:ind w:left="0" w:right="0"/>
        <w:rPr>
          <w:rStyle w:val="Strong"/>
          <w:rFonts w:asciiTheme="minorHAnsi" w:hAnsiTheme="minorHAnsi" w:cstheme="minorHAnsi"/>
          <w:szCs w:val="24"/>
        </w:rPr>
      </w:pPr>
      <w:r w:rsidRPr="003004BF">
        <w:rPr>
          <w:rFonts w:asciiTheme="minorHAnsi" w:hAnsiTheme="minorHAnsi" w:cstheme="minorHAnsi"/>
          <w:b/>
          <w:spacing w:val="-3"/>
          <w:szCs w:val="24"/>
          <w:u w:val="single"/>
        </w:rPr>
        <w:t>To Apply</w:t>
      </w:r>
      <w:r w:rsidRPr="003004BF">
        <w:rPr>
          <w:rFonts w:asciiTheme="minorHAnsi" w:hAnsiTheme="minorHAnsi" w:cstheme="minorHAnsi"/>
          <w:b/>
          <w:spacing w:val="-3"/>
          <w:szCs w:val="24"/>
        </w:rPr>
        <w:t xml:space="preserve">:  </w:t>
      </w:r>
      <w:r w:rsidRPr="003004BF">
        <w:rPr>
          <w:rFonts w:asciiTheme="minorHAnsi" w:hAnsiTheme="minorHAnsi" w:cstheme="minorHAnsi"/>
          <w:b/>
          <w:spacing w:val="-2"/>
          <w:szCs w:val="24"/>
        </w:rPr>
        <w:t>Submit</w:t>
      </w:r>
      <w:r w:rsidRPr="003004BF">
        <w:rPr>
          <w:rFonts w:asciiTheme="minorHAnsi" w:hAnsiTheme="minorHAnsi" w:cstheme="minorHAnsi"/>
          <w:b/>
          <w:spacing w:val="1"/>
          <w:szCs w:val="24"/>
        </w:rPr>
        <w:t xml:space="preserve"> </w:t>
      </w:r>
      <w:r w:rsidRPr="003004BF">
        <w:rPr>
          <w:rFonts w:asciiTheme="minorHAnsi" w:hAnsiTheme="minorHAnsi" w:cstheme="minorHAnsi"/>
          <w:b/>
          <w:szCs w:val="24"/>
        </w:rPr>
        <w:t xml:space="preserve">a </w:t>
      </w:r>
      <w:r w:rsidRPr="003004BF">
        <w:rPr>
          <w:rFonts w:asciiTheme="minorHAnsi" w:hAnsiTheme="minorHAnsi" w:cstheme="minorHAnsi"/>
          <w:b/>
          <w:spacing w:val="-1"/>
          <w:szCs w:val="24"/>
        </w:rPr>
        <w:t>letter</w:t>
      </w:r>
      <w:r w:rsidRPr="003004BF">
        <w:rPr>
          <w:rFonts w:asciiTheme="minorHAnsi" w:hAnsiTheme="minorHAnsi" w:cstheme="minorHAnsi"/>
          <w:b/>
          <w:spacing w:val="-2"/>
          <w:szCs w:val="24"/>
        </w:rPr>
        <w:t xml:space="preserve"> </w:t>
      </w:r>
      <w:r w:rsidRPr="003004BF">
        <w:rPr>
          <w:rFonts w:asciiTheme="minorHAnsi" w:hAnsiTheme="minorHAnsi" w:cstheme="minorHAnsi"/>
          <w:b/>
          <w:szCs w:val="24"/>
        </w:rPr>
        <w:t>of</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interest,</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current</w:t>
      </w:r>
      <w:r w:rsidRPr="003004BF">
        <w:rPr>
          <w:rFonts w:asciiTheme="minorHAnsi" w:hAnsiTheme="minorHAnsi" w:cstheme="minorHAnsi"/>
          <w:b/>
          <w:spacing w:val="-3"/>
          <w:szCs w:val="24"/>
        </w:rPr>
        <w:t xml:space="preserve"> </w:t>
      </w:r>
      <w:r w:rsidRPr="003004BF">
        <w:rPr>
          <w:rFonts w:asciiTheme="minorHAnsi" w:hAnsiTheme="minorHAnsi" w:cstheme="minorHAnsi"/>
          <w:b/>
          <w:spacing w:val="-1"/>
          <w:szCs w:val="24"/>
        </w:rPr>
        <w:t xml:space="preserve">resume and </w:t>
      </w:r>
      <w:r w:rsidRPr="003004BF">
        <w:rPr>
          <w:rFonts w:asciiTheme="minorHAnsi" w:hAnsiTheme="minorHAnsi" w:cstheme="minorHAnsi"/>
          <w:b/>
          <w:szCs w:val="24"/>
        </w:rPr>
        <w:t>writing sample</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to</w:t>
      </w:r>
      <w:r w:rsidRPr="003004BF">
        <w:rPr>
          <w:rFonts w:asciiTheme="minorHAnsi" w:hAnsiTheme="minorHAnsi" w:cstheme="minorHAnsi"/>
          <w:b/>
          <w:spacing w:val="-3"/>
          <w:szCs w:val="24"/>
        </w:rPr>
        <w:t xml:space="preserve"> Human Resources at </w:t>
      </w:r>
      <w:r w:rsidRPr="003004BF">
        <w:rPr>
          <w:rStyle w:val="Hyperlink"/>
          <w:rFonts w:asciiTheme="minorHAnsi" w:hAnsiTheme="minorHAnsi" w:cstheme="minorHAnsi"/>
          <w:b/>
          <w:spacing w:val="-3"/>
          <w:szCs w:val="24"/>
        </w:rPr>
        <w:t>attorneyresume@nwjustice.org</w:t>
      </w:r>
      <w:r w:rsidRPr="003004BF">
        <w:rPr>
          <w:rFonts w:asciiTheme="minorHAnsi" w:hAnsiTheme="minorHAnsi" w:cstheme="minorHAnsi"/>
          <w:b/>
          <w:spacing w:val="-3"/>
          <w:szCs w:val="24"/>
        </w:rPr>
        <w:t xml:space="preserve">. </w:t>
      </w:r>
      <w:r w:rsidRPr="003004BF">
        <w:rPr>
          <w:rFonts w:asciiTheme="minorHAnsi" w:hAnsiTheme="minorHAnsi" w:cstheme="minorHAnsi"/>
          <w:szCs w:val="24"/>
        </w:rPr>
        <w:t xml:space="preserve">Cover letter and email subject line should clearly reference “Temporary Staff Attorney </w:t>
      </w:r>
      <w:r>
        <w:rPr>
          <w:rFonts w:asciiTheme="minorHAnsi" w:hAnsiTheme="minorHAnsi" w:cstheme="minorHAnsi"/>
          <w:szCs w:val="24"/>
        </w:rPr>
        <w:t>–</w:t>
      </w:r>
      <w:r w:rsidRPr="003004BF">
        <w:rPr>
          <w:rFonts w:asciiTheme="minorHAnsi" w:hAnsiTheme="minorHAnsi" w:cstheme="minorHAnsi"/>
          <w:szCs w:val="24"/>
        </w:rPr>
        <w:t xml:space="preserve"> </w:t>
      </w:r>
      <w:r>
        <w:rPr>
          <w:rFonts w:asciiTheme="minorHAnsi" w:hAnsiTheme="minorHAnsi" w:cstheme="minorHAnsi"/>
          <w:szCs w:val="24"/>
        </w:rPr>
        <w:t>CLEAR CV</w:t>
      </w:r>
      <w:r w:rsidRPr="003004BF">
        <w:rPr>
          <w:rFonts w:asciiTheme="minorHAnsi" w:hAnsiTheme="minorHAnsi" w:cstheme="minorHAnsi"/>
          <w:szCs w:val="24"/>
        </w:rPr>
        <w:t xml:space="preserve">”.   Cover letter should include description of any experience, personal or professional, with low income or other marginalized communities.  </w:t>
      </w:r>
      <w:r w:rsidRPr="003004BF">
        <w:rPr>
          <w:rStyle w:val="Strong"/>
          <w:rFonts w:asciiTheme="minorHAnsi" w:hAnsiTheme="minorHAnsi" w:cstheme="minorHAnsi"/>
          <w:b w:val="0"/>
          <w:bCs w:val="0"/>
          <w:szCs w:val="24"/>
        </w:rPr>
        <w:t xml:space="preserve">The Northwest Justice Project is especially interested in qualified candidates who’s professional, personal and/or service experience allow them to contribute to and support the legal aid community’s commitment to race equity. </w:t>
      </w:r>
    </w:p>
    <w:p w14:paraId="13408DD4" w14:textId="77777777" w:rsidR="00CD5992" w:rsidRPr="003004BF" w:rsidRDefault="00CD5992" w:rsidP="00D71F5C">
      <w:pPr>
        <w:spacing w:after="0" w:line="240" w:lineRule="auto"/>
        <w:ind w:left="0" w:right="0" w:firstLine="0"/>
        <w:rPr>
          <w:rFonts w:asciiTheme="minorHAnsi" w:eastAsia="Times New Roman" w:hAnsiTheme="minorHAnsi" w:cstheme="minorHAnsi"/>
          <w:b/>
          <w:bCs/>
          <w:color w:val="auto"/>
          <w:szCs w:val="24"/>
        </w:rPr>
      </w:pPr>
      <w:bookmarkStart w:id="0" w:name="Name"/>
      <w:bookmarkEnd w:id="0"/>
    </w:p>
    <w:p w14:paraId="2E8DB0E5" w14:textId="77777777" w:rsidR="00CD5992" w:rsidRPr="003004BF" w:rsidRDefault="00CD5992" w:rsidP="00D71F5C">
      <w:pPr>
        <w:spacing w:after="0" w:line="240" w:lineRule="auto"/>
        <w:ind w:left="0" w:right="0" w:firstLine="0"/>
        <w:rPr>
          <w:rFonts w:asciiTheme="minorHAnsi" w:eastAsia="Times New Roman" w:hAnsiTheme="minorHAnsi" w:cstheme="minorHAnsi"/>
          <w:szCs w:val="24"/>
        </w:rPr>
      </w:pPr>
      <w:r w:rsidRPr="003004BF">
        <w:rPr>
          <w:rFonts w:asciiTheme="minorHAnsi" w:eastAsia="Times New Roman" w:hAnsiTheme="minorHAnsi" w:cstheme="minorHAnsi"/>
          <w:b/>
          <w:bCs/>
          <w:color w:val="auto"/>
          <w:szCs w:val="24"/>
        </w:rPr>
        <w:t xml:space="preserve">Application Deadline: </w:t>
      </w:r>
      <w:r>
        <w:rPr>
          <w:rFonts w:asciiTheme="minorHAnsi" w:eastAsia="Times New Roman" w:hAnsiTheme="minorHAnsi" w:cstheme="minorHAnsi"/>
          <w:bCs/>
          <w:color w:val="auto"/>
          <w:szCs w:val="24"/>
        </w:rPr>
        <w:t>Open until filled.</w:t>
      </w:r>
      <w:r w:rsidRPr="003004BF">
        <w:rPr>
          <w:rFonts w:asciiTheme="minorHAnsi" w:eastAsia="Times New Roman" w:hAnsiTheme="minorHAnsi" w:cstheme="minorHAnsi"/>
          <w:bCs/>
          <w:color w:val="auto"/>
          <w:szCs w:val="24"/>
        </w:rPr>
        <w:t xml:space="preserve"> </w:t>
      </w:r>
    </w:p>
    <w:p w14:paraId="0CC8017C" w14:textId="77777777" w:rsidR="00CD5992" w:rsidRPr="003004BF" w:rsidRDefault="00CD5992" w:rsidP="00D71F5C">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p>
    <w:p w14:paraId="6FED9FAD" w14:textId="77777777" w:rsidR="00CD5992" w:rsidRPr="003004BF" w:rsidRDefault="00CD5992" w:rsidP="00D71F5C">
      <w:pPr>
        <w:tabs>
          <w:tab w:val="left" w:pos="-720"/>
        </w:tabs>
        <w:suppressAutoHyphens/>
        <w:spacing w:after="0" w:line="240" w:lineRule="auto"/>
        <w:ind w:left="0" w:right="0" w:firstLine="0"/>
        <w:contextualSpacing/>
        <w:rPr>
          <w:rFonts w:asciiTheme="minorHAnsi" w:eastAsia="Times New Roman" w:hAnsiTheme="minorHAnsi" w:cstheme="minorHAnsi"/>
          <w:color w:val="auto"/>
          <w:szCs w:val="24"/>
        </w:rPr>
      </w:pPr>
      <w:r w:rsidRPr="003004BF">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3004BF">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3004BF">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0A13A171" w14:textId="77777777" w:rsidR="00CD5992" w:rsidRDefault="00CD5992" w:rsidP="00CD5992"/>
    <w:p w14:paraId="40739779" w14:textId="0050B307" w:rsidR="00C1767B" w:rsidRDefault="00C1767B"/>
    <w:sectPr w:rsidR="00C1767B" w:rsidSect="00664A64">
      <w:headerReference w:type="default" r:id="rId8"/>
      <w:headerReference w:type="first" r:id="rId9"/>
      <w:footerReference w:type="first" r:id="rId10"/>
      <w:pgSz w:w="12240" w:h="15840" w:code="1"/>
      <w:pgMar w:top="1440" w:right="1440" w:bottom="1440" w:left="1728"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1B75237F" w:rsidR="0006779E" w:rsidRPr="0053778C" w:rsidRDefault="003004BF" w:rsidP="0055559A">
    <w:pPr>
      <w:pStyle w:val="Header"/>
      <w:ind w:left="10"/>
      <w:rPr>
        <w:rFonts w:asciiTheme="minorHAnsi" w:hAnsiTheme="minorHAnsi" w:cstheme="minorHAnsi"/>
      </w:rPr>
    </w:pPr>
    <w:r>
      <w:rPr>
        <w:rFonts w:asciiTheme="minorHAnsi" w:hAnsiTheme="minorHAnsi" w:cstheme="minorHAnsi"/>
      </w:rPr>
      <w:t xml:space="preserve">Temporary Staff Attorney, </w:t>
    </w:r>
    <w:r w:rsidR="00EA52F2">
      <w:rPr>
        <w:rFonts w:asciiTheme="minorHAnsi" w:hAnsiTheme="minorHAnsi" w:cstheme="minorHAnsi"/>
      </w:rPr>
      <w:t>CLEAR CV</w:t>
    </w:r>
    <w:r w:rsidR="002E2E9C">
      <w:rPr>
        <w:rFonts w:asciiTheme="minorHAnsi" w:hAnsiTheme="minorHAnsi" w:cstheme="minorHAnsi"/>
      </w:rPr>
      <w:t>, July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49D3322"/>
    <w:multiLevelType w:val="hybridMultilevel"/>
    <w:tmpl w:val="A7783A7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4A53CE9"/>
    <w:multiLevelType w:val="hybridMultilevel"/>
    <w:tmpl w:val="DD20C642"/>
    <w:lvl w:ilvl="0" w:tplc="498E4BBC">
      <w:start w:val="1"/>
      <w:numFmt w:val="bullet"/>
      <w:lvlText w:val="•"/>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40520">
      <w:start w:val="1"/>
      <w:numFmt w:val="bullet"/>
      <w:lvlText w:val="o"/>
      <w:lvlJc w:val="left"/>
      <w:pPr>
        <w:ind w:left="2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9696DC">
      <w:start w:val="1"/>
      <w:numFmt w:val="bullet"/>
      <w:lvlText w:val="▪"/>
      <w:lvlJc w:val="left"/>
      <w:pPr>
        <w:ind w:left="2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58327A">
      <w:start w:val="1"/>
      <w:numFmt w:val="bullet"/>
      <w:lvlText w:val="•"/>
      <w:lvlJc w:val="left"/>
      <w:pPr>
        <w:ind w:left="3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47CAA">
      <w:start w:val="1"/>
      <w:numFmt w:val="bullet"/>
      <w:lvlText w:val="o"/>
      <w:lvlJc w:val="left"/>
      <w:pPr>
        <w:ind w:left="4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0CBAE4">
      <w:start w:val="1"/>
      <w:numFmt w:val="bullet"/>
      <w:lvlText w:val="▪"/>
      <w:lvlJc w:val="left"/>
      <w:pPr>
        <w:ind w:left="5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8C888E">
      <w:start w:val="1"/>
      <w:numFmt w:val="bullet"/>
      <w:lvlText w:val="•"/>
      <w:lvlJc w:val="left"/>
      <w:pPr>
        <w:ind w:left="5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C9B12">
      <w:start w:val="1"/>
      <w:numFmt w:val="bullet"/>
      <w:lvlText w:val="o"/>
      <w:lvlJc w:val="left"/>
      <w:pPr>
        <w:ind w:left="6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7A1024">
      <w:start w:val="1"/>
      <w:numFmt w:val="bullet"/>
      <w:lvlText w:val="▪"/>
      <w:lvlJc w:val="left"/>
      <w:pPr>
        <w:ind w:left="7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4"/>
  </w:num>
  <w:num w:numId="4">
    <w:abstractNumId w:val="6"/>
  </w:num>
  <w:num w:numId="5">
    <w:abstractNumId w:val="6"/>
  </w:num>
  <w:num w:numId="6">
    <w:abstractNumId w:val="6"/>
  </w:num>
  <w:num w:numId="7">
    <w:abstractNumId w:val="6"/>
  </w:num>
  <w:num w:numId="8">
    <w:abstractNumId w:val="6"/>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E2E9C"/>
    <w:rsid w:val="002F42F6"/>
    <w:rsid w:val="003004BF"/>
    <w:rsid w:val="00347F56"/>
    <w:rsid w:val="00356F79"/>
    <w:rsid w:val="00364318"/>
    <w:rsid w:val="003707B8"/>
    <w:rsid w:val="003942F6"/>
    <w:rsid w:val="003A0659"/>
    <w:rsid w:val="003A119F"/>
    <w:rsid w:val="003A5DF7"/>
    <w:rsid w:val="003E752F"/>
    <w:rsid w:val="00422F8F"/>
    <w:rsid w:val="0049283B"/>
    <w:rsid w:val="005076C5"/>
    <w:rsid w:val="00516C4D"/>
    <w:rsid w:val="00532092"/>
    <w:rsid w:val="0053778C"/>
    <w:rsid w:val="00547C6C"/>
    <w:rsid w:val="0055559A"/>
    <w:rsid w:val="00560A70"/>
    <w:rsid w:val="005A7172"/>
    <w:rsid w:val="005B27EF"/>
    <w:rsid w:val="006252EE"/>
    <w:rsid w:val="006403FD"/>
    <w:rsid w:val="00664A64"/>
    <w:rsid w:val="006A48F4"/>
    <w:rsid w:val="006A5479"/>
    <w:rsid w:val="007A1D4E"/>
    <w:rsid w:val="007E1D9D"/>
    <w:rsid w:val="007F3443"/>
    <w:rsid w:val="00802078"/>
    <w:rsid w:val="00803488"/>
    <w:rsid w:val="0080555F"/>
    <w:rsid w:val="00807363"/>
    <w:rsid w:val="00831E4A"/>
    <w:rsid w:val="008455F4"/>
    <w:rsid w:val="008552E5"/>
    <w:rsid w:val="008A26DD"/>
    <w:rsid w:val="008A7DE4"/>
    <w:rsid w:val="008D7E50"/>
    <w:rsid w:val="008E26C8"/>
    <w:rsid w:val="009230CB"/>
    <w:rsid w:val="009337DE"/>
    <w:rsid w:val="00947DF0"/>
    <w:rsid w:val="009721C8"/>
    <w:rsid w:val="0098573A"/>
    <w:rsid w:val="00996171"/>
    <w:rsid w:val="009A000B"/>
    <w:rsid w:val="009B0117"/>
    <w:rsid w:val="009E271D"/>
    <w:rsid w:val="00A051FE"/>
    <w:rsid w:val="00A63C42"/>
    <w:rsid w:val="00AA35A5"/>
    <w:rsid w:val="00AB3B90"/>
    <w:rsid w:val="00AC403E"/>
    <w:rsid w:val="00AE3EBA"/>
    <w:rsid w:val="00B50A79"/>
    <w:rsid w:val="00B7773D"/>
    <w:rsid w:val="00BB3C97"/>
    <w:rsid w:val="00BE298A"/>
    <w:rsid w:val="00BE2EB5"/>
    <w:rsid w:val="00BE7D66"/>
    <w:rsid w:val="00C0781F"/>
    <w:rsid w:val="00C1767B"/>
    <w:rsid w:val="00C56102"/>
    <w:rsid w:val="00C63720"/>
    <w:rsid w:val="00C953CD"/>
    <w:rsid w:val="00CA6CD0"/>
    <w:rsid w:val="00CC1860"/>
    <w:rsid w:val="00CD5992"/>
    <w:rsid w:val="00CD7741"/>
    <w:rsid w:val="00D07CE6"/>
    <w:rsid w:val="00D60FE6"/>
    <w:rsid w:val="00D71F5C"/>
    <w:rsid w:val="00D73662"/>
    <w:rsid w:val="00D8664A"/>
    <w:rsid w:val="00D87321"/>
    <w:rsid w:val="00D87A9C"/>
    <w:rsid w:val="00DA1F06"/>
    <w:rsid w:val="00DC6465"/>
    <w:rsid w:val="00DD3387"/>
    <w:rsid w:val="00E80B79"/>
    <w:rsid w:val="00EA52F2"/>
    <w:rsid w:val="00EC3F9D"/>
    <w:rsid w:val="00F54F18"/>
    <w:rsid w:val="00F6546E"/>
    <w:rsid w:val="00F82950"/>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3"/>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2"/>
      </w:numPr>
      <w:tabs>
        <w:tab w:val="clear" w:pos="1944"/>
        <w:tab w:val="left" w:pos="2160"/>
      </w:tabs>
    </w:pPr>
  </w:style>
  <w:style w:type="paragraph" w:styleId="ListBullet">
    <w:name w:val="List Bullet"/>
    <w:basedOn w:val="Normal"/>
    <w:pPr>
      <w:numPr>
        <w:numId w:val="1"/>
      </w:numPr>
      <w:tabs>
        <w:tab w:val="clear" w:pos="1800"/>
        <w:tab w:val="left" w:pos="2160"/>
      </w:tabs>
    </w:pPr>
  </w:style>
  <w:style w:type="paragraph" w:customStyle="1" w:styleId="GBListNumber1">
    <w:name w:val="GBListNumber1"/>
    <w:basedOn w:val="Normal"/>
    <w:pPr>
      <w:numPr>
        <w:numId w:val="9"/>
      </w:numPr>
      <w:tabs>
        <w:tab w:val="clear" w:pos="1267"/>
      </w:tabs>
    </w:pPr>
  </w:style>
  <w:style w:type="paragraph" w:customStyle="1" w:styleId="GBListNumber2">
    <w:name w:val="GBListNumber2"/>
    <w:basedOn w:val="GBListNumber1"/>
    <w:pPr>
      <w:numPr>
        <w:ilvl w:val="1"/>
        <w:numId w:val="10"/>
      </w:numPr>
      <w:tabs>
        <w:tab w:val="clear" w:pos="1800"/>
      </w:tabs>
    </w:pPr>
  </w:style>
  <w:style w:type="paragraph" w:customStyle="1" w:styleId="GBListNumber3">
    <w:name w:val="GBListNumber3"/>
    <w:basedOn w:val="Normal"/>
    <w:pPr>
      <w:numPr>
        <w:ilvl w:val="2"/>
        <w:numId w:val="11"/>
      </w:numPr>
      <w:tabs>
        <w:tab w:val="clear" w:pos="2707"/>
      </w:tabs>
    </w:pPr>
  </w:style>
  <w:style w:type="paragraph" w:customStyle="1" w:styleId="GBListNumber4">
    <w:name w:val="GBListNumber4"/>
    <w:basedOn w:val="Normal"/>
    <w:pPr>
      <w:numPr>
        <w:ilvl w:val="3"/>
        <w:numId w:val="12"/>
      </w:numPr>
      <w:tabs>
        <w:tab w:val="clear" w:pos="3240"/>
      </w:tabs>
    </w:pPr>
  </w:style>
  <w:style w:type="paragraph" w:customStyle="1" w:styleId="GBListNumber5">
    <w:name w:val="GBListNumber5"/>
    <w:basedOn w:val="GBListNumber4"/>
    <w:pPr>
      <w:numPr>
        <w:ilvl w:val="4"/>
        <w:numId w:val="13"/>
      </w:numPr>
      <w:tabs>
        <w:tab w:val="clear" w:pos="4147"/>
      </w:tabs>
    </w:pPr>
  </w:style>
  <w:style w:type="paragraph" w:customStyle="1" w:styleId="GBListNumber6">
    <w:name w:val="GBListNumber6"/>
    <w:basedOn w:val="GBListNumber5"/>
    <w:pPr>
      <w:numPr>
        <w:ilvl w:val="5"/>
        <w:numId w:val="14"/>
      </w:numPr>
      <w:tabs>
        <w:tab w:val="clear" w:pos="4680"/>
      </w:tabs>
    </w:pPr>
  </w:style>
  <w:style w:type="paragraph" w:customStyle="1" w:styleId="GBAListNumber1">
    <w:name w:val="GBAListNumber1"/>
    <w:basedOn w:val="Normal"/>
    <w:pPr>
      <w:numPr>
        <w:numId w:val="4"/>
      </w:numPr>
      <w:tabs>
        <w:tab w:val="clear" w:pos="1987"/>
      </w:tabs>
    </w:pPr>
  </w:style>
  <w:style w:type="paragraph" w:customStyle="1" w:styleId="GBAListNumber2">
    <w:name w:val="GBAListNumber2"/>
    <w:basedOn w:val="GBAListNumber1"/>
    <w:pPr>
      <w:numPr>
        <w:ilvl w:val="1"/>
        <w:numId w:val="5"/>
      </w:numPr>
      <w:tabs>
        <w:tab w:val="clear" w:pos="2520"/>
      </w:tabs>
    </w:pPr>
  </w:style>
  <w:style w:type="paragraph" w:customStyle="1" w:styleId="GBAListNumber3">
    <w:name w:val="GBAListNumber3"/>
    <w:basedOn w:val="GBAListNumber2"/>
    <w:pPr>
      <w:numPr>
        <w:ilvl w:val="2"/>
        <w:numId w:val="6"/>
      </w:numPr>
      <w:tabs>
        <w:tab w:val="clear" w:pos="3427"/>
      </w:tabs>
    </w:pPr>
  </w:style>
  <w:style w:type="paragraph" w:customStyle="1" w:styleId="GBAListNumber4">
    <w:name w:val="GBAListNumber4"/>
    <w:basedOn w:val="GBAListNumber3"/>
    <w:pPr>
      <w:numPr>
        <w:ilvl w:val="3"/>
        <w:numId w:val="7"/>
      </w:numPr>
      <w:tabs>
        <w:tab w:val="clear" w:pos="3960"/>
      </w:tabs>
    </w:pPr>
  </w:style>
  <w:style w:type="paragraph" w:customStyle="1" w:styleId="GBAListNumber5">
    <w:name w:val="GBAListNumber5"/>
    <w:basedOn w:val="GBAListNumber4"/>
    <w:pPr>
      <w:numPr>
        <w:ilvl w:val="4"/>
        <w:numId w:val="8"/>
      </w:numPr>
      <w:tabs>
        <w:tab w:val="clear" w:pos="4867"/>
      </w:tabs>
    </w:pPr>
  </w:style>
  <w:style w:type="paragraph" w:customStyle="1" w:styleId="GBListNumber7">
    <w:name w:val="GBListNumber7"/>
    <w:basedOn w:val="Normal"/>
    <w:pPr>
      <w:numPr>
        <w:ilvl w:val="6"/>
        <w:numId w:val="15"/>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Default">
    <w:name w:val="Default"/>
    <w:rsid w:val="00664A6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5AD3-86E3-4759-ADBC-839D5189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Template>
  <TotalTime>4</TotalTime>
  <Pages>3</Pages>
  <Words>908</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5</cp:revision>
  <cp:lastPrinted>2020-07-30T08:41:00Z</cp:lastPrinted>
  <dcterms:created xsi:type="dcterms:W3CDTF">2020-07-30T08:38:00Z</dcterms:created>
  <dcterms:modified xsi:type="dcterms:W3CDTF">2020-07-30T08:42:00Z</dcterms:modified>
</cp:coreProperties>
</file>