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jc w:val="center"/>
        <w:rPr/>
      </w:pPr>
      <w:bookmarkStart w:colFirst="0" w:colLast="0" w:name="_9izs7f75dx7u" w:id="0"/>
      <w:bookmarkEnd w:id="0"/>
      <w:r w:rsidDel="00000000" w:rsidR="00000000" w:rsidRPr="00000000">
        <w:rPr>
          <w:sz w:val="36"/>
          <w:szCs w:val="36"/>
          <w:rtl w:val="0"/>
        </w:rPr>
        <w:t xml:space="preserve">2</w:t>
      </w:r>
      <w:r w:rsidDel="00000000" w:rsidR="00000000" w:rsidRPr="00000000">
        <w:rPr>
          <w:sz w:val="36"/>
          <w:szCs w:val="36"/>
          <w:vertAlign w:val="superscript"/>
          <w:rtl w:val="0"/>
        </w:rPr>
        <w:t xml:space="preserve">nd</w:t>
      </w:r>
      <w:r w:rsidDel="00000000" w:rsidR="00000000" w:rsidRPr="00000000">
        <w:rPr>
          <w:sz w:val="36"/>
          <w:szCs w:val="36"/>
          <w:rtl w:val="0"/>
        </w:rPr>
        <w:t xml:space="preserve"> addendum to complaint regarding blind mail</w:t>
      </w:r>
      <w:r w:rsidDel="00000000" w:rsidR="00000000" w:rsidRPr="00000000">
        <w:rPr>
          <w:rtl w:val="0"/>
        </w:rPr>
      </w:r>
    </w:p>
    <w:tbl>
      <w:tblPr>
        <w:tblStyle w:val="Table1"/>
        <w:tblW w:w="9120.00021743775" w:type="dxa"/>
        <w:jc w:val="left"/>
        <w:tblLayout w:type="fixed"/>
        <w:tblLook w:val="0600"/>
      </w:tblPr>
      <w:tblGrid>
        <w:gridCol w:w="5064.000120735172"/>
        <w:gridCol w:w="4056.000096702578"/>
        <w:tblGridChange w:id="0">
          <w:tblGrid>
            <w:gridCol w:w="5064.000120735172"/>
            <w:gridCol w:w="4056.000096702578"/>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Sai &amp; Fiat Fiendum, </w:t>
            </w:r>
            <w:r w:rsidDel="00000000" w:rsidR="00000000" w:rsidRPr="00000000">
              <w:rPr>
                <w:i w:val="1"/>
                <w:rtl w:val="0"/>
              </w:rPr>
              <w:t xml:space="preserve">complainants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v</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United States Postal Service, </w:t>
            </w:r>
            <w:r w:rsidDel="00000000" w:rsidR="00000000" w:rsidRPr="00000000">
              <w:rPr>
                <w:i w:val="1"/>
                <w:rtl w:val="0"/>
              </w:rPr>
              <w:t xml:space="preserve">respondent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PRC docket number</w:t>
            </w:r>
            <w:r w:rsidDel="00000000" w:rsidR="00000000" w:rsidRPr="00000000">
              <w:rPr>
                <w:rtl w:val="0"/>
              </w:rPr>
              <w:t xml:space="preserve"> C2024-13</w:t>
            </w:r>
          </w:p>
        </w:tc>
      </w:tr>
    </w:tbl>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following is submitted as the second addendum to the complaint.</w:t>
      </w: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Respectfully submitted,</w:t>
        <w:br w:type="textWrapping"/>
        <w:t xml:space="preserve">Sai</w:t>
        <w:br w:type="textWrapping"/>
        <w:t xml:space="preserve">President, Fiat Fiendum, Inc.</w:t>
        <w:br w:type="textWrapping"/>
        <w:t xml:space="preserve">July 3</w:t>
      </w:r>
      <w:r w:rsidDel="00000000" w:rsidR="00000000" w:rsidRPr="00000000">
        <w:rPr>
          <w:rtl w:val="0"/>
        </w:rPr>
        <w:t xml:space="preserve">, 2024</w:t>
      </w:r>
      <w:r w:rsidDel="00000000" w:rsidR="00000000" w:rsidRPr="00000000">
        <w:rPr>
          <w:rtl w:val="0"/>
        </w:rPr>
      </w:r>
    </w:p>
    <w:p w:rsidR="00000000" w:rsidDel="00000000" w:rsidP="00000000" w:rsidRDefault="00000000" w:rsidRPr="00000000" w14:paraId="00000009">
      <w:pPr>
        <w:pStyle w:val="Heading2"/>
        <w:keepNext w:val="1"/>
        <w:keepLines w:val="1"/>
        <w:pageBreakBefore w:val="1"/>
        <w:spacing w:before="0" w:lineRule="auto"/>
        <w:ind w:left="720" w:firstLine="0"/>
        <w:rPr/>
      </w:pPr>
      <w:bookmarkStart w:colFirst="0" w:colLast="0" w:name="_7utoz1fim3o7" w:id="1"/>
      <w:bookmarkEnd w:id="1"/>
      <w:r w:rsidDel="00000000" w:rsidR="00000000" w:rsidRPr="00000000">
        <w:rPr>
          <w:rtl w:val="0"/>
        </w:rPr>
        <w:t xml:space="preserve">Human rights &amp; Fourth Amendment violations, pp 18–21</w:t>
      </w:r>
    </w:p>
    <w:p w:rsidR="00000000" w:rsidDel="00000000" w:rsidP="00000000" w:rsidRDefault="00000000" w:rsidRPr="00000000" w14:paraId="0000000A">
      <w:pPr>
        <w:spacing w:after="0" w:lineRule="auto"/>
        <w:rPr/>
      </w:pPr>
      <w:r w:rsidDel="00000000" w:rsidR="00000000" w:rsidRPr="00000000">
        <w:rPr>
          <w:rtl w:val="0"/>
        </w:rPr>
        <w:t xml:space="preserve">US Customs regulations</w:t>
      </w:r>
      <w:r w:rsidDel="00000000" w:rsidR="00000000" w:rsidRPr="00000000">
        <w:rPr>
          <w:vertAlign w:val="superscript"/>
        </w:rPr>
        <w:footnoteReference w:customMarkFollows="0" w:id="0"/>
      </w:r>
      <w:r w:rsidDel="00000000" w:rsidR="00000000" w:rsidRPr="00000000">
        <w:rPr>
          <w:rtl w:val="0"/>
        </w:rPr>
        <w:t xml:space="preserve"> expressly state that UPU blind mail requires a warrant to read. </w:t>
      </w:r>
      <w:r w:rsidDel="00000000" w:rsidR="00000000" w:rsidRPr="00000000">
        <w:rPr>
          <w:i w:val="1"/>
          <w:rtl w:val="0"/>
        </w:rPr>
        <w:t xml:space="preserve">See </w:t>
      </w:r>
      <w:r w:rsidDel="00000000" w:rsidR="00000000" w:rsidRPr="00000000">
        <w:rPr>
          <w:rtl w:val="0"/>
        </w:rPr>
        <w:t xml:space="preserve">19 C.F.R. Part 145 Appendix (italics original, bold added):</w:t>
      </w:r>
    </w:p>
    <w:p w:rsidR="00000000" w:rsidDel="00000000" w:rsidP="00000000" w:rsidRDefault="00000000" w:rsidRPr="00000000" w14:paraId="0000000B">
      <w:pPr>
        <w:spacing w:line="240" w:lineRule="auto"/>
        <w:ind w:left="720" w:firstLine="0"/>
        <w:rPr>
          <w:sz w:val="20"/>
          <w:szCs w:val="20"/>
        </w:rPr>
      </w:pPr>
      <w:r w:rsidDel="00000000" w:rsidR="00000000" w:rsidRPr="00000000">
        <w:rPr>
          <w:sz w:val="20"/>
          <w:szCs w:val="20"/>
          <w:rtl w:val="0"/>
        </w:rPr>
        <w:t xml:space="preserve">A. </w:t>
      </w:r>
      <w:r w:rsidDel="00000000" w:rsidR="00000000" w:rsidRPr="00000000">
        <w:rPr>
          <w:i w:val="1"/>
          <w:sz w:val="20"/>
          <w:szCs w:val="20"/>
          <w:rtl w:val="0"/>
        </w:rPr>
        <w:t xml:space="preserve">Scope.</w:t>
      </w:r>
      <w:r w:rsidDel="00000000" w:rsidR="00000000" w:rsidRPr="00000000">
        <w:rPr>
          <w:sz w:val="20"/>
          <w:szCs w:val="20"/>
          <w:rtl w:val="0"/>
        </w:rPr>
        <w:t xml:space="preserve"> The Customs Service is authorized to examine … all mail arriving from outside the Customs territory of the United States (CTUS) which is to be delivered within the CTUS …. The Customs Service therefor is responsible for examining all international mail to be delivered in the CTUS and certain limited categories of so-called “domestic mail”.</w:t>
      </w:r>
    </w:p>
    <w:p w:rsidR="00000000" w:rsidDel="00000000" w:rsidP="00000000" w:rsidRDefault="00000000" w:rsidRPr="00000000" w14:paraId="0000000C">
      <w:pPr>
        <w:spacing w:line="240" w:lineRule="auto"/>
        <w:ind w:left="720" w:firstLine="0"/>
        <w:rPr>
          <w:sz w:val="20"/>
          <w:szCs w:val="20"/>
        </w:rPr>
      </w:pPr>
      <w:r w:rsidDel="00000000" w:rsidR="00000000" w:rsidRPr="00000000">
        <w:rPr>
          <w:sz w:val="20"/>
          <w:szCs w:val="20"/>
          <w:rtl w:val="0"/>
        </w:rPr>
        <w:t xml:space="preserve">B. </w:t>
      </w:r>
      <w:r w:rsidDel="00000000" w:rsidR="00000000" w:rsidRPr="00000000">
        <w:rPr>
          <w:i w:val="1"/>
          <w:sz w:val="20"/>
          <w:szCs w:val="20"/>
          <w:rtl w:val="0"/>
        </w:rPr>
        <w:t xml:space="preserve">Definitions.</w:t>
      </w:r>
      <w:r w:rsidDel="00000000" w:rsidR="00000000" w:rsidRPr="00000000">
        <w:rPr>
          <w:sz w:val="20"/>
          <w:szCs w:val="20"/>
          <w:rtl w:val="0"/>
        </w:rPr>
        <w:t xml:space="preserve"> Under various international conventions and bilateral agreements, international mail falls within two main classes, Parcel Post and Postal Union mail.</w:t>
      </w:r>
    </w:p>
    <w:p w:rsidR="00000000" w:rsidDel="00000000" w:rsidP="00000000" w:rsidRDefault="00000000" w:rsidRPr="00000000" w14:paraId="0000000D">
      <w:pPr>
        <w:spacing w:line="240" w:lineRule="auto"/>
        <w:ind w:left="720" w:firstLine="0"/>
        <w:rPr>
          <w:sz w:val="20"/>
          <w:szCs w:val="20"/>
        </w:rPr>
      </w:pPr>
      <w:r w:rsidDel="00000000" w:rsidR="00000000" w:rsidRPr="00000000">
        <w:rPr>
          <w:sz w:val="20"/>
          <w:szCs w:val="20"/>
          <w:rtl w:val="0"/>
        </w:rPr>
        <w:t xml:space="preserve">Parcel Post is not permitted to contain correspondence but is to be used for the transmission of merchandise and is fully subject to Customs examination in the same manner as other merchandise shipments (e.g., luggage, cargo, containers, etc.). Postal Union mail is divided into “LC” mail (Lettres et Cartes) and “AO” mail (Aures</w:t>
      </w:r>
      <w:r w:rsidDel="00000000" w:rsidR="00000000" w:rsidRPr="00000000">
        <w:rPr>
          <w:sz w:val="20"/>
          <w:szCs w:val="20"/>
          <w:vertAlign w:val="superscript"/>
        </w:rPr>
        <w:footnoteReference w:customMarkFollows="0" w:id="1"/>
      </w:r>
      <w:r w:rsidDel="00000000" w:rsidR="00000000" w:rsidRPr="00000000">
        <w:rPr>
          <w:sz w:val="20"/>
          <w:szCs w:val="20"/>
          <w:rtl w:val="0"/>
        </w:rPr>
        <w:t xml:space="preserve"> Objets).</w:t>
      </w:r>
    </w:p>
    <w:p w:rsidR="00000000" w:rsidDel="00000000" w:rsidP="00000000" w:rsidRDefault="00000000" w:rsidRPr="00000000" w14:paraId="0000000E">
      <w:pPr>
        <w:spacing w:line="240" w:lineRule="auto"/>
        <w:ind w:left="720" w:firstLine="0"/>
        <w:rPr>
          <w:sz w:val="20"/>
          <w:szCs w:val="20"/>
        </w:rPr>
      </w:pPr>
      <w:r w:rsidDel="00000000" w:rsidR="00000000" w:rsidRPr="00000000">
        <w:rPr>
          <w:sz w:val="20"/>
          <w:szCs w:val="20"/>
          <w:rtl w:val="0"/>
        </w:rPr>
        <w:t xml:space="preserve">“LC mail consists of letters, packages paid at the letter rate of postage, post cards, and aerogrammes. The term “letter class mail” as used in the Customs Regulations and in this policy statement means “LC” mail as well as equivalent articles in “domestic” mail subject to Customs examination. Equivalent articles in “domestic” mail would include articles mailed at the letter rate, or equivalent class or category, in the APO/FPO military system or from a U.S. territory or possession outside the CTUS. Since the term “letter class mail” thus includes packages and bulky envelopes as long as they are mailed at the letter rate, or equivalent class or category, the restrictions relating to opening and reading of correspondence apply equally to such packages or bulky envelopes.</w:t>
      </w:r>
    </w:p>
    <w:p w:rsidR="00000000" w:rsidDel="00000000" w:rsidP="00000000" w:rsidRDefault="00000000" w:rsidRPr="00000000" w14:paraId="0000000F">
      <w:pPr>
        <w:spacing w:after="0" w:line="240" w:lineRule="auto"/>
        <w:ind w:left="720" w:firstLine="0"/>
        <w:rPr>
          <w:sz w:val="20"/>
          <w:szCs w:val="20"/>
        </w:rPr>
      </w:pPr>
      <w:r w:rsidDel="00000000" w:rsidR="00000000" w:rsidRPr="00000000">
        <w:rPr>
          <w:sz w:val="20"/>
          <w:szCs w:val="20"/>
          <w:rtl w:val="0"/>
        </w:rPr>
        <w:t xml:space="preserve">“AO” mail is to be treated in the same manner as Parcel Post mail since the Universal Postal Union Convention requires that they “be made up in such a manner that they may be easily examined” and generally are not permitted to “contain any document having the character of current and personal correspondence.” Exceptions to the latter requirement exist for matter for the blind …. </w:t>
      </w:r>
      <w:r w:rsidDel="00000000" w:rsidR="00000000" w:rsidRPr="00000000">
        <w:rPr>
          <w:b w:val="1"/>
          <w:sz w:val="20"/>
          <w:szCs w:val="20"/>
          <w:rtl w:val="0"/>
        </w:rPr>
        <w:t xml:space="preserve">Because of these exceptions, the prohibition against reading correspondence without a search warrant or authorization of the sender or addressee applies to correspondence of the blind … contained in “AO” mail.</w:t>
      </w:r>
      <w:r w:rsidDel="00000000" w:rsidR="00000000" w:rsidRPr="00000000">
        <w:rPr>
          <w:sz w:val="20"/>
          <w:szCs w:val="20"/>
          <w:rtl w:val="0"/>
        </w:rPr>
        <w:t xml:space="preserve"> “AO” mail can usually be identified by the following words: “Imprime” or “Printed Matter”, “Cecogramme” or “Literature for the Blind”, “Petit Paquet” or “Small Packet” or similar terms or their equivalents.</w:t>
      </w:r>
    </w:p>
    <w:p w:rsidR="00000000" w:rsidDel="00000000" w:rsidP="00000000" w:rsidRDefault="00000000" w:rsidRPr="00000000" w14:paraId="00000010">
      <w:pPr>
        <w:keepNext w:val="1"/>
        <w:keepLines w:val="0"/>
        <w:spacing w:after="0" w:before="200" w:lineRule="auto"/>
        <w:rPr/>
      </w:pPr>
      <w:r w:rsidDel="00000000" w:rsidR="00000000" w:rsidRPr="00000000">
        <w:rPr>
          <w:i w:val="1"/>
          <w:rtl w:val="0"/>
        </w:rPr>
        <w:t xml:space="preserve">See also </w:t>
      </w:r>
      <w:r w:rsidDel="00000000" w:rsidR="00000000" w:rsidRPr="00000000">
        <w:rPr>
          <w:rtl w:val="0"/>
        </w:rPr>
        <w:t xml:space="preserve">Policy Statement to Part 145 — Examination of Sealed Letter Class Mail:</w:t>
      </w:r>
    </w:p>
    <w:p w:rsidR="00000000" w:rsidDel="00000000" w:rsidP="00000000" w:rsidRDefault="00000000" w:rsidRPr="00000000" w14:paraId="00000011">
      <w:pPr>
        <w:keepNext w:val="0"/>
        <w:spacing w:after="0" w:before="0" w:line="240" w:lineRule="auto"/>
        <w:ind w:left="720" w:firstLine="0"/>
        <w:rPr>
          <w:sz w:val="20"/>
          <w:szCs w:val="20"/>
        </w:rPr>
      </w:pPr>
      <w:r w:rsidDel="00000000" w:rsidR="00000000" w:rsidRPr="00000000">
        <w:rPr>
          <w:sz w:val="20"/>
          <w:szCs w:val="20"/>
          <w:rtl w:val="0"/>
        </w:rPr>
        <w:t xml:space="preserve">C. </w:t>
      </w:r>
      <w:r w:rsidDel="00000000" w:rsidR="00000000" w:rsidRPr="00000000">
        <w:rPr>
          <w:b w:val="1"/>
          <w:sz w:val="20"/>
          <w:szCs w:val="20"/>
          <w:rtl w:val="0"/>
        </w:rPr>
        <w:t xml:space="preserve">Customs officers and employees are prohibited from reading, or authorizing or allowing others to read, any correspondence contained in any letter class mail</w:t>
      </w:r>
      <w:r w:rsidDel="00000000" w:rsidR="00000000" w:rsidRPr="00000000">
        <w:rPr>
          <w:sz w:val="20"/>
          <w:szCs w:val="20"/>
          <w:rtl w:val="0"/>
        </w:rPr>
        <w:t xml:space="preserve"> unless there has been obtained in advance either a </w:t>
      </w:r>
      <w:r w:rsidDel="00000000" w:rsidR="00000000" w:rsidRPr="00000000">
        <w:rPr>
          <w:b w:val="1"/>
          <w:sz w:val="20"/>
          <w:szCs w:val="20"/>
          <w:rtl w:val="0"/>
        </w:rPr>
        <w:t xml:space="preserve">search warrant</w:t>
      </w:r>
      <w:r w:rsidDel="00000000" w:rsidR="00000000" w:rsidRPr="00000000">
        <w:rPr>
          <w:sz w:val="20"/>
          <w:szCs w:val="20"/>
          <w:rtl w:val="0"/>
        </w:rPr>
        <w:t xml:space="preserve"> or written authorization of the sender or addressee. </w:t>
      </w:r>
      <w:r w:rsidDel="00000000" w:rsidR="00000000" w:rsidRPr="00000000">
        <w:rPr>
          <w:b w:val="1"/>
          <w:sz w:val="20"/>
          <w:szCs w:val="20"/>
          <w:rtl w:val="0"/>
        </w:rPr>
        <w:t xml:space="preserve">This prohibition, which will continue to be strictly enforced, also applies to </w:t>
      </w:r>
      <w:r w:rsidDel="00000000" w:rsidR="00000000" w:rsidRPr="00000000">
        <w:rPr>
          <w:sz w:val="20"/>
          <w:szCs w:val="20"/>
          <w:rtl w:val="0"/>
        </w:rPr>
        <w:t xml:space="preserve">… </w:t>
      </w:r>
      <w:r w:rsidDel="00000000" w:rsidR="00000000" w:rsidRPr="00000000">
        <w:rPr>
          <w:b w:val="1"/>
          <w:sz w:val="20"/>
          <w:szCs w:val="20"/>
          <w:rtl w:val="0"/>
        </w:rPr>
        <w:t xml:space="preserve">correspondence of the blind</w:t>
      </w:r>
      <w:r w:rsidDel="00000000" w:rsidR="00000000" w:rsidRPr="00000000">
        <w:rPr>
          <w:sz w:val="20"/>
          <w:szCs w:val="20"/>
          <w:rtl w:val="0"/>
        </w:rPr>
        <w:t xml:space="preserve"> which are authorized to be mailed at other than the letter rate of postage in international mail.</w:t>
      </w:r>
    </w:p>
    <w:p w:rsidR="00000000" w:rsidDel="00000000" w:rsidP="00000000" w:rsidRDefault="00000000" w:rsidRPr="00000000" w14:paraId="00000012">
      <w:pPr>
        <w:keepNext w:val="0"/>
        <w:spacing w:after="0" w:before="0" w:line="240" w:lineRule="auto"/>
        <w:ind w:left="720"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13">
      <w:pPr>
        <w:spacing w:after="0" w:line="240" w:lineRule="auto"/>
        <w:ind w:left="720" w:firstLine="0"/>
        <w:rPr>
          <w:sz w:val="20"/>
          <w:szCs w:val="20"/>
        </w:rPr>
      </w:pPr>
      <w:r w:rsidDel="00000000" w:rsidR="00000000" w:rsidRPr="00000000">
        <w:rPr>
          <w:sz w:val="20"/>
          <w:szCs w:val="20"/>
          <w:rtl w:val="0"/>
        </w:rPr>
        <w:t xml:space="preserve">J. Any violation of the Customs mail regulations or any of these policies will lead to appropriate administrative sanctions, as well as possible criminal prosecution pursuant to 18 U.S.C. 1702.</w:t>
      </w:r>
    </w:p>
    <w:p w:rsidR="00000000" w:rsidDel="00000000" w:rsidP="00000000" w:rsidRDefault="00000000" w:rsidRPr="00000000" w14:paraId="00000014">
      <w:pPr>
        <w:keepNext w:val="1"/>
        <w:keepLines w:val="1"/>
        <w:spacing w:after="0" w:before="200" w:lineRule="auto"/>
        <w:rPr/>
      </w:pPr>
      <w:r w:rsidDel="00000000" w:rsidR="00000000" w:rsidRPr="00000000">
        <w:rPr>
          <w:i w:val="1"/>
          <w:rtl w:val="0"/>
        </w:rPr>
        <w:t xml:space="preserve">See also </w:t>
      </w:r>
      <w:r w:rsidDel="00000000" w:rsidR="00000000" w:rsidRPr="00000000">
        <w:rPr>
          <w:rtl w:val="0"/>
        </w:rPr>
        <w:t xml:space="preserve">19 C.F.R. § 145.3</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15">
      <w:pPr>
        <w:keepNext w:val="1"/>
        <w:keepLines w:val="0"/>
        <w:spacing w:after="0" w:before="0" w:line="240" w:lineRule="auto"/>
        <w:ind w:left="720" w:firstLine="0"/>
        <w:rPr>
          <w:sz w:val="20"/>
          <w:szCs w:val="20"/>
        </w:rPr>
      </w:pPr>
      <w:r w:rsidDel="00000000" w:rsidR="00000000" w:rsidRPr="00000000">
        <w:rPr>
          <w:sz w:val="20"/>
          <w:szCs w:val="20"/>
          <w:rtl w:val="0"/>
        </w:rPr>
        <w:t xml:space="preserve">§ 145.3 Opening of letter class mail; reading of correspondence prohibited.</w:t>
      </w:r>
    </w:p>
    <w:p w:rsidR="00000000" w:rsidDel="00000000" w:rsidP="00000000" w:rsidRDefault="00000000" w:rsidRPr="00000000" w14:paraId="00000016">
      <w:pPr>
        <w:keepNext w:val="1"/>
        <w:keepLines w:val="0"/>
        <w:numPr>
          <w:ilvl w:val="0"/>
          <w:numId w:val="1"/>
        </w:numPr>
        <w:spacing w:after="0" w:afterAutospacing="0" w:before="0" w:line="240" w:lineRule="auto"/>
        <w:ind w:left="1440" w:hanging="360"/>
        <w:rPr>
          <w:sz w:val="20"/>
          <w:szCs w:val="20"/>
        </w:rPr>
      </w:pPr>
      <w:r w:rsidDel="00000000" w:rsidR="00000000" w:rsidRPr="00000000">
        <w:rPr>
          <w:i w:val="1"/>
          <w:sz w:val="20"/>
          <w:szCs w:val="20"/>
          <w:rtl w:val="0"/>
        </w:rPr>
        <w:t xml:space="preserve">Matter in addition to correspondence.</w:t>
      </w:r>
      <w:r w:rsidDel="00000000" w:rsidR="00000000" w:rsidRPr="00000000">
        <w:rPr>
          <w:sz w:val="20"/>
          <w:szCs w:val="20"/>
          <w:rtl w:val="0"/>
        </w:rPr>
        <w:t xml:space="preserve"> Except as provided in paragraph (e), </w:t>
      </w:r>
      <w:r w:rsidDel="00000000" w:rsidR="00000000" w:rsidRPr="00000000">
        <w:rPr>
          <w:b w:val="1"/>
          <w:sz w:val="20"/>
          <w:szCs w:val="20"/>
          <w:rtl w:val="0"/>
        </w:rPr>
        <w:t xml:space="preserve">Customs officers and employees may open and examine sealed letter class mail</w:t>
      </w:r>
      <w:r w:rsidDel="00000000" w:rsidR="00000000" w:rsidRPr="00000000">
        <w:rPr>
          <w:sz w:val="20"/>
          <w:szCs w:val="20"/>
          <w:rtl w:val="0"/>
        </w:rPr>
        <w:t xml:space="preserve"> subject to Customs examination which appears to contain matter in addition to, or other than, correspondence, </w:t>
      </w:r>
      <w:r w:rsidDel="00000000" w:rsidR="00000000" w:rsidRPr="00000000">
        <w:rPr>
          <w:b w:val="1"/>
          <w:sz w:val="20"/>
          <w:szCs w:val="20"/>
          <w:rtl w:val="0"/>
        </w:rPr>
        <w:t xml:space="preserve">provided they have reasonable cause to suspect the presence of merchandise or contraband</w:t>
      </w:r>
      <w:r w:rsidDel="00000000" w:rsidR="00000000" w:rsidRPr="00000000">
        <w:rPr>
          <w:sz w:val="20"/>
          <w:szCs w:val="20"/>
          <w:rtl w:val="0"/>
        </w:rPr>
        <w:t xml:space="preserve">.</w:t>
      </w:r>
    </w:p>
    <w:p w:rsidR="00000000" w:rsidDel="00000000" w:rsidP="00000000" w:rsidRDefault="00000000" w:rsidRPr="00000000" w14:paraId="00000017">
      <w:pPr>
        <w:keepNext w:val="1"/>
        <w:keepLines w:val="0"/>
        <w:numPr>
          <w:ilvl w:val="0"/>
          <w:numId w:val="1"/>
        </w:numPr>
        <w:spacing w:after="0" w:afterAutospacing="0" w:before="0" w:beforeAutospacing="0" w:line="240" w:lineRule="auto"/>
        <w:ind w:left="1440" w:hanging="360"/>
        <w:rPr>
          <w:sz w:val="20"/>
          <w:szCs w:val="20"/>
        </w:rPr>
      </w:pPr>
      <w:r w:rsidDel="00000000" w:rsidR="00000000" w:rsidRPr="00000000">
        <w:rPr>
          <w:i w:val="1"/>
          <w:sz w:val="20"/>
          <w:szCs w:val="20"/>
          <w:rtl w:val="0"/>
        </w:rPr>
        <w:t xml:space="preserve">Only correspondence.</w:t>
      </w:r>
      <w:r w:rsidDel="00000000" w:rsidR="00000000" w:rsidRPr="00000000">
        <w:rPr>
          <w:sz w:val="20"/>
          <w:szCs w:val="20"/>
          <w:rtl w:val="0"/>
        </w:rPr>
        <w:t xml:space="preserve"> No Customs officer or employee shall open sealed letter class mail which appears to contain only correspondence unless prior to the opening:</w:t>
      </w:r>
    </w:p>
    <w:p w:rsidR="00000000" w:rsidDel="00000000" w:rsidP="00000000" w:rsidRDefault="00000000" w:rsidRPr="00000000" w14:paraId="00000018">
      <w:pPr>
        <w:keepNext w:val="1"/>
        <w:keepLines w:val="1"/>
        <w:numPr>
          <w:ilvl w:val="1"/>
          <w:numId w:val="1"/>
        </w:numPr>
        <w:spacing w:after="0" w:afterAutospacing="0" w:before="0" w:beforeAutospacing="0" w:line="240" w:lineRule="auto"/>
        <w:ind w:left="2160" w:hanging="360"/>
        <w:rPr>
          <w:sz w:val="20"/>
          <w:szCs w:val="20"/>
        </w:rPr>
      </w:pPr>
      <w:r w:rsidDel="00000000" w:rsidR="00000000" w:rsidRPr="00000000">
        <w:rPr>
          <w:sz w:val="20"/>
          <w:szCs w:val="20"/>
          <w:rtl w:val="0"/>
        </w:rPr>
        <w:t xml:space="preserve">A search warrant authorizing that action has been obtained from an appropriate judge of United States magistrate, or</w:t>
      </w:r>
    </w:p>
    <w:p w:rsidR="00000000" w:rsidDel="00000000" w:rsidP="00000000" w:rsidRDefault="00000000" w:rsidRPr="00000000" w14:paraId="00000019">
      <w:pPr>
        <w:keepNext w:val="1"/>
        <w:keepLines w:val="1"/>
        <w:numPr>
          <w:ilvl w:val="1"/>
          <w:numId w:val="1"/>
        </w:numPr>
        <w:spacing w:after="0" w:afterAutospacing="0" w:before="0" w:beforeAutospacing="0" w:line="240" w:lineRule="auto"/>
        <w:ind w:left="2160" w:hanging="360"/>
        <w:rPr>
          <w:sz w:val="20"/>
          <w:szCs w:val="20"/>
        </w:rPr>
      </w:pPr>
      <w:r w:rsidDel="00000000" w:rsidR="00000000" w:rsidRPr="00000000">
        <w:rPr>
          <w:sz w:val="20"/>
          <w:szCs w:val="20"/>
          <w:rtl w:val="0"/>
        </w:rPr>
        <w:t xml:space="preserve">The sender or the addressee has given written authorization for the opening.</w:t>
      </w:r>
    </w:p>
    <w:p w:rsidR="00000000" w:rsidDel="00000000" w:rsidP="00000000" w:rsidRDefault="00000000" w:rsidRPr="00000000" w14:paraId="0000001A">
      <w:pPr>
        <w:keepNext w:val="1"/>
        <w:keepLines w:val="1"/>
        <w:numPr>
          <w:ilvl w:val="0"/>
          <w:numId w:val="1"/>
        </w:numPr>
        <w:spacing w:after="0" w:afterAutospacing="0" w:before="0" w:beforeAutospacing="0" w:line="240" w:lineRule="auto"/>
        <w:ind w:left="1440" w:hanging="360"/>
        <w:rPr>
          <w:sz w:val="20"/>
          <w:szCs w:val="20"/>
        </w:rPr>
      </w:pPr>
      <w:r w:rsidDel="00000000" w:rsidR="00000000" w:rsidRPr="00000000">
        <w:rPr>
          <w:i w:val="1"/>
          <w:sz w:val="20"/>
          <w:szCs w:val="20"/>
          <w:rtl w:val="0"/>
        </w:rPr>
        <w:t xml:space="preserve">Reading of correspondence.</w:t>
      </w:r>
      <w:r w:rsidDel="00000000" w:rsidR="00000000" w:rsidRPr="00000000">
        <w:rPr>
          <w:sz w:val="20"/>
          <w:szCs w:val="20"/>
          <w:rtl w:val="0"/>
        </w:rPr>
        <w:t xml:space="preserve"> </w:t>
      </w:r>
      <w:r w:rsidDel="00000000" w:rsidR="00000000" w:rsidRPr="00000000">
        <w:rPr>
          <w:b w:val="1"/>
          <w:sz w:val="20"/>
          <w:szCs w:val="20"/>
          <w:rtl w:val="0"/>
        </w:rPr>
        <w:t xml:space="preserve">No Customs officer or employee shall read, or authorize or allow any other person to read, any correspondence contained in any letter class mail, whether or not sealed</w:t>
      </w:r>
      <w:r w:rsidDel="00000000" w:rsidR="00000000" w:rsidRPr="00000000">
        <w:rPr>
          <w:sz w:val="20"/>
          <w:szCs w:val="20"/>
          <w:rtl w:val="0"/>
        </w:rPr>
        <w:t xml:space="preserve">, unless prior to the reading:</w:t>
      </w:r>
    </w:p>
    <w:p w:rsidR="00000000" w:rsidDel="00000000" w:rsidP="00000000" w:rsidRDefault="00000000" w:rsidRPr="00000000" w14:paraId="0000001B">
      <w:pPr>
        <w:keepNext w:val="1"/>
        <w:keepLines w:val="1"/>
        <w:numPr>
          <w:ilvl w:val="1"/>
          <w:numId w:val="1"/>
        </w:numPr>
        <w:spacing w:after="0" w:afterAutospacing="0" w:before="0" w:beforeAutospacing="0" w:line="240" w:lineRule="auto"/>
        <w:ind w:left="2160" w:hanging="360"/>
        <w:rPr>
          <w:sz w:val="20"/>
          <w:szCs w:val="20"/>
        </w:rPr>
      </w:pPr>
      <w:r w:rsidDel="00000000" w:rsidR="00000000" w:rsidRPr="00000000">
        <w:rPr>
          <w:sz w:val="20"/>
          <w:szCs w:val="20"/>
          <w:rtl w:val="0"/>
        </w:rPr>
        <w:t xml:space="preserve">A </w:t>
      </w:r>
      <w:r w:rsidDel="00000000" w:rsidR="00000000" w:rsidRPr="00000000">
        <w:rPr>
          <w:b w:val="1"/>
          <w:sz w:val="20"/>
          <w:szCs w:val="20"/>
          <w:rtl w:val="0"/>
        </w:rPr>
        <w:t xml:space="preserve">search warrant authorizing that action </w:t>
      </w:r>
      <w:r w:rsidDel="00000000" w:rsidR="00000000" w:rsidRPr="00000000">
        <w:rPr>
          <w:sz w:val="20"/>
          <w:szCs w:val="20"/>
          <w:rtl w:val="0"/>
        </w:rPr>
        <w:t xml:space="preserve">has been obtained from an appropriate judge or United States magistrate, or</w:t>
      </w:r>
    </w:p>
    <w:p w:rsidR="00000000" w:rsidDel="00000000" w:rsidP="00000000" w:rsidRDefault="00000000" w:rsidRPr="00000000" w14:paraId="0000001C">
      <w:pPr>
        <w:keepNext w:val="1"/>
        <w:keepLines w:val="1"/>
        <w:numPr>
          <w:ilvl w:val="1"/>
          <w:numId w:val="1"/>
        </w:numPr>
        <w:spacing w:after="0" w:afterAutospacing="0" w:before="0" w:beforeAutospacing="0" w:line="240" w:lineRule="auto"/>
        <w:ind w:left="2160" w:hanging="360"/>
        <w:rPr>
          <w:sz w:val="20"/>
          <w:szCs w:val="20"/>
        </w:rPr>
      </w:pPr>
      <w:r w:rsidDel="00000000" w:rsidR="00000000" w:rsidRPr="00000000">
        <w:rPr>
          <w:sz w:val="20"/>
          <w:szCs w:val="20"/>
          <w:rtl w:val="0"/>
        </w:rPr>
        <w:t xml:space="preserve">The sender or the addressee has given written authorization for the reading.</w:t>
      </w:r>
    </w:p>
    <w:p w:rsidR="00000000" w:rsidDel="00000000" w:rsidP="00000000" w:rsidRDefault="00000000" w:rsidRPr="00000000" w14:paraId="0000001D">
      <w:pPr>
        <w:keepNext w:val="1"/>
        <w:keepLines w:val="1"/>
        <w:numPr>
          <w:ilvl w:val="0"/>
          <w:numId w:val="1"/>
        </w:numPr>
        <w:spacing w:after="0" w:before="0" w:beforeAutospacing="0" w:line="240" w:lineRule="auto"/>
        <w:ind w:left="1440" w:hanging="360"/>
        <w:rPr>
          <w:sz w:val="20"/>
          <w:szCs w:val="20"/>
        </w:rPr>
      </w:pPr>
      <w:r w:rsidDel="00000000" w:rsidR="00000000" w:rsidRPr="00000000">
        <w:rPr>
          <w:i w:val="1"/>
          <w:sz w:val="20"/>
          <w:szCs w:val="20"/>
          <w:rtl w:val="0"/>
        </w:rPr>
        <w:t xml:space="preserve">Other types of correspondence.</w:t>
      </w:r>
      <w:r w:rsidDel="00000000" w:rsidR="00000000" w:rsidRPr="00000000">
        <w:rPr>
          <w:sz w:val="20"/>
          <w:szCs w:val="20"/>
          <w:rtl w:val="0"/>
        </w:rPr>
        <w:t xml:space="preserve"> </w:t>
      </w:r>
      <w:r w:rsidDel="00000000" w:rsidR="00000000" w:rsidRPr="00000000">
        <w:rPr>
          <w:b w:val="1"/>
          <w:sz w:val="20"/>
          <w:szCs w:val="20"/>
          <w:rtl w:val="0"/>
        </w:rPr>
        <w:t xml:space="preserve">The provisions of paragraph (c) shall also apply</w:t>
      </w:r>
      <w:r w:rsidDel="00000000" w:rsidR="00000000" w:rsidRPr="00000000">
        <w:rPr>
          <w:sz w:val="20"/>
          <w:szCs w:val="20"/>
          <w:rtl w:val="0"/>
        </w:rPr>
        <w:t xml:space="preserve"> </w:t>
      </w:r>
      <w:r w:rsidDel="00000000" w:rsidR="00000000" w:rsidRPr="00000000">
        <w:rPr>
          <w:b w:val="1"/>
          <w:sz w:val="20"/>
          <w:szCs w:val="20"/>
          <w:rtl w:val="0"/>
        </w:rPr>
        <w:t xml:space="preserve">to </w:t>
      </w:r>
      <w:r w:rsidDel="00000000" w:rsidR="00000000" w:rsidRPr="00000000">
        <w:rPr>
          <w:sz w:val="20"/>
          <w:szCs w:val="20"/>
          <w:rtl w:val="0"/>
        </w:rPr>
        <w:t xml:space="preserve">correspondence between school children and </w:t>
      </w:r>
      <w:r w:rsidDel="00000000" w:rsidR="00000000" w:rsidRPr="00000000">
        <w:rPr>
          <w:b w:val="1"/>
          <w:sz w:val="20"/>
          <w:szCs w:val="20"/>
          <w:rtl w:val="0"/>
        </w:rPr>
        <w:t xml:space="preserve">correspondence of the blind which are authorized to be mailed at other than the letter rate of postage in international mail.</w:t>
      </w:r>
    </w:p>
    <w:p w:rsidR="00000000" w:rsidDel="00000000" w:rsidP="00000000" w:rsidRDefault="00000000" w:rsidRPr="00000000" w14:paraId="0000001E">
      <w:pPr>
        <w:keepLines w:val="1"/>
        <w:spacing w:before="200" w:lineRule="auto"/>
        <w:rPr/>
      </w:pPr>
      <w:r w:rsidDel="00000000" w:rsidR="00000000" w:rsidRPr="00000000">
        <w:rPr>
          <w:rtl w:val="0"/>
        </w:rPr>
        <w:t xml:space="preserve">This aligns precisely with my argument that the only permitted search for blind mail is an administrative search limited to form (i.e. whether something is an item for the blind), not semantic content (e.g. assessing whether it contains ‘advertising’ or is “intended as a commercial transaction”).</w:t>
      </w:r>
    </w:p>
    <w:p w:rsidR="00000000" w:rsidDel="00000000" w:rsidP="00000000" w:rsidRDefault="00000000" w:rsidRPr="00000000" w14:paraId="0000001F">
      <w:pPr>
        <w:keepLines w:val="1"/>
        <w:spacing w:before="200" w:lineRule="auto"/>
        <w:rPr/>
      </w:pPr>
      <w:r w:rsidDel="00000000" w:rsidR="00000000" w:rsidRPr="00000000">
        <w:rPr>
          <w:rtl w:val="0"/>
        </w:rPr>
        <w:t xml:space="preserve">Blind mail is entitled to 4</w:t>
      </w:r>
      <w:r w:rsidDel="00000000" w:rsidR="00000000" w:rsidRPr="00000000">
        <w:rPr>
          <w:vertAlign w:val="superscript"/>
          <w:rtl w:val="0"/>
        </w:rPr>
        <w:t xml:space="preserve">th</w:t>
      </w:r>
      <w:r w:rsidDel="00000000" w:rsidR="00000000" w:rsidRPr="00000000">
        <w:rPr>
          <w:rtl w:val="0"/>
        </w:rPr>
        <w:t xml:space="preserve"> Amendment protection, must be “sealed against inspection” like non-blind mail for all purposes — other than a very limited search for the equivalent of “contraband” (i.e. non-blind items fraudulently mailed for free as blind mail) — and otherwise must not “be opened except under authority of a search warrant authorized by law”.</w:t>
      </w:r>
      <w:r w:rsidDel="00000000" w:rsidR="00000000" w:rsidRPr="00000000">
        <w:rPr>
          <w:vertAlign w:val="superscript"/>
        </w:rPr>
        <w:footnoteReference w:customMarkFollows="0" w:id="3"/>
      </w:r>
      <w:r w:rsidDel="00000000" w:rsidR="00000000" w:rsidRPr="00000000">
        <w:rPr>
          <w:rtl w:val="0"/>
        </w:rPr>
        <w:t xml:space="preserve"> CBP, unlike USPS, recognizes this.</w:t>
      </w:r>
    </w:p>
    <w:p w:rsidR="00000000" w:rsidDel="00000000" w:rsidP="00000000" w:rsidRDefault="00000000" w:rsidRPr="00000000" w14:paraId="00000020">
      <w:pPr>
        <w:keepLines w:val="1"/>
        <w:spacing w:before="200" w:lineRule="auto"/>
        <w:rPr/>
      </w:pPr>
      <w:r w:rsidDel="00000000" w:rsidR="00000000" w:rsidRPr="00000000">
        <w:rPr>
          <w:rtl w:val="0"/>
        </w:rPr>
        <w:t xml:space="preserve">The same reasoning extends to domestic blind mail. The government’s authority to conduct warrantless searches is strongest at the border.</w:t>
      </w:r>
      <w:r w:rsidDel="00000000" w:rsidR="00000000" w:rsidRPr="00000000">
        <w:rPr>
          <w:vertAlign w:val="superscript"/>
        </w:rPr>
        <w:footnoteReference w:customMarkFollows="0" w:id="4"/>
      </w:r>
      <w:r w:rsidDel="00000000" w:rsidR="00000000" w:rsidRPr="00000000">
        <w:rPr>
          <w:rtl w:val="0"/>
        </w:rPr>
        <w:t xml:space="preserve"> If it’s not allowed even there, it’s not allowed domestically either. USPS needs a warrant at least as much as CBP.</w:t>
      </w:r>
      <w:r w:rsidDel="00000000" w:rsidR="00000000" w:rsidRPr="00000000">
        <w:rPr>
          <w:rtl w:val="0"/>
        </w:rPr>
      </w:r>
    </w:p>
    <w:sectPr>
      <w:headerReference r:id="rId7" w:type="default"/>
      <w:footerReference r:id="rId8" w:type="default"/>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2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Sic.</w:t>
      </w:r>
      <w:r w:rsidDel="00000000" w:rsidR="00000000" w:rsidRPr="00000000">
        <w:rPr>
          <w:sz w:val="20"/>
          <w:szCs w:val="20"/>
          <w:rtl w:val="0"/>
        </w:rPr>
        <w:t xml:space="preserve"> This is an error for French </w:t>
      </w:r>
      <w:r w:rsidDel="00000000" w:rsidR="00000000" w:rsidRPr="00000000">
        <w:rPr>
          <w:i w:val="1"/>
          <w:sz w:val="20"/>
          <w:szCs w:val="20"/>
          <w:rtl w:val="0"/>
        </w:rPr>
        <w:t xml:space="preserve">autres </w:t>
      </w:r>
      <w:r w:rsidDel="00000000" w:rsidR="00000000" w:rsidRPr="00000000">
        <w:rPr>
          <w:sz w:val="20"/>
          <w:szCs w:val="20"/>
          <w:rtl w:val="0"/>
        </w:rPr>
        <w:t xml:space="preserve">objets (other objects). </w:t>
      </w:r>
      <w:r w:rsidDel="00000000" w:rsidR="00000000" w:rsidRPr="00000000">
        <w:rPr>
          <w:i w:val="1"/>
          <w:sz w:val="20"/>
          <w:szCs w:val="20"/>
          <w:rtl w:val="0"/>
        </w:rPr>
        <w:t xml:space="preserve">See e.g. </w:t>
      </w:r>
      <w:r w:rsidDel="00000000" w:rsidR="00000000" w:rsidRPr="00000000">
        <w:rPr>
          <w:sz w:val="20"/>
          <w:szCs w:val="20"/>
          <w:rtl w:val="0"/>
        </w:rPr>
        <w:t xml:space="preserve">UPU Postal Transport Guide p 15. </w:t>
      </w:r>
      <w:hyperlink r:id="rId1">
        <w:r w:rsidDel="00000000" w:rsidR="00000000" w:rsidRPr="00000000">
          <w:rPr>
            <w:color w:val="1155cc"/>
            <w:sz w:val="20"/>
            <w:szCs w:val="20"/>
            <w:u w:val="single"/>
            <w:rtl w:val="0"/>
          </w:rPr>
          <w:t xml:space="preserve">https://www.upu.int/UPU/media/upu/files/postalSolutions/programmesAndServices/postalSupplyChain/Transport/publications/guidePostalTransportEn.pdf</w:t>
        </w:r>
      </w:hyperlink>
      <w:r w:rsidDel="00000000" w:rsidR="00000000" w:rsidRPr="00000000">
        <w:rPr>
          <w:sz w:val="20"/>
          <w:szCs w:val="20"/>
          <w:rtl w:val="0"/>
        </w:rPr>
        <w:t xml:space="preserve"> </w:t>
      </w:r>
      <w:r w:rsidDel="00000000" w:rsidR="00000000" w:rsidRPr="00000000">
        <w:rPr>
          <w:sz w:val="20"/>
          <w:szCs w:val="20"/>
          <w:rtl w:val="0"/>
        </w:rPr>
        <w:t xml:space="preserve">“In this context, “letters (LC/AO)” is synonymous with letter post. “LC/AO” is an abbreviation for the French “lettres et cartes postales/autres objets”.”</w:t>
      </w:r>
    </w:p>
  </w:footnote>
  <w:footnote w:id="0">
    <w:p w:rsidR="00000000" w:rsidDel="00000000" w:rsidP="00000000" w:rsidRDefault="00000000" w:rsidRPr="00000000" w14:paraId="0000002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 also </w:t>
      </w:r>
      <w:r w:rsidDel="00000000" w:rsidR="00000000" w:rsidRPr="00000000">
        <w:rPr>
          <w:sz w:val="20"/>
          <w:szCs w:val="20"/>
          <w:rtl w:val="0"/>
        </w:rPr>
        <w:t xml:space="preserve">complaint, p 20 n 60 (citing the 19 C.F.R. § 145.3(c) prohibition on </w:t>
      </w:r>
      <w:r w:rsidDel="00000000" w:rsidR="00000000" w:rsidRPr="00000000">
        <w:rPr>
          <w:i w:val="1"/>
          <w:sz w:val="20"/>
          <w:szCs w:val="20"/>
          <w:rtl w:val="0"/>
        </w:rPr>
        <w:t xml:space="preserve">reading </w:t>
      </w:r>
      <w:r w:rsidDel="00000000" w:rsidR="00000000" w:rsidRPr="00000000">
        <w:rPr>
          <w:sz w:val="20"/>
          <w:szCs w:val="20"/>
          <w:rtl w:val="0"/>
        </w:rPr>
        <w:t xml:space="preserve">mail by customs officers charged with inspecting for </w:t>
      </w:r>
      <w:r w:rsidDel="00000000" w:rsidR="00000000" w:rsidRPr="00000000">
        <w:rPr>
          <w:i w:val="1"/>
          <w:sz w:val="20"/>
          <w:szCs w:val="20"/>
          <w:rtl w:val="0"/>
        </w:rPr>
        <w:t xml:space="preserve">physical </w:t>
      </w:r>
      <w:r w:rsidDel="00000000" w:rsidR="00000000" w:rsidRPr="00000000">
        <w:rPr>
          <w:sz w:val="20"/>
          <w:szCs w:val="20"/>
          <w:rtl w:val="0"/>
        </w:rPr>
        <w:t xml:space="preserve">content) and p 20–21 n 61–63 (sealed classes of mail).</w:t>
      </w:r>
    </w:p>
  </w:footnote>
  <w:footnote w:id="3">
    <w:p w:rsidR="00000000" w:rsidDel="00000000" w:rsidP="00000000" w:rsidRDefault="00000000" w:rsidRPr="00000000" w14:paraId="0000002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 </w:t>
      </w:r>
      <w:r w:rsidDel="00000000" w:rsidR="00000000" w:rsidRPr="00000000">
        <w:rPr>
          <w:sz w:val="20"/>
          <w:szCs w:val="20"/>
          <w:rtl w:val="0"/>
        </w:rPr>
        <w:t xml:space="preserve">complaint, p. 20 &amp; n. 57–60</w:t>
      </w:r>
    </w:p>
  </w:footnote>
  <w:footnote w:id="2">
    <w:p w:rsidR="00000000" w:rsidDel="00000000" w:rsidP="00000000" w:rsidRDefault="00000000" w:rsidRPr="00000000" w14:paraId="0000002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Verbatim in full, except omitting (e) (re Virgin Islands mail).</w:t>
      </w:r>
    </w:p>
  </w:footnote>
  <w:footnote w:id="4">
    <w:p w:rsidR="00000000" w:rsidDel="00000000" w:rsidP="00000000" w:rsidRDefault="00000000" w:rsidRPr="00000000" w14:paraId="0000002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 e.g. US v Montoya de Hernandez</w:t>
      </w:r>
      <w:r w:rsidDel="00000000" w:rsidR="00000000" w:rsidRPr="00000000">
        <w:rPr>
          <w:sz w:val="20"/>
          <w:szCs w:val="20"/>
          <w:rtl w:val="0"/>
        </w:rPr>
        <w:t xml:space="preserve">, 473 U.S. 531, 537 (1985) “Congress has granted the Executive plenary authority to conduct routine searches and seizures at the border, without probable cause or a warrant, in order to regulate the collection of duties and to prevent the introduction of contraband into this country.”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800"/>
      </w:tabs>
      <w:spacing w:after="0" w:before="200" w:line="240" w:lineRule="auto"/>
      <w:jc w:val="left"/>
      <w:rPr/>
    </w:pPr>
    <w:r w:rsidDel="00000000" w:rsidR="00000000" w:rsidRPr="00000000">
      <w:rPr>
        <w:rtl w:val="0"/>
      </w:rPr>
      <w:t xml:space="preserve">PRC Complaint re blind mail — 2</w:t>
    </w:r>
    <w:r w:rsidDel="00000000" w:rsidR="00000000" w:rsidRPr="00000000">
      <w:rPr>
        <w:vertAlign w:val="superscript"/>
        <w:rtl w:val="0"/>
      </w:rPr>
      <w:t xml:space="preserve">nd</w:t>
    </w:r>
    <w:r w:rsidDel="00000000" w:rsidR="00000000" w:rsidRPr="00000000">
      <w:rPr>
        <w:rtl w:val="0"/>
      </w:rPr>
      <w:t xml:space="preserve"> addendum</w:t>
    </w:r>
    <w:r w:rsidDel="00000000" w:rsidR="00000000" w:rsidRPr="00000000">
      <w:rPr>
        <w:rFonts w:ascii="Garamond" w:cs="Garamond" w:eastAsia="Garamond" w:hAnsi="Garamond"/>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widowControl w:val="0"/>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480" w:lineRule="auto"/>
    </w:pPr>
    <w:rPr>
      <w:b w:val="1"/>
      <w:sz w:val="36"/>
      <w:szCs w:val="36"/>
    </w:rPr>
  </w:style>
  <w:style w:type="paragraph" w:styleId="Heading2">
    <w:name w:val="heading 2"/>
    <w:basedOn w:val="Normal"/>
    <w:next w:val="Normal"/>
    <w:pPr>
      <w:keepNext w:val="0"/>
      <w:keepLines w:val="0"/>
      <w:pageBreakBefore w:val="0"/>
      <w:widowControl w:val="0"/>
      <w:spacing w:after="200" w:before="360" w:lineRule="auto"/>
    </w:pPr>
    <w:rPr>
      <w:b w:val="1"/>
      <w:sz w:val="24"/>
      <w:szCs w:val="24"/>
    </w:rPr>
  </w:style>
  <w:style w:type="paragraph" w:styleId="Heading3">
    <w:name w:val="heading 3"/>
    <w:basedOn w:val="Normal"/>
    <w:next w:val="Normal"/>
    <w:pPr>
      <w:keepNext w:val="0"/>
      <w:keepLines w:val="0"/>
      <w:pageBreakBefore w:val="0"/>
      <w:widowControl w:val="0"/>
      <w:spacing w:after="200" w:before="280" w:lineRule="auto"/>
    </w:pPr>
    <w:rPr>
      <w:b w:val="1"/>
    </w:rPr>
  </w:style>
  <w:style w:type="paragraph" w:styleId="Heading4">
    <w:name w:val="heading 4"/>
    <w:basedOn w:val="Normal"/>
    <w:next w:val="Normal"/>
    <w:pPr>
      <w:keepNext w:val="0"/>
      <w:keepLines w:val="0"/>
      <w:pageBreakBefore w:val="0"/>
      <w:widowControl w:val="0"/>
      <w:spacing w:after="40" w:before="240" w:lineRule="auto"/>
    </w:pPr>
    <w:rPr>
      <w:i w:val="1"/>
      <w:color w:val="666666"/>
      <w:sz w:val="22"/>
      <w:szCs w:val="22"/>
    </w:rPr>
  </w:style>
  <w:style w:type="paragraph" w:styleId="Heading5">
    <w:name w:val="heading 5"/>
    <w:basedOn w:val="Normal"/>
    <w:next w:val="Normal"/>
    <w:pPr>
      <w:keepNext w:val="0"/>
      <w:keepLines w:val="0"/>
      <w:pageBreakBefore w:val="0"/>
      <w:widowControl w:val="0"/>
      <w:spacing w:after="40" w:before="220" w:lineRule="auto"/>
    </w:pPr>
    <w:rPr>
      <w:b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color w:val="666666"/>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upu.int/UPU/media/upu/files/postalSolutions/programmesAndServices/postalSupplyChain/Transport/publications/guidePostalTranspor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