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jc w:val="center"/>
        <w:rPr/>
      </w:pPr>
      <w:bookmarkStart w:colFirst="0" w:colLast="0" w:name="_9izs7f75dx7u" w:id="0"/>
      <w:bookmarkEnd w:id="0"/>
      <w:r w:rsidDel="00000000" w:rsidR="00000000" w:rsidRPr="00000000">
        <w:rPr>
          <w:sz w:val="36"/>
          <w:szCs w:val="36"/>
          <w:rtl w:val="0"/>
        </w:rPr>
        <w:t xml:space="preserve">Errata and addenda to complaint regarding blind mail</w:t>
      </w:r>
      <w:r w:rsidDel="00000000" w:rsidR="00000000" w:rsidRPr="00000000">
        <w:rPr>
          <w:rtl w:val="0"/>
        </w:rPr>
      </w:r>
    </w:p>
    <w:tbl>
      <w:tblPr>
        <w:tblStyle w:val="Table1"/>
        <w:tblW w:w="9120.00021743775" w:type="dxa"/>
        <w:jc w:val="left"/>
        <w:tblLayout w:type="fixed"/>
        <w:tblLook w:val="0600"/>
      </w:tblPr>
      <w:tblGrid>
        <w:gridCol w:w="5064.000120735172"/>
        <w:gridCol w:w="4056.000096702578"/>
        <w:tblGridChange w:id="0">
          <w:tblGrid>
            <w:gridCol w:w="5064.000120735172"/>
            <w:gridCol w:w="4056.000096702578"/>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Sai &amp; Fiat Fiendum, </w:t>
            </w:r>
            <w:r w:rsidDel="00000000" w:rsidR="00000000" w:rsidRPr="00000000">
              <w:rPr>
                <w:i w:val="1"/>
                <w:rtl w:val="0"/>
              </w:rPr>
              <w:t xml:space="preserve">complainants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v</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t xml:space="preserve">United States Postal Service, </w:t>
            </w:r>
            <w:r w:rsidDel="00000000" w:rsidR="00000000" w:rsidRPr="00000000">
              <w:rPr>
                <w:i w:val="1"/>
                <w:rtl w:val="0"/>
              </w:rPr>
              <w:t xml:space="preserve">respondent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PRC docket number</w:t>
            </w:r>
            <w:r w:rsidDel="00000000" w:rsidR="00000000" w:rsidRPr="00000000">
              <w:rPr>
                <w:rtl w:val="0"/>
              </w:rPr>
              <w:t xml:space="preserve"> C2024-13</w:t>
            </w:r>
          </w:p>
        </w:tc>
      </w:tr>
    </w:tbl>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following are submitted as errata and addenda to the complaint.</w:t>
      </w: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Respectfully submitted,</w:t>
        <w:br w:type="textWrapping"/>
        <w:t xml:space="preserve">Sai</w:t>
        <w:br w:type="textWrapping"/>
        <w:t xml:space="preserve">President, Fiat Fiendum, Inc.</w:t>
        <w:br w:type="textWrapping"/>
        <w:t xml:space="preserve">June 27</w:t>
      </w:r>
      <w:r w:rsidDel="00000000" w:rsidR="00000000" w:rsidRPr="00000000">
        <w:rPr>
          <w:rtl w:val="0"/>
        </w:rPr>
        <w:t xml:space="preserve">, 2024</w:t>
      </w:r>
      <w:r w:rsidDel="00000000" w:rsidR="00000000" w:rsidRPr="00000000">
        <w:rPr>
          <w:rtl w:val="0"/>
        </w:rPr>
      </w:r>
    </w:p>
    <w:p w:rsidR="00000000" w:rsidDel="00000000" w:rsidP="00000000" w:rsidRDefault="00000000" w:rsidRPr="00000000" w14:paraId="00000009">
      <w:pPr>
        <w:pStyle w:val="Heading2"/>
        <w:keepNext w:val="1"/>
        <w:keepLines w:val="1"/>
        <w:pageBreakBefore w:val="1"/>
        <w:numPr>
          <w:ilvl w:val="0"/>
          <w:numId w:val="3"/>
        </w:numPr>
        <w:ind w:left="720" w:hanging="360"/>
        <w:rPr/>
      </w:pPr>
      <w:bookmarkStart w:colFirst="0" w:colLast="0" w:name="_7utoz1fim3o7" w:id="1"/>
      <w:bookmarkEnd w:id="1"/>
      <w:r w:rsidDel="00000000" w:rsidR="00000000" w:rsidRPr="00000000">
        <w:rPr>
          <w:rtl w:val="0"/>
        </w:rPr>
        <w:t xml:space="preserve">US-made canes, pp. 11–14 &amp; n. 12</w:t>
      </w:r>
    </w:p>
    <w:p w:rsidR="00000000" w:rsidDel="00000000" w:rsidP="00000000" w:rsidRDefault="00000000" w:rsidRPr="00000000" w14:paraId="0000000A">
      <w:pPr>
        <w:ind w:left="0" w:firstLine="0"/>
        <w:rPr/>
      </w:pPr>
      <w:r w:rsidDel="00000000" w:rsidR="00000000" w:rsidRPr="00000000">
        <w:rPr>
          <w:rtl w:val="0"/>
        </w:rPr>
        <w:t xml:space="preserve">Aside from what I mentioned, I am aware of only two other US manufacturers of canes.</w:t>
      </w:r>
    </w:p>
    <w:p w:rsidR="00000000" w:rsidDel="00000000" w:rsidP="00000000" w:rsidRDefault="00000000" w:rsidRPr="00000000" w14:paraId="0000000B">
      <w:pPr>
        <w:pStyle w:val="Heading3"/>
        <w:numPr>
          <w:ilvl w:val="0"/>
          <w:numId w:val="1"/>
        </w:numPr>
        <w:ind w:left="720" w:hanging="360"/>
        <w:rPr/>
      </w:pPr>
      <w:bookmarkStart w:colFirst="0" w:colLast="0" w:name="_czg623nbxwxn" w:id="2"/>
      <w:bookmarkEnd w:id="2"/>
      <w:r w:rsidDel="00000000" w:rsidR="00000000" w:rsidRPr="00000000">
        <w:rPr>
          <w:rtl w:val="0"/>
        </w:rPr>
        <w:t xml:space="preserve">NFB</w:t>
      </w:r>
    </w:p>
    <w:p w:rsidR="00000000" w:rsidDel="00000000" w:rsidP="00000000" w:rsidRDefault="00000000" w:rsidRPr="00000000" w14:paraId="0000000C">
      <w:pPr>
        <w:ind w:left="0" w:firstLine="0"/>
        <w:rPr/>
      </w:pPr>
      <w:r w:rsidDel="00000000" w:rsidR="00000000" w:rsidRPr="00000000">
        <w:rPr>
          <w:rtl w:val="0"/>
        </w:rPr>
        <w:t xml:space="preserve">The National Federation of the Blind (NFB) supplies their basic cane — an ultra lightweight, single piece, fiberglass cane — for free, only within the US.</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rtl w:val="0"/>
        </w:rPr>
        <w:t xml:space="preserve">They also offer a variety of blind supplies, including several canes exclusive to the NFB, for charge.</w:t>
      </w:r>
      <w:r w:rsidDel="00000000" w:rsidR="00000000" w:rsidRPr="00000000">
        <w:rPr>
          <w:vertAlign w:val="superscript"/>
        </w:rPr>
        <w:footnoteReference w:customMarkFollows="0" w:id="1"/>
      </w:r>
      <w:r w:rsidDel="00000000" w:rsidR="00000000" w:rsidRPr="00000000">
        <w:rPr>
          <w:rtl w:val="0"/>
        </w:rPr>
        <w:t xml:space="preserve"> To my knowledge, no other entity produces a cane comparable to NFB’s fiberglass canes.</w:t>
      </w:r>
    </w:p>
    <w:p w:rsidR="00000000" w:rsidDel="00000000" w:rsidP="00000000" w:rsidRDefault="00000000" w:rsidRPr="00000000" w14:paraId="0000000D">
      <w:pPr>
        <w:ind w:left="0" w:firstLine="0"/>
        <w:rPr/>
      </w:pPr>
      <w:r w:rsidDel="00000000" w:rsidR="00000000" w:rsidRPr="00000000">
        <w:rPr>
          <w:rtl w:val="0"/>
        </w:rPr>
        <w:t xml:space="preserve">NFB’s catalog</w:t>
      </w:r>
      <w:r w:rsidDel="00000000" w:rsidR="00000000" w:rsidRPr="00000000">
        <w:rPr>
          <w:vertAlign w:val="superscript"/>
        </w:rPr>
        <w:footnoteReference w:customMarkFollows="0" w:id="2"/>
      </w:r>
      <w:r w:rsidDel="00000000" w:rsidR="00000000" w:rsidRPr="00000000">
        <w:rPr>
          <w:rtl w:val="0"/>
        </w:rPr>
        <w:t xml:space="preserve"> notes that domestic blind mail delivery is substantially slower than First-Class or Priority Mail (often taking a month); that some (braille) literature “do not meet the criteria for Free Matter shipping”; that “[o]rders valued $300.00 and above cannot be shipped via Free Matter”</w:t>
      </w:r>
      <w:r w:rsidDel="00000000" w:rsidR="00000000" w:rsidRPr="00000000">
        <w:rPr>
          <w:vertAlign w:val="superscript"/>
        </w:rPr>
        <w:footnoteReference w:customMarkFollows="0" w:id="3"/>
      </w:r>
      <w:r w:rsidDel="00000000" w:rsidR="00000000" w:rsidRPr="00000000">
        <w:rPr>
          <w:rtl w:val="0"/>
        </w:rPr>
        <w:t xml:space="preserve">; “no [paid] items will be sent outside of the United States via Free Matter”; and that loss of items in USPS is a problem. NFB also offers replacements which, like Ambutech’s, are not economically viable without blind mail.</w:t>
      </w:r>
    </w:p>
    <w:p w:rsidR="00000000" w:rsidDel="00000000" w:rsidP="00000000" w:rsidRDefault="00000000" w:rsidRPr="00000000" w14:paraId="0000000E">
      <w:pPr>
        <w:ind w:left="0" w:firstLine="0"/>
        <w:rPr/>
      </w:pPr>
      <w:r w:rsidDel="00000000" w:rsidR="00000000" w:rsidRPr="00000000">
        <w:rPr>
          <w:rtl w:val="0"/>
        </w:rPr>
        <w:t xml:space="preserve">I have personally tried to order multiple blind items from the NFB, to be shipped to me in the UK via international blind mail, and was told that they cannot do so because USPS won’t let them and/or won’t provide adequate tracking and insurance services.</w:t>
      </w:r>
    </w:p>
    <w:p w:rsidR="00000000" w:rsidDel="00000000" w:rsidP="00000000" w:rsidRDefault="00000000" w:rsidRPr="00000000" w14:paraId="0000000F">
      <w:pPr>
        <w:pStyle w:val="Heading3"/>
        <w:numPr>
          <w:ilvl w:val="0"/>
          <w:numId w:val="1"/>
        </w:numPr>
        <w:ind w:left="720" w:hanging="360"/>
        <w:rPr/>
      </w:pPr>
      <w:bookmarkStart w:colFirst="0" w:colLast="0" w:name="_ca9i5zr898u5" w:id="3"/>
      <w:bookmarkEnd w:id="3"/>
      <w:r w:rsidDel="00000000" w:rsidR="00000000" w:rsidRPr="00000000">
        <w:rPr>
          <w:rtl w:val="0"/>
        </w:rPr>
        <w:t xml:space="preserve">AwareWolf Gear</w:t>
      </w:r>
    </w:p>
    <w:p w:rsidR="00000000" w:rsidDel="00000000" w:rsidP="00000000" w:rsidRDefault="00000000" w:rsidRPr="00000000" w14:paraId="00000010">
      <w:pPr>
        <w:ind w:left="0" w:firstLine="0"/>
        <w:rPr/>
      </w:pPr>
      <w:r w:rsidDel="00000000" w:rsidR="00000000" w:rsidRPr="00000000">
        <w:rPr>
          <w:rtl w:val="0"/>
        </w:rPr>
        <w:t xml:space="preserve">AwareWolf Gear</w:t>
      </w:r>
      <w:r w:rsidDel="00000000" w:rsidR="00000000" w:rsidRPr="00000000">
        <w:rPr>
          <w:vertAlign w:val="superscript"/>
        </w:rPr>
        <w:footnoteReference w:customMarkFollows="0" w:id="4"/>
      </w:r>
      <w:r w:rsidDel="00000000" w:rsidR="00000000" w:rsidRPr="00000000">
        <w:rPr>
          <w:rtl w:val="0"/>
        </w:rPr>
        <w:t xml:space="preserve"> produces two canes, which are to my knowledge unique in being load bearing — i.e. a combination of hiking stick and cane. It is run by a blind person who invented the design.</w:t>
      </w:r>
      <w:r w:rsidDel="00000000" w:rsidR="00000000" w:rsidRPr="00000000">
        <w:rPr>
          <w:vertAlign w:val="superscript"/>
        </w:rPr>
        <w:footnoteReference w:customMarkFollows="0" w:id="5"/>
      </w:r>
      <w:r w:rsidDel="00000000" w:rsidR="00000000" w:rsidRPr="00000000">
        <w:rPr>
          <w:rtl w:val="0"/>
        </w:rPr>
        <w:t xml:space="preserve"> AwareWolf does not ship via USPS blind mail because</w:t>
      </w:r>
      <w:r w:rsidDel="00000000" w:rsidR="00000000" w:rsidRPr="00000000">
        <w:rPr>
          <w:vertAlign w:val="superscript"/>
        </w:rPr>
        <w:footnoteReference w:customMarkFollows="0" w:id="6"/>
      </w:r>
      <w:r w:rsidDel="00000000" w:rsidR="00000000" w:rsidRPr="00000000">
        <w:rPr>
          <w:rtl w:val="0"/>
        </w:rPr>
        <w:t xml:space="preserve"> blind mail delays delivery by a month and is not trackable. It therefore must use a private carrier, and charges approximately $12 domestic, $50 international for shipping a single cane. The original AwareWolf cane is available in the UK via the RNIB</w:t>
      </w:r>
      <w:r w:rsidDel="00000000" w:rsidR="00000000" w:rsidRPr="00000000">
        <w:rPr>
          <w:vertAlign w:val="superscript"/>
        </w:rPr>
        <w:footnoteReference w:customMarkFollows="0" w:id="7"/>
      </w:r>
      <w:r w:rsidDel="00000000" w:rsidR="00000000" w:rsidRPr="00000000">
        <w:rPr>
          <w:rtl w:val="0"/>
        </w:rPr>
        <w:t xml:space="preserve">, but its variety of cane tip colors</w:t>
      </w:r>
      <w:r w:rsidDel="00000000" w:rsidR="00000000" w:rsidRPr="00000000">
        <w:rPr>
          <w:vertAlign w:val="superscript"/>
        </w:rPr>
        <w:footnoteReference w:customMarkFollows="0" w:id="8"/>
      </w:r>
      <w:r w:rsidDel="00000000" w:rsidR="00000000" w:rsidRPr="00000000">
        <w:rPr>
          <w:rtl w:val="0"/>
        </w:rPr>
        <w:t xml:space="preserve"> are not — as fashion, replacements</w:t>
      </w:r>
      <w:r w:rsidDel="00000000" w:rsidR="00000000" w:rsidRPr="00000000">
        <w:rPr>
          <w:vertAlign w:val="superscript"/>
        </w:rPr>
        <w:footnoteReference w:customMarkFollows="0" w:id="9"/>
      </w:r>
      <w:r w:rsidDel="00000000" w:rsidR="00000000" w:rsidRPr="00000000">
        <w:rPr>
          <w:rtl w:val="0"/>
        </w:rPr>
        <w:t xml:space="preserve">, or competitors to Ambutech’s push-on tips (with which they are compatible). Its second cane is expected to become available on July 16, with RNIB redistribution yet to be determined.</w:t>
      </w:r>
      <w:r w:rsidDel="00000000" w:rsidR="00000000" w:rsidRPr="00000000">
        <w:rPr>
          <w:vertAlign w:val="superscript"/>
        </w:rPr>
        <w:footnoteReference w:customMarkFollows="0" w:id="10"/>
      </w:r>
      <w:r w:rsidDel="00000000" w:rsidR="00000000" w:rsidRPr="00000000">
        <w:rPr>
          <w:rtl w:val="0"/>
        </w:rPr>
      </w:r>
    </w:p>
    <w:p w:rsidR="00000000" w:rsidDel="00000000" w:rsidP="00000000" w:rsidRDefault="00000000" w:rsidRPr="00000000" w14:paraId="00000011">
      <w:pPr>
        <w:pStyle w:val="Heading2"/>
        <w:numPr>
          <w:ilvl w:val="0"/>
          <w:numId w:val="3"/>
        </w:numPr>
        <w:ind w:left="720" w:hanging="360"/>
      </w:pPr>
      <w:bookmarkStart w:colFirst="0" w:colLast="0" w:name="_bjtm1a2vdpns" w:id="4"/>
      <w:bookmarkEnd w:id="4"/>
      <w:r w:rsidDel="00000000" w:rsidR="00000000" w:rsidRPr="00000000">
        <w:rPr>
          <w:rtl w:val="0"/>
        </w:rPr>
        <w:t xml:space="preserve">MCS 1510.2.1 (international registered mail indemnity limits) </w:t>
      </w:r>
    </w:p>
    <w:p w:rsidR="00000000" w:rsidDel="00000000" w:rsidP="00000000" w:rsidRDefault="00000000" w:rsidRPr="00000000" w14:paraId="00000012">
      <w:pPr>
        <w:ind w:left="0" w:firstLine="0"/>
        <w:rPr/>
      </w:pPr>
      <w:r w:rsidDel="00000000" w:rsidR="00000000" w:rsidRPr="00000000">
        <w:rPr>
          <w:rtl w:val="0"/>
        </w:rPr>
        <w:t xml:space="preserve">MCS 1510.2.1d says: </w:t>
      </w:r>
    </w:p>
    <w:p w:rsidR="00000000" w:rsidDel="00000000" w:rsidP="00000000" w:rsidRDefault="00000000" w:rsidRPr="00000000" w14:paraId="00000013">
      <w:pPr>
        <w:spacing w:line="240" w:lineRule="auto"/>
        <w:ind w:left="720" w:firstLine="0"/>
        <w:rPr/>
      </w:pPr>
      <w:r w:rsidDel="00000000" w:rsidR="00000000" w:rsidRPr="00000000">
        <w:rPr>
          <w:rtl w:val="0"/>
        </w:rPr>
        <w:t xml:space="preserve">“Regardless of the declared value of a registered item, the maximum amount of indemnity payable for loss, damage, or missing contents is limited to the amount set by UPU Letter Post Regulations Article RL 155.4. This information is available in the Letter Post Manual at </w:t>
      </w:r>
      <w:hyperlink r:id="rId7">
        <w:r w:rsidDel="00000000" w:rsidR="00000000" w:rsidRPr="00000000">
          <w:rPr>
            <w:color w:val="1155cc"/>
            <w:u w:val="single"/>
            <w:rtl w:val="0"/>
          </w:rPr>
          <w:t xml:space="preserve">www.upu.int</w:t>
        </w:r>
      </w:hyperlink>
      <w:r w:rsidDel="00000000" w:rsidR="00000000" w:rsidRPr="00000000">
        <w:rPr>
          <w:rtl w:val="0"/>
        </w:rPr>
        <w:t xml:space="preserve">.”</w:t>
      </w:r>
    </w:p>
    <w:p w:rsidR="00000000" w:rsidDel="00000000" w:rsidP="00000000" w:rsidRDefault="00000000" w:rsidRPr="00000000" w14:paraId="00000014">
      <w:pPr>
        <w:ind w:left="0" w:firstLine="0"/>
        <w:rPr/>
      </w:pPr>
      <w:r w:rsidDel="00000000" w:rsidR="00000000" w:rsidRPr="00000000">
        <w:rPr>
          <w:rtl w:val="0"/>
        </w:rPr>
        <w:t xml:space="preserve">As best I can tell, “RL 155.4” does not exist.</w:t>
      </w:r>
    </w:p>
    <w:p w:rsidR="00000000" w:rsidDel="00000000" w:rsidP="00000000" w:rsidRDefault="00000000" w:rsidRPr="00000000" w14:paraId="00000015">
      <w:pPr>
        <w:ind w:left="0" w:firstLine="0"/>
        <w:rPr/>
      </w:pPr>
      <w:r w:rsidDel="00000000" w:rsidR="00000000" w:rsidRPr="00000000">
        <w:rPr>
          <w:rtl w:val="0"/>
        </w:rPr>
        <w:t xml:space="preserve">The styling “RL ___” is not used by the UPU; it is used by James I. Campbell, Jr.’s annotation</w:t>
      </w:r>
      <w:r w:rsidDel="00000000" w:rsidR="00000000" w:rsidRPr="00000000">
        <w:rPr>
          <w:vertAlign w:val="superscript"/>
        </w:rPr>
        <w:footnoteReference w:customMarkFollows="0" w:id="11"/>
      </w:r>
      <w:r w:rsidDel="00000000" w:rsidR="00000000" w:rsidRPr="00000000">
        <w:rPr>
          <w:rtl w:val="0"/>
        </w:rPr>
        <w:t xml:space="preserve">. In his latest version, 2015 Update 3, “Article RL 155, </w:t>
      </w:r>
      <w:r w:rsidDel="00000000" w:rsidR="00000000" w:rsidRPr="00000000">
        <w:rPr>
          <w:i w:val="1"/>
          <w:rtl w:val="0"/>
        </w:rPr>
        <w:t xml:space="preserve">Inquiries concerning items posted in another country</w:t>
      </w:r>
      <w:r w:rsidDel="00000000" w:rsidR="00000000" w:rsidRPr="00000000">
        <w:rPr>
          <w:rtl w:val="0"/>
        </w:rPr>
        <w:t xml:space="preserve">”</w:t>
      </w:r>
      <w:r w:rsidDel="00000000" w:rsidR="00000000" w:rsidRPr="00000000">
        <w:rPr>
          <w:vertAlign w:val="superscript"/>
        </w:rPr>
        <w:footnoteReference w:customMarkFollows="0" w:id="12"/>
      </w:r>
      <w:r w:rsidDel="00000000" w:rsidR="00000000" w:rsidRPr="00000000">
        <w:rPr>
          <w:rtl w:val="0"/>
        </w:rPr>
        <w:t xml:space="preserve"> does not have a subitem 4. However, that “RL 155” appears to correspond exactly to what the 2021 UPU Regulations &amp; Final Protocol</w:t>
      </w:r>
      <w:r w:rsidDel="00000000" w:rsidR="00000000" w:rsidRPr="00000000">
        <w:rPr>
          <w:vertAlign w:val="superscript"/>
        </w:rPr>
        <w:footnoteReference w:customMarkFollows="0" w:id="13"/>
      </w:r>
      <w:r w:rsidDel="00000000" w:rsidR="00000000" w:rsidRPr="00000000">
        <w:rPr>
          <w:rtl w:val="0"/>
        </w:rPr>
        <w:t xml:space="preserve"> labels “Article 21-002, </w:t>
      </w:r>
      <w:r w:rsidDel="00000000" w:rsidR="00000000" w:rsidRPr="00000000">
        <w:rPr>
          <w:i w:val="1"/>
          <w:rtl w:val="0"/>
        </w:rPr>
        <w:t xml:space="preserve">Inquiries when using a CN 08 form</w:t>
      </w:r>
      <w:r w:rsidDel="00000000" w:rsidR="00000000" w:rsidRPr="00000000">
        <w:rPr>
          <w:rtl w:val="0"/>
        </w:rPr>
        <w:t xml:space="preserve">”, ¶ 4.</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Neither text has any apparent relationship with “the maximum amount of indemnity payable for loss, damage, or missing contents” for international registered mail, as referenced in MCS 1510.2.1d.</w:t>
      </w:r>
    </w:p>
    <w:p w:rsidR="00000000" w:rsidDel="00000000" w:rsidP="00000000" w:rsidRDefault="00000000" w:rsidRPr="00000000" w14:paraId="00000017">
      <w:pPr>
        <w:ind w:left="0" w:firstLine="0"/>
        <w:rPr/>
      </w:pPr>
      <w:r w:rsidDel="00000000" w:rsidR="00000000" w:rsidRPr="00000000">
        <w:rPr>
          <w:rtl w:val="0"/>
        </w:rPr>
        <w:t xml:space="preserve">This regulation is incoherent and therefore unconstitutionally vague. It also relies on documents that have not been published in the Federal Register, and is therefore prohibited from having any effect.</w:t>
      </w:r>
      <w:r w:rsidDel="00000000" w:rsidR="00000000" w:rsidRPr="00000000">
        <w:rPr>
          <w:vertAlign w:val="superscript"/>
        </w:rPr>
        <w:footnoteReference w:customMarkFollows="0" w:id="15"/>
      </w: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I request that USPS provide a link and pincite for the publicly available document on the UPU website which is allegedly the referent of, and incorporated by, this regulation.</w:t>
      </w:r>
    </w:p>
    <w:p w:rsidR="00000000" w:rsidDel="00000000" w:rsidP="00000000" w:rsidRDefault="00000000" w:rsidRPr="00000000" w14:paraId="00000019">
      <w:pPr>
        <w:pStyle w:val="Heading2"/>
        <w:numPr>
          <w:ilvl w:val="0"/>
          <w:numId w:val="3"/>
        </w:numPr>
        <w:ind w:left="720" w:hanging="360"/>
        <w:rPr/>
      </w:pPr>
      <w:bookmarkStart w:colFirst="0" w:colLast="0" w:name="_1agfpa3o4o15" w:id="5"/>
      <w:bookmarkEnd w:id="5"/>
      <w:r w:rsidDel="00000000" w:rsidR="00000000" w:rsidRPr="00000000">
        <w:rPr>
          <w:rtl w:val="0"/>
        </w:rPr>
        <w:t xml:space="preserve">‘Advertising’, pp 17–19 &amp; 22–24</w:t>
      </w:r>
    </w:p>
    <w:p w:rsidR="00000000" w:rsidDel="00000000" w:rsidP="00000000" w:rsidRDefault="00000000" w:rsidRPr="00000000" w14:paraId="0000001A">
      <w:pPr>
        <w:ind w:left="0" w:firstLine="0"/>
        <w:rPr/>
      </w:pPr>
      <w:r w:rsidDel="00000000" w:rsidR="00000000" w:rsidRPr="00000000">
        <w:rPr>
          <w:rtl w:val="0"/>
        </w:rPr>
        <w:t xml:space="preserve">The MCS has only two postal products which contain restrictions on advertising: </w:t>
      </w:r>
    </w:p>
    <w:p w:rsidR="00000000" w:rsidDel="00000000" w:rsidP="00000000" w:rsidRDefault="00000000" w:rsidRPr="00000000" w14:paraId="0000001B">
      <w:pPr>
        <w:numPr>
          <w:ilvl w:val="0"/>
          <w:numId w:val="2"/>
        </w:numPr>
        <w:spacing w:after="0" w:afterAutospacing="0"/>
        <w:ind w:left="720" w:hanging="360"/>
        <w:rPr>
          <w:u w:val="none"/>
        </w:rPr>
      </w:pPr>
      <w:r w:rsidDel="00000000" w:rsidR="00000000" w:rsidRPr="00000000">
        <w:rPr>
          <w:rtl w:val="0"/>
        </w:rPr>
        <w:t xml:space="preserve">MCS 1310.1c, </w:t>
      </w:r>
      <w:r w:rsidDel="00000000" w:rsidR="00000000" w:rsidRPr="00000000">
        <w:rPr>
          <w:rtl w:val="0"/>
        </w:rPr>
        <w:t xml:space="preserve">Outside County Periodicals</w:t>
      </w:r>
      <w:r w:rsidDel="00000000" w:rsidR="00000000" w:rsidRPr="00000000">
        <w:rPr>
          <w:rtl w:val="0"/>
        </w:rPr>
        <w:t xml:space="preserve"> (advertising pound price — except if composed of &lt;10% advertising); and</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MCS 1425.1a, Library Mail / Media Mail (no advertising — except incidental announcements of books).</w:t>
      </w:r>
    </w:p>
    <w:p w:rsidR="00000000" w:rsidDel="00000000" w:rsidP="00000000" w:rsidRDefault="00000000" w:rsidRPr="00000000" w14:paraId="0000001D">
      <w:pPr>
        <w:ind w:left="0" w:firstLine="0"/>
        <w:rPr/>
      </w:pPr>
      <w:r w:rsidDel="00000000" w:rsidR="00000000" w:rsidRPr="00000000">
        <w:rPr>
          <w:rtl w:val="0"/>
        </w:rPr>
        <w:t xml:space="preserve">There's no MCS mail class on which blind mail is allowed which says anything about advertising. IMM 272.3 &amp; DMM 703.5.2.2d thus violate the MCS.</w:t>
      </w:r>
    </w:p>
    <w:p w:rsidR="00000000" w:rsidDel="00000000" w:rsidP="00000000" w:rsidRDefault="00000000" w:rsidRPr="00000000" w14:paraId="0000001E">
      <w:pPr>
        <w:ind w:left="0" w:firstLine="0"/>
        <w:rPr/>
      </w:pPr>
      <w:r w:rsidDel="00000000" w:rsidR="00000000" w:rsidRPr="00000000">
        <w:rPr>
          <w:rtl w:val="0"/>
        </w:rPr>
        <w:t xml:space="preserve">IMM 272.3 &amp; DMM 703.5.2.2d don’t contain the “&lt;10%” or “incidental announcement” carve-outs which are provided for in the only mail classes that restrict advertising. They are therefore discriminatory against blind people, even if a restriction on advertisement were allowed (which it is not).</w:t>
      </w:r>
    </w:p>
    <w:p w:rsidR="00000000" w:rsidDel="00000000" w:rsidP="00000000" w:rsidRDefault="00000000" w:rsidRPr="00000000" w14:paraId="0000001F">
      <w:pPr>
        <w:ind w:left="0" w:firstLine="0"/>
        <w:rPr/>
      </w:pPr>
      <w:r w:rsidDel="00000000" w:rsidR="00000000" w:rsidRPr="00000000">
        <w:rPr>
          <w:rtl w:val="0"/>
        </w:rPr>
        <w:t xml:space="preserve">MCS 3002 defines ‘advertising’ as</w:t>
      </w:r>
    </w:p>
    <w:p w:rsidR="00000000" w:rsidDel="00000000" w:rsidP="00000000" w:rsidRDefault="00000000" w:rsidRPr="00000000" w14:paraId="00000020">
      <w:pPr>
        <w:spacing w:line="240" w:lineRule="auto"/>
        <w:ind w:left="720" w:firstLine="0"/>
        <w:rPr/>
      </w:pPr>
      <w:r w:rsidDel="00000000" w:rsidR="00000000" w:rsidRPr="00000000">
        <w:rPr>
          <w:rtl w:val="0"/>
        </w:rPr>
        <w:t xml:space="preserve">Advertising includes</w:t>
      </w:r>
      <w:r w:rsidDel="00000000" w:rsidR="00000000" w:rsidRPr="00000000">
        <w:rPr>
          <w:vertAlign w:val="superscript"/>
        </w:rPr>
        <w:footnoteReference w:customMarkFollows="0" w:id="16"/>
      </w:r>
      <w:r w:rsidDel="00000000" w:rsidR="00000000" w:rsidRPr="00000000">
        <w:rPr>
          <w:rtl w:val="0"/>
        </w:rPr>
        <w:t xml:space="preserve"> all material for the publication of which a valuable consideration is paid, accepted, or promised, that calls attention to something for the purpose of getting people to buy it, sell it, seek it, or support it. If an advertising price is charged for the publication of reading matter or other material, such material shall be deemed to be advertising. Articles, items, and notices in the form of reading matter inserted in accordance with a custom or understanding that textual matter is to be inserted for the advertiser or its products or services, in the publication in which a display advertisement appears, are deemed to be advertising. If a publisher advertises his own services or publications, or any other business of the publisher, whether in the form of display advertising or editorial or reading matter, this is deemed to be advertising.</w:t>
      </w:r>
    </w:p>
    <w:p w:rsidR="00000000" w:rsidDel="00000000" w:rsidP="00000000" w:rsidRDefault="00000000" w:rsidRPr="00000000" w14:paraId="00000021">
      <w:pPr>
        <w:ind w:left="0" w:firstLine="0"/>
        <w:rPr/>
      </w:pPr>
      <w:r w:rsidDel="00000000" w:rsidR="00000000" w:rsidRPr="00000000">
        <w:rPr>
          <w:rtl w:val="0"/>
        </w:rPr>
        <w:t xml:space="preserve">DMM 703.5.2.2d defines ‘advertising’ similarly, but as an exclusive list. To the extent they differ, the DMM violates the MCS, and both are unconstitutionally vague.</w:t>
      </w:r>
    </w:p>
    <w:p w:rsidR="00000000" w:rsidDel="00000000" w:rsidP="00000000" w:rsidRDefault="00000000" w:rsidRPr="00000000" w14:paraId="00000022">
      <w:pPr>
        <w:ind w:left="0" w:firstLine="0"/>
        <w:rPr/>
      </w:pPr>
      <w:r w:rsidDel="00000000" w:rsidR="00000000" w:rsidRPr="00000000">
        <w:rPr>
          <w:rtl w:val="0"/>
        </w:rPr>
        <w:t xml:space="preserve">IMM 272 contains no definition of ‘advertisement’. It is thus unconstitutionally vague.</w:t>
      </w:r>
    </w:p>
    <w:p w:rsidR="00000000" w:rsidDel="00000000" w:rsidP="00000000" w:rsidRDefault="00000000" w:rsidRPr="00000000" w14:paraId="00000023">
      <w:pPr>
        <w:pStyle w:val="Heading2"/>
        <w:numPr>
          <w:ilvl w:val="0"/>
          <w:numId w:val="3"/>
        </w:numPr>
        <w:ind w:left="720" w:hanging="360"/>
        <w:rPr/>
      </w:pPr>
      <w:bookmarkStart w:colFirst="0" w:colLast="0" w:name="_tmru5d32ypyp" w:id="6"/>
      <w:bookmarkEnd w:id="6"/>
      <w:r w:rsidDel="00000000" w:rsidR="00000000" w:rsidRPr="00000000">
        <w:rPr>
          <w:rtl w:val="0"/>
        </w:rPr>
        <w:t xml:space="preserve">“Profit-making transaction”, pp. 17–19 &amp; 22–24</w:t>
      </w:r>
    </w:p>
    <w:p w:rsidR="00000000" w:rsidDel="00000000" w:rsidP="00000000" w:rsidRDefault="00000000" w:rsidRPr="00000000" w14:paraId="00000024">
      <w:pPr>
        <w:ind w:left="0" w:firstLine="0"/>
        <w:rPr/>
      </w:pPr>
      <w:r w:rsidDel="00000000" w:rsidR="00000000" w:rsidRPr="00000000">
        <w:rPr>
          <w:rtl w:val="0"/>
        </w:rPr>
        <w:t xml:space="preserve">DMM 703.5.2c requires “Either no charge, rental, subscription, or other fee is required for this matter; or, if required, may not exceed the cost of the item.” IMM 272.3b prohibits “The item is intended as a profit-making transaction. There should be no charge (rental, subscription, or other associated fee) that is in excess of the actual cost.”</w:t>
      </w:r>
    </w:p>
    <w:p w:rsidR="00000000" w:rsidDel="00000000" w:rsidP="00000000" w:rsidRDefault="00000000" w:rsidRPr="00000000" w14:paraId="00000025">
      <w:pPr>
        <w:ind w:left="0" w:firstLine="0"/>
        <w:rPr/>
      </w:pPr>
      <w:r w:rsidDel="00000000" w:rsidR="00000000" w:rsidRPr="00000000">
        <w:rPr>
          <w:rtl w:val="0"/>
        </w:rPr>
        <w:t xml:space="preserve">Neither the DMM, IMM, nor MCS 3002 contain any definition of ‘profit-making’ or ‘transaction’, let alone how one might objectively determine ‘intent’ in this context, or whose intent or profit is relevant.</w:t>
      </w:r>
    </w:p>
    <w:p w:rsidR="00000000" w:rsidDel="00000000" w:rsidP="00000000" w:rsidRDefault="00000000" w:rsidRPr="00000000" w14:paraId="00000026">
      <w:pPr>
        <w:ind w:left="0" w:firstLine="0"/>
        <w:rPr/>
      </w:pPr>
      <w:r w:rsidDel="00000000" w:rsidR="00000000" w:rsidRPr="00000000">
        <w:rPr>
          <w:rtl w:val="0"/>
        </w:rPr>
        <w:t xml:space="preserve">Unlike the restriction on advertising in Outside County Periodicals and Library Mail / Media Mail, the MCS contains to prohibitions whatsoever, on any class of mail</w:t>
      </w:r>
      <w:r w:rsidDel="00000000" w:rsidR="00000000" w:rsidRPr="00000000">
        <w:rPr>
          <w:vertAlign w:val="superscript"/>
        </w:rPr>
        <w:footnoteReference w:customMarkFollows="0" w:id="17"/>
      </w:r>
      <w:r w:rsidDel="00000000" w:rsidR="00000000" w:rsidRPr="00000000">
        <w:rPr>
          <w:rtl w:val="0"/>
        </w:rPr>
        <w:t xml:space="preserve">, about “profit-making transaction”.</w:t>
      </w:r>
    </w:p>
    <w:p w:rsidR="00000000" w:rsidDel="00000000" w:rsidP="00000000" w:rsidRDefault="00000000" w:rsidRPr="00000000" w14:paraId="00000027">
      <w:pPr>
        <w:ind w:left="0" w:firstLine="0"/>
        <w:rPr/>
      </w:pPr>
      <w:r w:rsidDel="00000000" w:rsidR="00000000" w:rsidRPr="00000000">
        <w:rPr>
          <w:rtl w:val="0"/>
        </w:rPr>
        <w:t xml:space="preserve">The DMM &amp; IMM therefore both violate the MCS by imposing an unauthorized restriction. They impose a restriction that is not based only on the beneficiary’s own conduct but instead include the intent or internal finances of the other party, and are unconstitutionally vague and are discriminatory against blind people.</w:t>
      </w:r>
    </w:p>
    <w:p w:rsidR="00000000" w:rsidDel="00000000" w:rsidP="00000000" w:rsidRDefault="00000000" w:rsidRPr="00000000" w14:paraId="00000028">
      <w:pPr>
        <w:pStyle w:val="Heading2"/>
        <w:numPr>
          <w:ilvl w:val="0"/>
          <w:numId w:val="3"/>
        </w:numPr>
        <w:ind w:left="720" w:hanging="360"/>
        <w:rPr/>
      </w:pPr>
      <w:bookmarkStart w:colFirst="0" w:colLast="0" w:name="_cgu4ubdyvtkr" w:id="7"/>
      <w:bookmarkEnd w:id="7"/>
      <w:r w:rsidDel="00000000" w:rsidR="00000000" w:rsidRPr="00000000">
        <w:rPr>
          <w:rtl w:val="0"/>
        </w:rPr>
        <w:t xml:space="preserve">Qualifying items &amp; senders/recipients, pp. 16 &amp; 22–24</w:t>
      </w:r>
    </w:p>
    <w:p w:rsidR="00000000" w:rsidDel="00000000" w:rsidP="00000000" w:rsidRDefault="00000000" w:rsidRPr="00000000" w14:paraId="00000029">
      <w:pPr>
        <w:ind w:left="0" w:firstLine="0"/>
        <w:rPr/>
      </w:pPr>
      <w:r w:rsidDel="00000000" w:rsidR="00000000" w:rsidRPr="00000000">
        <w:rPr>
          <w:rtl w:val="0"/>
        </w:rPr>
        <w:t xml:space="preserve">For Art. 17-107.5, </w:t>
      </w:r>
      <w:r w:rsidDel="00000000" w:rsidR="00000000" w:rsidRPr="00000000">
        <w:rPr>
          <w:i w:val="1"/>
          <w:rtl w:val="0"/>
        </w:rPr>
        <w:t xml:space="preserve">Special provisions applicable to each category of items</w:t>
      </w:r>
      <w:r w:rsidDel="00000000" w:rsidR="00000000" w:rsidRPr="00000000">
        <w:rPr>
          <w:rtl w:val="0"/>
        </w:rPr>
        <w:t xml:space="preserve"> (items for the blind), several countries made reservations in Prot. Art. R XVI:</w:t>
      </w:r>
    </w:p>
    <w:p w:rsidR="00000000" w:rsidDel="00000000" w:rsidP="00000000" w:rsidRDefault="00000000" w:rsidRPr="00000000" w14:paraId="0000002A">
      <w:pPr>
        <w:numPr>
          <w:ilvl w:val="0"/>
          <w:numId w:val="4"/>
        </w:numPr>
        <w:spacing w:after="0" w:afterAutospacing="0"/>
        <w:ind w:left="720" w:hanging="360"/>
        <w:rPr>
          <w:u w:val="none"/>
        </w:rPr>
      </w:pPr>
      <w:r w:rsidDel="00000000" w:rsidR="00000000" w:rsidRPr="00000000">
        <w:rPr>
          <w:rtl w:val="0"/>
        </w:rPr>
        <w:t xml:space="preserve">17-107.5 (generally), ¶ 4, France, generally applying “its national regulations”</w:t>
      </w:r>
    </w:p>
    <w:p w:rsidR="00000000" w:rsidDel="00000000" w:rsidP="00000000" w:rsidRDefault="00000000" w:rsidRPr="00000000" w14:paraId="0000002B">
      <w:pPr>
        <w:numPr>
          <w:ilvl w:val="0"/>
          <w:numId w:val="4"/>
        </w:numPr>
        <w:spacing w:after="0" w:afterAutospacing="0"/>
        <w:ind w:left="720" w:hanging="360"/>
        <w:rPr>
          <w:u w:val="none"/>
        </w:rPr>
      </w:pPr>
      <w:r w:rsidDel="00000000" w:rsidR="00000000" w:rsidRPr="00000000">
        <w:rPr>
          <w:rtl w:val="0"/>
        </w:rPr>
        <w:t xml:space="preserve">17-107.5.1 (defining items for the blind), ¶ 3, Australia “will accept for delivery as items for the blind only those items that are recognized as items for the blind in its domestic service.”</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17-107.5.2 (origin DOs may expand blind mail to include domestic blind items), ¶ 6, Azerbaijan, India, Indonesia, Lebanon, Nepal, Tajikistan, Turkmenistan, Ukraine, Uzbekistan, and Zimbabwe “shall admit sound recordings as items for the blind only if these are sent by, or addressed to, an officially recognized institute for the blind.” (i.e. excluding audio books sent to and from blind people or non officially recognized blind organizations, </w:t>
      </w:r>
      <w:r w:rsidDel="00000000" w:rsidR="00000000" w:rsidRPr="00000000">
        <w:rPr>
          <w:i w:val="1"/>
          <w:rtl w:val="0"/>
        </w:rPr>
        <w:t xml:space="preserve">contrast</w:t>
      </w:r>
      <w:r w:rsidDel="00000000" w:rsidR="00000000" w:rsidRPr="00000000">
        <w:rPr>
          <w:rtl w:val="0"/>
        </w:rPr>
        <w:t xml:space="preserve"> 17-107.5.1.1</w:t>
      </w:r>
      <w:r w:rsidDel="00000000" w:rsidR="00000000" w:rsidRPr="00000000">
        <w:rPr>
          <w:rtl w:val="0"/>
        </w:rPr>
        <w:t xml:space="preserve">) </w:t>
      </w:r>
    </w:p>
    <w:p w:rsidR="00000000" w:rsidDel="00000000" w:rsidP="00000000" w:rsidRDefault="00000000" w:rsidRPr="00000000" w14:paraId="0000002D">
      <w:pPr>
        <w:ind w:left="0" w:firstLine="0"/>
        <w:rPr/>
      </w:pPr>
      <w:r w:rsidDel="00000000" w:rsidR="00000000" w:rsidRPr="00000000">
        <w:rPr>
          <w:rtl w:val="0"/>
        </w:rPr>
        <w:t xml:space="preserve">For Art. 19-101.6, </w:t>
      </w:r>
      <w:r w:rsidDel="00000000" w:rsidR="00000000" w:rsidRPr="00000000">
        <w:rPr>
          <w:i w:val="1"/>
          <w:rtl w:val="0"/>
        </w:rPr>
        <w:t xml:space="preserve">Treatment of items wrongly admitted</w:t>
      </w:r>
      <w:r w:rsidDel="00000000" w:rsidR="00000000" w:rsidRPr="00000000">
        <w:rPr>
          <w:rtl w:val="0"/>
        </w:rPr>
        <w:t xml:space="preserve"> (exclusion of blind mail from countries’ right to “deny conveyance in transit à découvert over its territory … which do not satisfy the legal requirements governing the conditions of their publication or circulation in that country”), France made a general reservation in Prot. Art. R XXVI ¶ 4.</w:t>
      </w:r>
    </w:p>
    <w:p w:rsidR="00000000" w:rsidDel="00000000" w:rsidP="00000000" w:rsidRDefault="00000000" w:rsidRPr="00000000" w14:paraId="0000002E">
      <w:pPr>
        <w:ind w:left="0" w:firstLine="0"/>
        <w:rPr/>
      </w:pPr>
      <w:r w:rsidDel="00000000" w:rsidR="00000000" w:rsidRPr="00000000">
        <w:rPr>
          <w:rtl w:val="0"/>
        </w:rPr>
        <w:t xml:space="preserve">The US made none as to Art. 19-101.6.</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14:paraId="0000002F">
      <w:pPr>
        <w:pStyle w:val="Heading2"/>
        <w:numPr>
          <w:ilvl w:val="0"/>
          <w:numId w:val="3"/>
        </w:numPr>
        <w:ind w:left="720" w:hanging="360"/>
        <w:rPr/>
      </w:pPr>
      <w:bookmarkStart w:colFirst="0" w:colLast="0" w:name="_z93zy7q5cgws" w:id="8"/>
      <w:bookmarkEnd w:id="8"/>
      <w:r w:rsidDel="00000000" w:rsidR="00000000" w:rsidRPr="00000000">
        <w:rPr>
          <w:rtl w:val="0"/>
        </w:rPr>
        <w:t xml:space="preserve">Charges, pp 16–17 &amp; 26–29</w:t>
      </w:r>
    </w:p>
    <w:p w:rsidR="00000000" w:rsidDel="00000000" w:rsidP="00000000" w:rsidRDefault="00000000" w:rsidRPr="00000000" w14:paraId="00000030">
      <w:pPr>
        <w:ind w:left="0" w:firstLine="0"/>
        <w:rPr/>
      </w:pPr>
      <w:r w:rsidDel="00000000" w:rsidR="00000000" w:rsidRPr="00000000">
        <w:rPr>
          <w:rtl w:val="0"/>
        </w:rPr>
        <w:t xml:space="preserve">For UPC Art. 15-102.2.6, </w:t>
      </w:r>
      <w:r w:rsidDel="00000000" w:rsidR="00000000" w:rsidRPr="00000000">
        <w:rPr>
          <w:i w:val="1"/>
          <w:rtl w:val="0"/>
        </w:rPr>
        <w:t xml:space="preserve">Special charges</w:t>
      </w:r>
      <w:r w:rsidDel="00000000" w:rsidR="00000000" w:rsidRPr="00000000">
        <w:rPr>
          <w:rtl w:val="0"/>
        </w:rPr>
        <w:t xml:space="preserve"> (exemption of blind mail from storage charges), France made a general reservation in Prot. Art. R XIII. The US made none.</w:t>
      </w:r>
    </w:p>
    <w:p w:rsidR="00000000" w:rsidDel="00000000" w:rsidP="00000000" w:rsidRDefault="00000000" w:rsidRPr="00000000" w14:paraId="00000031">
      <w:pPr>
        <w:pStyle w:val="Heading2"/>
        <w:numPr>
          <w:ilvl w:val="0"/>
          <w:numId w:val="3"/>
        </w:numPr>
        <w:ind w:left="720" w:hanging="360"/>
        <w:rPr/>
      </w:pPr>
      <w:bookmarkStart w:colFirst="0" w:colLast="0" w:name="_tyyxw1qpv0dq" w:id="9"/>
      <w:bookmarkEnd w:id="9"/>
      <w:r w:rsidDel="00000000" w:rsidR="00000000" w:rsidRPr="00000000">
        <w:rPr>
          <w:rtl w:val="0"/>
        </w:rPr>
        <w:t xml:space="preserve">Marking, pp 30–31</w:t>
      </w:r>
    </w:p>
    <w:p w:rsidR="00000000" w:rsidDel="00000000" w:rsidP="00000000" w:rsidRDefault="00000000" w:rsidRPr="00000000" w14:paraId="00000032">
      <w:pPr>
        <w:ind w:left="0" w:firstLine="0"/>
        <w:rPr/>
      </w:pPr>
      <w:r w:rsidDel="00000000" w:rsidR="00000000" w:rsidRPr="00000000">
        <w:rPr>
          <w:rtl w:val="0"/>
        </w:rPr>
        <w:t xml:space="preserve">For UPC Art. 16-002, </w:t>
      </w:r>
      <w:r w:rsidDel="00000000" w:rsidR="00000000" w:rsidRPr="00000000">
        <w:rPr>
          <w:i w:val="1"/>
          <w:rtl w:val="0"/>
        </w:rPr>
        <w:t xml:space="preserve">Marking of items sent free of postal charges</w:t>
      </w:r>
      <w:r w:rsidDel="00000000" w:rsidR="00000000" w:rsidRPr="00000000">
        <w:rPr>
          <w:rtl w:val="0"/>
        </w:rPr>
        <w:t xml:space="preserve">, France made a general reservation in Prot. Art. R I. The US made none.</w:t>
      </w:r>
    </w:p>
    <w:p w:rsidR="00000000" w:rsidDel="00000000" w:rsidP="00000000" w:rsidRDefault="00000000" w:rsidRPr="00000000" w14:paraId="00000033">
      <w:pPr>
        <w:ind w:left="0" w:firstLine="0"/>
        <w:rPr/>
      </w:pPr>
      <w:r w:rsidDel="00000000" w:rsidR="00000000" w:rsidRPr="00000000">
        <w:rPr>
          <w:rtl w:val="0"/>
        </w:rPr>
        <w:t xml:space="preserve">For UPC Art. 17-129.8, </w:t>
      </w:r>
      <w:r w:rsidDel="00000000" w:rsidR="00000000" w:rsidRPr="00000000">
        <w:rPr>
          <w:i w:val="1"/>
          <w:rtl w:val="0"/>
        </w:rPr>
        <w:t xml:space="preserve">Labelling of mails</w:t>
      </w:r>
      <w:r w:rsidDel="00000000" w:rsidR="00000000" w:rsidRPr="00000000">
        <w:rPr>
          <w:rtl w:val="0"/>
        </w:rPr>
        <w:t xml:space="preserve"> (blind mail in light blue receptacles, together with small packets etc), France made a general reservation in Prot. Art. R XIX. The US made none.</w:t>
      </w:r>
    </w:p>
    <w:p w:rsidR="00000000" w:rsidDel="00000000" w:rsidP="00000000" w:rsidRDefault="00000000" w:rsidRPr="00000000" w14:paraId="00000034">
      <w:pPr>
        <w:pStyle w:val="Heading2"/>
        <w:numPr>
          <w:ilvl w:val="0"/>
          <w:numId w:val="3"/>
        </w:numPr>
        <w:ind w:left="720" w:hanging="360"/>
        <w:rPr/>
      </w:pPr>
      <w:bookmarkStart w:colFirst="0" w:colLast="0" w:name="_zdkm6lr7rlom" w:id="10"/>
      <w:bookmarkEnd w:id="10"/>
      <w:r w:rsidDel="00000000" w:rsidR="00000000" w:rsidRPr="00000000">
        <w:rPr>
          <w:rtl w:val="0"/>
        </w:rPr>
        <w:t xml:space="preserve">Interpretation of US’ lack of UPC reservations</w:t>
      </w:r>
    </w:p>
    <w:p w:rsidR="00000000" w:rsidDel="00000000" w:rsidP="00000000" w:rsidRDefault="00000000" w:rsidRPr="00000000" w14:paraId="00000035">
      <w:pPr>
        <w:ind w:left="0" w:firstLine="0"/>
        <w:rPr/>
      </w:pPr>
      <w:r w:rsidDel="00000000" w:rsidR="00000000" w:rsidRPr="00000000">
        <w:rPr>
          <w:rtl w:val="0"/>
        </w:rPr>
        <w:t xml:space="preserve">Taken together, the fact that many other countries made wide ranging reservations to nearly every aspect of international blind mail, UPC Prot. Arts. V &amp; VI</w:t>
      </w:r>
      <w:r w:rsidDel="00000000" w:rsidR="00000000" w:rsidRPr="00000000">
        <w:rPr>
          <w:vertAlign w:val="superscript"/>
        </w:rPr>
        <w:footnoteReference w:customMarkFollows="0" w:id="19"/>
      </w:r>
      <w:r w:rsidDel="00000000" w:rsidR="00000000" w:rsidRPr="00000000">
        <w:rPr>
          <w:rtl w:val="0"/>
        </w:rPr>
        <w:t xml:space="preserve"> and Prot. Arts. R I, XIII, XVI, XIX, &amp; XXVI, whereas the US had exactly the same opportunity and made only the narrow reservation to charge for special services that are charged for in domestic blind mail, demonstrates a negative implicature.</w:t>
      </w:r>
    </w:p>
    <w:p w:rsidR="00000000" w:rsidDel="00000000" w:rsidP="00000000" w:rsidRDefault="00000000" w:rsidRPr="00000000" w14:paraId="00000036">
      <w:pPr>
        <w:ind w:left="0" w:firstLine="0"/>
        <w:rPr/>
      </w:pPr>
      <w:r w:rsidDel="00000000" w:rsidR="00000000" w:rsidRPr="00000000">
        <w:rPr>
          <w:rtl w:val="0"/>
        </w:rPr>
        <w:t xml:space="preserve">Other countries limited who can send or receive blind mail; what items can be sent in blind mail; what classes of mail can be used; what weight limits apply; and how blind mail is marked — including multiple countries which made blanket reservations applying their domestic regulations. The US did not. Its contrasting action must be interpreted as waiver of any kind of reservation that other countries made and it did not: it fully agreed with the unrestricted scope of UPC blind mail.</w:t>
      </w:r>
      <w:r w:rsidDel="00000000" w:rsidR="00000000" w:rsidRPr="00000000">
        <w:rPr>
          <w:rtl w:val="0"/>
        </w:rPr>
      </w:r>
    </w:p>
    <w:sectPr>
      <w:headerReference r:id="rId8" w:type="default"/>
      <w:footerReference r:id="rId9" w:type="default"/>
      <w:pgSz w:h="15840" w:w="12240" w:orient="portrait"/>
      <w:pgMar w:bottom="1080" w:top="108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3">
    <w:p w:rsidR="00000000" w:rsidDel="00000000" w:rsidP="00000000" w:rsidRDefault="00000000" w:rsidRPr="00000000" w14:paraId="0000003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Contrast</w:t>
      </w:r>
      <w:r w:rsidDel="00000000" w:rsidR="00000000" w:rsidRPr="00000000">
        <w:rPr>
          <w:sz w:val="20"/>
          <w:szCs w:val="20"/>
          <w:rtl w:val="0"/>
        </w:rPr>
        <w:t xml:space="preserve"> DMM 503.1.4.1, 503.1.4.2, &amp; 503.4.2b and MCS 1505.9.2 ($5,000 insurance limit for domestic First-Class &amp; Priority); DMM 503.2.1.2 &amp; MCS 1505.12.1 ($50,000 limit for registered mail). </w:t>
      </w:r>
      <w:r w:rsidDel="00000000" w:rsidR="00000000" w:rsidRPr="00000000">
        <w:rPr>
          <w:i w:val="1"/>
          <w:sz w:val="20"/>
          <w:szCs w:val="20"/>
          <w:rtl w:val="0"/>
        </w:rPr>
        <w:t xml:space="preserve">See also</w:t>
      </w:r>
      <w:r w:rsidDel="00000000" w:rsidR="00000000" w:rsidRPr="00000000">
        <w:rPr>
          <w:sz w:val="20"/>
          <w:szCs w:val="20"/>
          <w:rtl w:val="0"/>
        </w:rPr>
        <w:t xml:space="preserve"> MCS 2615.5.2 (Priority Mail International insurance). UPC rules in common regulation Art. 18-101.2.1 requires insurance of at least 4,000 SDR (~$5,300), and no less than domestic insurance on a registered letter or 1kg parcel, subject to Prots. R IIII &amp; IV limitations on insurance value by Sweden (1,000 SDR), Denmark (4,000 SDR), and France (630 SDR).</w:t>
      </w:r>
    </w:p>
  </w:footnote>
  <w:footnote w:id="11">
    <w:p w:rsidR="00000000" w:rsidDel="00000000" w:rsidP="00000000" w:rsidRDefault="00000000" w:rsidRPr="00000000" w14:paraId="0000003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https://jcampbell.com/upu/index.htm</w:t>
        </w:r>
      </w:hyperlink>
      <w:r w:rsidDel="00000000" w:rsidR="00000000" w:rsidRPr="00000000">
        <w:rPr>
          <w:sz w:val="20"/>
          <w:szCs w:val="20"/>
          <w:rtl w:val="0"/>
        </w:rPr>
        <w:t xml:space="preserve"> </w:t>
      </w:r>
    </w:p>
  </w:footnote>
  <w:footnote w:id="13">
    <w:p w:rsidR="00000000" w:rsidDel="00000000" w:rsidP="00000000" w:rsidRDefault="00000000" w:rsidRPr="00000000" w14:paraId="0000003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https://www.upu.int/UPU/media/upu/files/aboutUpu/acts/03-actsConventionAndFinalProtocol/conventionAndFinalProtocolAdoptedAtAbidjanEn.pdf</w:t>
        </w:r>
      </w:hyperlink>
      <w:r w:rsidDel="00000000" w:rsidR="00000000" w:rsidRPr="00000000">
        <w:rPr>
          <w:sz w:val="20"/>
          <w:szCs w:val="20"/>
          <w:rtl w:val="0"/>
        </w:rPr>
        <w:t xml:space="preserve"> </w:t>
      </w:r>
    </w:p>
  </w:footnote>
  <w:footnote w:id="0">
    <w:p w:rsidR="00000000" w:rsidDel="00000000" w:rsidP="00000000" w:rsidRDefault="00000000" w:rsidRPr="00000000" w14:paraId="0000003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w:t>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http://freecane.nfb.org/</w:t>
        </w:r>
      </w:hyperlink>
      <w:r w:rsidDel="00000000" w:rsidR="00000000" w:rsidRPr="00000000">
        <w:rPr>
          <w:sz w:val="20"/>
          <w:szCs w:val="20"/>
          <w:rtl w:val="0"/>
        </w:rPr>
        <w:t xml:space="preserve"> and </w:t>
      </w:r>
      <w:hyperlink r:id="rId4">
        <w:r w:rsidDel="00000000" w:rsidR="00000000" w:rsidRPr="00000000">
          <w:rPr>
            <w:color w:val="1155cc"/>
            <w:sz w:val="20"/>
            <w:szCs w:val="20"/>
            <w:u w:val="single"/>
            <w:rtl w:val="0"/>
          </w:rPr>
          <w:t xml:space="preserve">https://nfb.org/programs-services/free-white-cane-program</w:t>
        </w:r>
      </w:hyperlink>
      <w:r w:rsidDel="00000000" w:rsidR="00000000" w:rsidRPr="00000000">
        <w:rPr>
          <w:sz w:val="20"/>
          <w:szCs w:val="20"/>
          <w:rtl w:val="0"/>
        </w:rPr>
        <w:t xml:space="preserve"> </w:t>
      </w:r>
    </w:p>
  </w:footnote>
  <w:footnote w:id="1">
    <w:p w:rsidR="00000000" w:rsidDel="00000000" w:rsidP="00000000" w:rsidRDefault="00000000" w:rsidRPr="00000000" w14:paraId="0000003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1155cc"/>
            <w:sz w:val="20"/>
            <w:szCs w:val="20"/>
            <w:u w:val="single"/>
            <w:rtl w:val="0"/>
          </w:rPr>
          <w:t xml:space="preserve">https://nfb.org/programs-services/independence-market</w:t>
        </w:r>
      </w:hyperlink>
      <w:r w:rsidDel="00000000" w:rsidR="00000000" w:rsidRPr="00000000">
        <w:rPr>
          <w:sz w:val="20"/>
          <w:szCs w:val="20"/>
          <w:rtl w:val="0"/>
        </w:rPr>
        <w:t xml:space="preserve"> </w:t>
      </w:r>
    </w:p>
  </w:footnote>
  <w:footnote w:id="4">
    <w:p w:rsidR="00000000" w:rsidDel="00000000" w:rsidP="00000000" w:rsidRDefault="00000000" w:rsidRPr="00000000" w14:paraId="0000003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https://awarewolfgear.com/atc</w:t>
        </w:r>
      </w:hyperlink>
      <w:r w:rsidDel="00000000" w:rsidR="00000000" w:rsidRPr="00000000">
        <w:rPr>
          <w:sz w:val="20"/>
          <w:szCs w:val="20"/>
          <w:rtl w:val="0"/>
        </w:rPr>
        <w:t xml:space="preserve"> </w:t>
      </w:r>
    </w:p>
  </w:footnote>
  <w:footnote w:id="5">
    <w:p w:rsidR="00000000" w:rsidDel="00000000" w:rsidP="00000000" w:rsidRDefault="00000000" w:rsidRPr="00000000" w14:paraId="0000003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David Epstein, </w:t>
      </w:r>
      <w:r w:rsidDel="00000000" w:rsidR="00000000" w:rsidRPr="00000000">
        <w:rPr>
          <w:i w:val="1"/>
          <w:sz w:val="20"/>
          <w:szCs w:val="20"/>
          <w:rtl w:val="0"/>
        </w:rPr>
        <w:t xml:space="preserve">see</w:t>
      </w:r>
      <w:r w:rsidDel="00000000" w:rsidR="00000000" w:rsidRPr="00000000">
        <w:rPr>
          <w:sz w:val="20"/>
          <w:szCs w:val="20"/>
          <w:rtl w:val="0"/>
        </w:rPr>
        <w:t xml:space="preserve"> </w:t>
      </w:r>
      <w:r w:rsidDel="00000000" w:rsidR="00000000" w:rsidRPr="00000000">
        <w:rPr>
          <w:sz w:val="20"/>
          <w:szCs w:val="20"/>
          <w:rtl w:val="0"/>
        </w:rPr>
        <w:t xml:space="preserve">USPTO patent application 17/406348, publication US 2023/0054910 A1</w:t>
      </w:r>
    </w:p>
  </w:footnote>
  <w:footnote w:id="6">
    <w:p w:rsidR="00000000" w:rsidDel="00000000" w:rsidP="00000000" w:rsidRDefault="00000000" w:rsidRPr="00000000" w14:paraId="0000004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Source: personal correspondence with David Epstein</w:t>
      </w:r>
    </w:p>
  </w:footnote>
  <w:footnote w:id="7">
    <w:p w:rsidR="00000000" w:rsidDel="00000000" w:rsidP="00000000" w:rsidRDefault="00000000" w:rsidRPr="00000000" w14:paraId="0000004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https://shop.rnib.org.uk/all-terrain-cane-94563</w:t>
        </w:r>
      </w:hyperlink>
      <w:r w:rsidDel="00000000" w:rsidR="00000000" w:rsidRPr="00000000">
        <w:rPr>
          <w:sz w:val="20"/>
          <w:szCs w:val="20"/>
          <w:rtl w:val="0"/>
        </w:rPr>
        <w:t xml:space="preserve"> </w:t>
      </w:r>
    </w:p>
  </w:footnote>
  <w:footnote w:id="8">
    <w:p w:rsidR="00000000" w:rsidDel="00000000" w:rsidP="00000000" w:rsidRDefault="00000000" w:rsidRPr="00000000" w14:paraId="0000004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https://awarewolfgear.com/cane-tips/</w:t>
        </w:r>
      </w:hyperlink>
      <w:r w:rsidDel="00000000" w:rsidR="00000000" w:rsidRPr="00000000">
        <w:rPr>
          <w:sz w:val="20"/>
          <w:szCs w:val="20"/>
          <w:rtl w:val="0"/>
        </w:rPr>
        <w:t xml:space="preserve"> </w:t>
      </w:r>
    </w:p>
  </w:footnote>
  <w:footnote w:id="10">
    <w:p w:rsidR="00000000" w:rsidDel="00000000" w:rsidP="00000000" w:rsidRDefault="00000000" w:rsidRPr="00000000" w14:paraId="0000004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https://awarewolfgear.com/urban-xplorer</w:t>
        </w:r>
      </w:hyperlink>
      <w:r w:rsidDel="00000000" w:rsidR="00000000" w:rsidRPr="00000000">
        <w:rPr>
          <w:sz w:val="20"/>
          <w:szCs w:val="20"/>
          <w:rtl w:val="0"/>
        </w:rPr>
        <w:t xml:space="preserve"> </w:t>
      </w:r>
    </w:p>
  </w:footnote>
  <w:footnote w:id="2">
    <w:p w:rsidR="00000000" w:rsidDel="00000000" w:rsidP="00000000" w:rsidRDefault="00000000" w:rsidRPr="00000000" w14:paraId="0000004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https://nfb.org/sites/nfb.org/files/2024-02/FINAL-2023-Independence-Market-Catalog-for-Print-and-Braille%20(1).docx</w:t>
        </w:r>
      </w:hyperlink>
      <w:r w:rsidDel="00000000" w:rsidR="00000000" w:rsidRPr="00000000">
        <w:rPr>
          <w:sz w:val="20"/>
          <w:szCs w:val="20"/>
          <w:rtl w:val="0"/>
        </w:rPr>
        <w:t xml:space="preserve"> </w:t>
      </w:r>
    </w:p>
  </w:footnote>
  <w:footnote w:id="16">
    <w:p w:rsidR="00000000" w:rsidDel="00000000" w:rsidP="00000000" w:rsidRDefault="00000000" w:rsidRPr="00000000" w14:paraId="0000004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‘Includes’ suggests that something else might also be deemed ‘advertising’ at USPS’ whim. It is therefore ambiguous and chilling.</w:t>
      </w:r>
    </w:p>
  </w:footnote>
  <w:footnote w:id="17">
    <w:p w:rsidR="00000000" w:rsidDel="00000000" w:rsidP="00000000" w:rsidRDefault="00000000" w:rsidRPr="00000000" w14:paraId="0000004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does contain nonprofit organization pricing, e.g. MCS 1220.4 &amp; 1230.4 — but nonprofit organizations are allowed to engage in profit-making transactions, both by transacting with for-profit entities, and by charging for their own services or items at a level that is above cost. Under US tax code, just because an organization isn’t formed for the purpose of making a profit for owners/shareholders </w:t>
      </w:r>
      <w:r w:rsidDel="00000000" w:rsidR="00000000" w:rsidRPr="00000000">
        <w:rPr>
          <w:i w:val="1"/>
          <w:sz w:val="20"/>
          <w:szCs w:val="20"/>
          <w:rtl w:val="0"/>
        </w:rPr>
        <w:t xml:space="preserve">overall</w:t>
      </w:r>
      <w:r w:rsidDel="00000000" w:rsidR="00000000" w:rsidRPr="00000000">
        <w:rPr>
          <w:sz w:val="20"/>
          <w:szCs w:val="20"/>
          <w:rtl w:val="0"/>
        </w:rPr>
        <w:t xml:space="preserve">, that doesn’t mean it can’t make profits on </w:t>
      </w:r>
      <w:r w:rsidDel="00000000" w:rsidR="00000000" w:rsidRPr="00000000">
        <w:rPr>
          <w:i w:val="1"/>
          <w:sz w:val="20"/>
          <w:szCs w:val="20"/>
          <w:rtl w:val="0"/>
        </w:rPr>
        <w:t xml:space="preserve">individual </w:t>
      </w:r>
      <w:r w:rsidDel="00000000" w:rsidR="00000000" w:rsidRPr="00000000">
        <w:rPr>
          <w:sz w:val="20"/>
          <w:szCs w:val="20"/>
          <w:rtl w:val="0"/>
        </w:rPr>
        <w:t xml:space="preserve">transactions, so as to</w:t>
      </w:r>
      <w:r w:rsidDel="00000000" w:rsidR="00000000" w:rsidRPr="00000000">
        <w:rPr>
          <w:sz w:val="20"/>
          <w:szCs w:val="20"/>
          <w:rtl w:val="0"/>
        </w:rPr>
        <w:t xml:space="preserve"> require payments for items and services at a rate sufficient to pay its staff, overhead, etc. — as well as to fund its activities which make a loss. </w:t>
      </w:r>
      <w:r w:rsidDel="00000000" w:rsidR="00000000" w:rsidRPr="00000000">
        <w:rPr>
          <w:i w:val="1"/>
          <w:sz w:val="20"/>
          <w:szCs w:val="20"/>
          <w:rtl w:val="0"/>
        </w:rPr>
        <w:t xml:space="preserve">See e.g. </w:t>
      </w:r>
      <w:hyperlink r:id="rId11">
        <w:r w:rsidDel="00000000" w:rsidR="00000000" w:rsidRPr="00000000">
          <w:rPr>
            <w:color w:val="1155cc"/>
            <w:sz w:val="20"/>
            <w:szCs w:val="20"/>
            <w:u w:val="single"/>
            <w:rtl w:val="0"/>
          </w:rPr>
          <w:t xml:space="preserve">https://www.irs.gov/pub/irs-tege/atg_fundraising.pdf</w:t>
        </w:r>
      </w:hyperlink>
      <w:r w:rsidDel="00000000" w:rsidR="00000000" w:rsidRPr="00000000">
        <w:rPr>
          <w:sz w:val="20"/>
          <w:szCs w:val="20"/>
          <w:rtl w:val="0"/>
        </w:rPr>
        <w:t xml:space="preserve">. This is in any case irrelevant, because blind people are not obligated to only ever get items at cost (that would be essentially impossible in a capitalist economy), nor are they obligated to never make money for themselves, nor is any such consideration contemplated by the UPC or MCS as to blind mail.</w:t>
      </w:r>
      <w:r w:rsidDel="00000000" w:rsidR="00000000" w:rsidRPr="00000000">
        <w:rPr>
          <w:rtl w:val="0"/>
        </w:rPr>
      </w:r>
    </w:p>
  </w:footnote>
  <w:footnote w:id="18">
    <w:p w:rsidR="00000000" w:rsidDel="00000000" w:rsidP="00000000" w:rsidRDefault="00000000" w:rsidRPr="00000000" w14:paraId="0000004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It did make a Prot. Art. R XXVI reservation as to controlled substances as defined in 21 C.F.R. § 1308, but that's irrelevant.</w:t>
      </w:r>
    </w:p>
  </w:footnote>
  <w:footnote w:id="12">
    <w:p w:rsidR="00000000" w:rsidDel="00000000" w:rsidP="00000000" w:rsidRDefault="00000000" w:rsidRPr="00000000" w14:paraId="0000004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Quoting in full, verbatim:</w:t>
      </w:r>
    </w:p>
    <w:p w:rsidR="00000000" w:rsidDel="00000000" w:rsidP="00000000" w:rsidRDefault="00000000" w:rsidRPr="00000000" w14:paraId="00000049">
      <w:pPr>
        <w:spacing w:after="0" w:line="240" w:lineRule="auto"/>
        <w:rPr>
          <w:sz w:val="20"/>
          <w:szCs w:val="20"/>
        </w:rPr>
      </w:pPr>
      <w:r w:rsidDel="00000000" w:rsidR="00000000" w:rsidRPr="00000000">
        <w:rPr>
          <w:sz w:val="20"/>
          <w:szCs w:val="20"/>
          <w:rtl w:val="0"/>
        </w:rPr>
        <w:t xml:space="preserve">“Article RL 155</w:t>
      </w:r>
    </w:p>
    <w:p w:rsidR="00000000" w:rsidDel="00000000" w:rsidP="00000000" w:rsidRDefault="00000000" w:rsidRPr="00000000" w14:paraId="0000004A">
      <w:pPr>
        <w:spacing w:after="0" w:line="240" w:lineRule="auto"/>
        <w:rPr>
          <w:sz w:val="20"/>
          <w:szCs w:val="20"/>
        </w:rPr>
      </w:pPr>
      <w:r w:rsidDel="00000000" w:rsidR="00000000" w:rsidRPr="00000000">
        <w:rPr>
          <w:sz w:val="20"/>
          <w:szCs w:val="20"/>
          <w:rtl w:val="0"/>
        </w:rPr>
        <w:t xml:space="preserve">Inquiries concerning items posted in another country</w:t>
      </w:r>
    </w:p>
    <w:p w:rsidR="00000000" w:rsidDel="00000000" w:rsidP="00000000" w:rsidRDefault="00000000" w:rsidRPr="00000000" w14:paraId="0000004B">
      <w:pPr>
        <w:spacing w:after="0" w:line="240" w:lineRule="auto"/>
        <w:rPr>
          <w:sz w:val="20"/>
          <w:szCs w:val="20"/>
        </w:rPr>
      </w:pPr>
      <w:r w:rsidDel="00000000" w:rsidR="00000000" w:rsidRPr="00000000">
        <w:rPr>
          <w:sz w:val="20"/>
          <w:szCs w:val="20"/>
          <w:rtl w:val="0"/>
        </w:rPr>
        <w:t xml:space="preserve">1 If the inquiry concerns an item posted in another country, the CN 08 form shall be forwarded to the central administration or the specially appointed office of the designated operator of origin of the item. The certificate of posting must be produced but shall not be attached to the CN 08 form. The latter shall be endorsed “Vu récépissé de dépôt No … délivré le … par le bureau de …”. (Seen, certificate of posting No … issued on … by the office of …).</w:t>
      </w:r>
    </w:p>
    <w:p w:rsidR="00000000" w:rsidDel="00000000" w:rsidP="00000000" w:rsidRDefault="00000000" w:rsidRPr="00000000" w14:paraId="0000004C">
      <w:pPr>
        <w:spacing w:after="0" w:line="240" w:lineRule="auto"/>
        <w:rPr>
          <w:sz w:val="20"/>
          <w:szCs w:val="20"/>
        </w:rPr>
      </w:pPr>
      <w:r w:rsidDel="00000000" w:rsidR="00000000" w:rsidRPr="00000000">
        <w:rPr>
          <w:sz w:val="20"/>
          <w:szCs w:val="20"/>
          <w:rtl w:val="0"/>
        </w:rPr>
        <w:t xml:space="preserve">2 The form must reach the designated operator of origin within the period prescribed for the retention of documents.</w:t>
      </w:r>
    </w:p>
    <w:p w:rsidR="00000000" w:rsidDel="00000000" w:rsidP="00000000" w:rsidRDefault="00000000" w:rsidRPr="00000000" w14:paraId="0000004D">
      <w:pPr>
        <w:spacing w:after="0" w:line="240" w:lineRule="auto"/>
        <w:rPr>
          <w:sz w:val="20"/>
          <w:szCs w:val="20"/>
        </w:rPr>
      </w:pPr>
      <w:r w:rsidDel="00000000" w:rsidR="00000000" w:rsidRPr="00000000">
        <w:rPr>
          <w:sz w:val="20"/>
          <w:szCs w:val="20"/>
          <w:rtl w:val="0"/>
        </w:rPr>
        <w:t xml:space="preserve"> Commentary</w:t>
      </w:r>
    </w:p>
    <w:p w:rsidR="00000000" w:rsidDel="00000000" w:rsidP="00000000" w:rsidRDefault="00000000" w:rsidRPr="00000000" w14:paraId="0000004E">
      <w:pPr>
        <w:spacing w:after="0" w:line="240" w:lineRule="auto"/>
        <w:rPr>
          <w:sz w:val="20"/>
          <w:szCs w:val="20"/>
        </w:rPr>
      </w:pPr>
      <w:r w:rsidDel="00000000" w:rsidR="00000000" w:rsidRPr="00000000">
        <w:rPr>
          <w:sz w:val="20"/>
          <w:szCs w:val="20"/>
          <w:rtl w:val="0"/>
        </w:rPr>
        <w:t xml:space="preserve">155.1 Any information about the address to which inquiries must be sent is published in the Letter Post  Compendium.</w:t>
      </w:r>
    </w:p>
    <w:p w:rsidR="00000000" w:rsidDel="00000000" w:rsidP="00000000" w:rsidRDefault="00000000" w:rsidRPr="00000000" w14:paraId="0000004F">
      <w:pPr>
        <w:spacing w:after="0" w:line="240" w:lineRule="auto"/>
        <w:rPr>
          <w:sz w:val="20"/>
          <w:szCs w:val="20"/>
        </w:rPr>
      </w:pPr>
      <w:r w:rsidDel="00000000" w:rsidR="00000000" w:rsidRPr="00000000">
        <w:rPr>
          <w:sz w:val="20"/>
          <w:szCs w:val="20"/>
          <w:rtl w:val="0"/>
        </w:rPr>
        <w:t xml:space="preserve">Since the certificate of posting is the only document proving that the item really has been posted, it must  be kept by the sender.”</w:t>
      </w:r>
    </w:p>
  </w:footnote>
  <w:footnote w:id="14">
    <w:p w:rsidR="00000000" w:rsidDel="00000000" w:rsidP="00000000" w:rsidRDefault="00000000" w:rsidRPr="00000000" w14:paraId="0000005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Quoting ¶ 4 in full, verbatim (n.b. ¶ 4 has no commentary):</w:t>
      </w:r>
    </w:p>
    <w:p w:rsidR="00000000" w:rsidDel="00000000" w:rsidP="00000000" w:rsidRDefault="00000000" w:rsidRPr="00000000" w14:paraId="00000051">
      <w:pPr>
        <w:spacing w:after="0" w:line="240" w:lineRule="auto"/>
        <w:rPr>
          <w:sz w:val="20"/>
          <w:szCs w:val="20"/>
        </w:rPr>
      </w:pPr>
      <w:r w:rsidDel="00000000" w:rsidR="00000000" w:rsidRPr="00000000">
        <w:rPr>
          <w:sz w:val="20"/>
          <w:szCs w:val="20"/>
          <w:rtl w:val="0"/>
        </w:rPr>
        <w:t xml:space="preserve">“4 Inquiries concerning items posted in another country </w:t>
      </w:r>
    </w:p>
    <w:p w:rsidR="00000000" w:rsidDel="00000000" w:rsidP="00000000" w:rsidRDefault="00000000" w:rsidRPr="00000000" w14:paraId="00000052">
      <w:pPr>
        <w:spacing w:after="0" w:line="240" w:lineRule="auto"/>
        <w:rPr>
          <w:sz w:val="20"/>
          <w:szCs w:val="20"/>
        </w:rPr>
      </w:pPr>
      <w:r w:rsidDel="00000000" w:rsidR="00000000" w:rsidRPr="00000000">
        <w:rPr>
          <w:sz w:val="20"/>
          <w:szCs w:val="20"/>
          <w:rtl w:val="0"/>
        </w:rPr>
        <w:t xml:space="preserve">4.1 If the inquiry concerns an item posted in another country, the CN 08 form shall be forwarded to the designated operator or the specially appointed office of the designated operator of origin of the item. It shall reach it within the period prescribed for the retention of documents. The certificate of posting must be produced but shall not be attached to the CN 08 form. The latter shall be endorsed “Vu récépissé de dépôt No … le … par le bureau de …”. (Seen, certificate of posting No. … issued on … by the office of …).”</w:t>
      </w:r>
    </w:p>
  </w:footnote>
  <w:footnote w:id="15">
    <w:p w:rsidR="00000000" w:rsidDel="00000000" w:rsidP="00000000" w:rsidRDefault="00000000" w:rsidRPr="00000000" w14:paraId="0000005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5 U.S.C. § 552(a)(1)(after E) &amp; (a)(2)(after E); 39 U.S.C. § 410(b)(1). </w:t>
      </w:r>
      <w:r w:rsidDel="00000000" w:rsidR="00000000" w:rsidRPr="00000000">
        <w:rPr>
          <w:i w:val="1"/>
          <w:sz w:val="20"/>
          <w:szCs w:val="20"/>
          <w:rtl w:val="0"/>
        </w:rPr>
        <w:t xml:space="preserve">See also</w:t>
      </w:r>
      <w:r w:rsidDel="00000000" w:rsidR="00000000" w:rsidRPr="00000000">
        <w:rPr>
          <w:sz w:val="20"/>
          <w:szCs w:val="20"/>
          <w:rtl w:val="0"/>
        </w:rPr>
        <w:t xml:space="preserve"> complaint, p. 20 n. 59.</w:t>
      </w:r>
    </w:p>
  </w:footnote>
  <w:footnote w:id="19">
    <w:p w:rsidR="00000000" w:rsidDel="00000000" w:rsidP="00000000" w:rsidRDefault="00000000" w:rsidRPr="00000000" w14:paraId="0000005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See</w:t>
      </w:r>
      <w:r w:rsidDel="00000000" w:rsidR="00000000" w:rsidRPr="00000000">
        <w:rPr>
          <w:sz w:val="20"/>
          <w:szCs w:val="20"/>
          <w:rtl w:val="0"/>
        </w:rPr>
        <w:t xml:space="preserve"> complaint, p. 16 n. 45 &amp; 47, p. 23 n. 69, p. 24 n. 70, and p 26 n. 79 &amp; 80.</w:t>
      </w:r>
    </w:p>
  </w:footnote>
  <w:footnote w:id="9">
    <w:p w:rsidR="00000000" w:rsidDel="00000000" w:rsidP="00000000" w:rsidRDefault="00000000" w:rsidRPr="00000000" w14:paraId="0000005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Cane tips wear out regularly. It depends on materials, usage frequency, ground texture, tolerance for degraded quality, etc., but in my experience, the lifespan of an everyday use cane tip is between 1 month and 1 year. The lifespan of a cane is several years. Canes and tips have a wide range of variety and corresponding usages; personally, I regularly use about 4 different canes and 4 different tips.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10800"/>
      </w:tabs>
      <w:spacing w:after="0" w:before="200" w:line="240" w:lineRule="auto"/>
      <w:jc w:val="left"/>
      <w:rPr/>
    </w:pPr>
    <w:r w:rsidDel="00000000" w:rsidR="00000000" w:rsidRPr="00000000">
      <w:rPr>
        <w:rtl w:val="0"/>
      </w:rPr>
      <w:t xml:space="preserve">PRC Complaint re blind mail — errata &amp; addenda</w:t>
    </w:r>
    <w:r w:rsidDel="00000000" w:rsidR="00000000" w:rsidRPr="00000000">
      <w:rPr>
        <w:rFonts w:ascii="Garamond" w:cs="Garamond" w:eastAsia="Garamond" w:hAnsi="Garamond"/>
        <w:rtl w:val="0"/>
      </w:rPr>
      <w:tab/>
    </w: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widowControl w:val="0"/>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0"/>
      <w:spacing w:after="120" w:before="480" w:lineRule="auto"/>
    </w:pPr>
    <w:rPr>
      <w:b w:val="1"/>
      <w:sz w:val="36"/>
      <w:szCs w:val="36"/>
    </w:rPr>
  </w:style>
  <w:style w:type="paragraph" w:styleId="Heading2">
    <w:name w:val="heading 2"/>
    <w:basedOn w:val="Normal"/>
    <w:next w:val="Normal"/>
    <w:pPr>
      <w:keepNext w:val="0"/>
      <w:keepLines w:val="0"/>
      <w:pageBreakBefore w:val="0"/>
      <w:widowControl w:val="0"/>
      <w:spacing w:after="200" w:before="360" w:lineRule="auto"/>
    </w:pPr>
    <w:rPr>
      <w:b w:val="1"/>
      <w:sz w:val="24"/>
      <w:szCs w:val="24"/>
    </w:rPr>
  </w:style>
  <w:style w:type="paragraph" w:styleId="Heading3">
    <w:name w:val="heading 3"/>
    <w:basedOn w:val="Normal"/>
    <w:next w:val="Normal"/>
    <w:pPr>
      <w:keepNext w:val="0"/>
      <w:keepLines w:val="0"/>
      <w:pageBreakBefore w:val="0"/>
      <w:widowControl w:val="0"/>
      <w:spacing w:after="200" w:before="280" w:lineRule="auto"/>
    </w:pPr>
    <w:rPr>
      <w:b w:val="1"/>
    </w:rPr>
  </w:style>
  <w:style w:type="paragraph" w:styleId="Heading4">
    <w:name w:val="heading 4"/>
    <w:basedOn w:val="Normal"/>
    <w:next w:val="Normal"/>
    <w:pPr>
      <w:keepNext w:val="0"/>
      <w:keepLines w:val="0"/>
      <w:pageBreakBefore w:val="0"/>
      <w:widowControl w:val="0"/>
      <w:spacing w:after="40" w:before="240" w:lineRule="auto"/>
    </w:pPr>
    <w:rPr>
      <w:i w:val="1"/>
      <w:color w:val="666666"/>
      <w:sz w:val="22"/>
      <w:szCs w:val="22"/>
    </w:rPr>
  </w:style>
  <w:style w:type="paragraph" w:styleId="Heading5">
    <w:name w:val="heading 5"/>
    <w:basedOn w:val="Normal"/>
    <w:next w:val="Normal"/>
    <w:pPr>
      <w:keepNext w:val="0"/>
      <w:keepLines w:val="0"/>
      <w:pageBreakBefore w:val="0"/>
      <w:widowControl w:val="0"/>
      <w:spacing w:after="40" w:before="220" w:lineRule="auto"/>
    </w:pPr>
    <w:rPr>
      <w:b w:val="1"/>
      <w:color w:val="666666"/>
      <w:sz w:val="20"/>
      <w:szCs w:val="20"/>
    </w:rPr>
  </w:style>
  <w:style w:type="paragraph" w:styleId="Heading6">
    <w:name w:val="heading 6"/>
    <w:basedOn w:val="Normal"/>
    <w:next w:val="Normal"/>
    <w:pPr>
      <w:keepNext w:val="0"/>
      <w:keepLines w:val="0"/>
      <w:pageBreakBefore w:val="0"/>
      <w:widowControl w:val="0"/>
      <w:spacing w:after="40" w:before="200" w:lineRule="auto"/>
    </w:pPr>
    <w:rPr>
      <w:i w:val="1"/>
      <w:color w:val="666666"/>
      <w:sz w:val="20"/>
      <w:szCs w:val="20"/>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upu.in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jcampbell.com/upu/index.htm" TargetMode="External"/><Relationship Id="rId2" Type="http://schemas.openxmlformats.org/officeDocument/2006/relationships/hyperlink" Target="https://www.upu.int/UPU/media/upu/files/aboutUpu/acts/03-actsConventionAndFinalProtocol/conventionAndFinalProtocolAdoptedAtAbidjanEn.pdf" TargetMode="External"/><Relationship Id="rId3" Type="http://schemas.openxmlformats.org/officeDocument/2006/relationships/hyperlink" Target="http://freecane.nfb.org/" TargetMode="External"/><Relationship Id="rId4" Type="http://schemas.openxmlformats.org/officeDocument/2006/relationships/hyperlink" Target="https://nfb.org/programs-services/free-white-cane-program" TargetMode="External"/><Relationship Id="rId11" Type="http://schemas.openxmlformats.org/officeDocument/2006/relationships/hyperlink" Target="https://www.irs.gov/pub/irs-tege/atg_fundraising.pdf" TargetMode="External"/><Relationship Id="rId10" Type="http://schemas.openxmlformats.org/officeDocument/2006/relationships/hyperlink" Target="https://nfb.org/sites/nfb.org/files/2024-02/FINAL-2023-Independence-Market-Catalog-for-Print-and-Braille%20(1).docx" TargetMode="External"/><Relationship Id="rId9" Type="http://schemas.openxmlformats.org/officeDocument/2006/relationships/hyperlink" Target="https://awarewolfgear.com/urban-xplorer" TargetMode="External"/><Relationship Id="rId5" Type="http://schemas.openxmlformats.org/officeDocument/2006/relationships/hyperlink" Target="https://nfb.org/programs-services/independence-market" TargetMode="External"/><Relationship Id="rId6" Type="http://schemas.openxmlformats.org/officeDocument/2006/relationships/hyperlink" Target="https://awarewolfgear.com/atc" TargetMode="External"/><Relationship Id="rId7" Type="http://schemas.openxmlformats.org/officeDocument/2006/relationships/hyperlink" Target="https://shop.rnib.org.uk/all-terrain-cane-94563" TargetMode="External"/><Relationship Id="rId8" Type="http://schemas.openxmlformats.org/officeDocument/2006/relationships/hyperlink" Target="https://awarewolfgear.com/cane-t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