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Save </w:t>
      </w:r>
      <w:r>
        <w:rPr>
          <w:b w:val="1"/>
          <w:bCs w:val="1"/>
          <w:sz w:val="36"/>
          <w:szCs w:val="36"/>
          <w:rtl w:val="0"/>
          <w:lang w:val="en-US"/>
        </w:rPr>
        <w:t>the Washington Talking Book and Braille Library (WTBBL)</w:t>
      </w:r>
    </w:p>
    <w:p>
      <w:pPr>
        <w:pStyle w:val="Body A"/>
        <w:jc w:val="center"/>
        <w:rPr>
          <w:b w:val="1"/>
          <w:bCs w:val="1"/>
          <w:sz w:val="36"/>
          <w:szCs w:val="36"/>
        </w:rPr>
      </w:pPr>
    </w:p>
    <w:p>
      <w:pPr>
        <w:pStyle w:val="Body A"/>
        <w:jc w:val="center"/>
        <w:rPr>
          <w:sz w:val="24"/>
          <w:szCs w:val="24"/>
        </w:rPr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Current budget request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:</w:t>
      </w: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The Office of the Secretary of state requested $6.7 million from the General Fund in the 2025-2027 biennium to sustain state-funded operations at the Washington State Library (Fund 14E)</w:t>
      </w:r>
      <w:r>
        <w:rPr>
          <w:rFonts w:ascii="Helvetica" w:hAnsi="Helvetica"/>
          <w:sz w:val="28"/>
          <w:szCs w:val="28"/>
          <w:rtl w:val="0"/>
          <w:lang w:val="en-US"/>
        </w:rPr>
        <w:t>.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The Washington Talking Book and Braille Library is a part of the Washington State Library.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This funding is critical to offset declining document recording fee revenue, which directly supports </w:t>
      </w:r>
      <w:r>
        <w:rPr>
          <w:rFonts w:ascii="Helvetica" w:hAnsi="Helvetica"/>
          <w:sz w:val="28"/>
          <w:szCs w:val="28"/>
          <w:rtl w:val="0"/>
          <w:lang w:val="en-US"/>
        </w:rPr>
        <w:t>l</w:t>
      </w:r>
      <w:r>
        <w:rPr>
          <w:rFonts w:ascii="Helvetica" w:hAnsi="Helvetica"/>
          <w:sz w:val="28"/>
          <w:szCs w:val="28"/>
          <w:rtl w:val="0"/>
          <w:lang w:val="en-US"/>
        </w:rPr>
        <w:t>ibrary operations.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The </w:t>
      </w:r>
      <w:r>
        <w:rPr>
          <w:rFonts w:ascii="Helvetica" w:hAnsi="Helvetica"/>
          <w:sz w:val="28"/>
          <w:szCs w:val="28"/>
          <w:rtl w:val="0"/>
          <w:lang w:val="en-US"/>
        </w:rPr>
        <w:t>House and Senate have adopted their  budgets. The amounts adopted are different but fall far short of what WTBBL needs to continue current levels of operation. Legislators are now negotiating a final budget.</w:t>
      </w: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</w:rPr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Who is served by the Washington Talking Book and Braille Library? 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An increasing number of older people experiencing vision loss, veterans, children and people living in rural areas for which it is a critical resource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Serving approximately patrons of all ages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blind, low vision, Deaf/Blind, individuals who have a reading disability and patrons with physical disabilities that make holding a book or turning a page difficult </w:t>
      </w:r>
    </w:p>
    <w:p>
      <w:pPr>
        <w:pStyle w:val="Default"/>
        <w:suppressAutoHyphens w:val="1"/>
        <w:spacing w:before="0" w:line="240" w:lineRule="auto"/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What does the Washington Talking Book and Braille Library offer?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Free access to information and reading material in alternate formats through the US Postal Service or through a downloadable app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Provides books and magazines in audio and braille and large print for young children and youth.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Offers access to families and schools, early literacy programs, braille literacy programs, technology and assistive technology training for all ages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Local production of books in audio and braille.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Accessible information including the Washington State Voters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’ </w:t>
      </w:r>
      <w:r>
        <w:rPr>
          <w:rFonts w:ascii="Helvetica" w:hAnsi="Helvetica"/>
          <w:sz w:val="28"/>
          <w:szCs w:val="28"/>
          <w:rtl w:val="0"/>
          <w:lang w:val="en-US"/>
        </w:rPr>
        <w:t>Pamphlet in audio and electronic formats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Programming including low vision resources and collaborative, educational youth programs</w:t>
      </w:r>
    </w:p>
    <w:p>
      <w:pPr>
        <w:pStyle w:val="Default"/>
        <w:numPr>
          <w:ilvl w:val="0"/>
          <w:numId w:val="2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Reader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’</w:t>
      </w:r>
      <w:r>
        <w:rPr>
          <w:rFonts w:ascii="Helvetica" w:hAnsi="Helvetica"/>
          <w:sz w:val="28"/>
          <w:szCs w:val="28"/>
          <w:rtl w:val="0"/>
          <w:lang w:val="en-US"/>
        </w:rPr>
        <w:t>s advisors and reference material</w:t>
      </w:r>
    </w:p>
    <w:p>
      <w:pPr>
        <w:pStyle w:val="Default"/>
        <w:suppressAutoHyphens w:val="1"/>
        <w:spacing w:before="0" w:line="240" w:lineRule="auto"/>
        <w:ind w:left="262" w:firstLine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The library is a critical resource for the increasing number of older people experiencing vision loss, students of all ages and people living in rural areas.</w:t>
      </w: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Without an increase in their budget allocation or full funding of their request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,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WTBBL services will be cut back and most likely result in:</w:t>
      </w:r>
    </w:p>
    <w:p>
      <w:pPr>
        <w:pStyle w:val="Default"/>
        <w:numPr>
          <w:ilvl w:val="0"/>
          <w:numId w:val="4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 staff layoffs</w:t>
      </w:r>
    </w:p>
    <w:p>
      <w:pPr>
        <w:pStyle w:val="Default"/>
        <w:numPr>
          <w:ilvl w:val="0"/>
          <w:numId w:val="4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potential closure to the public</w:t>
      </w:r>
    </w:p>
    <w:p>
      <w:pPr>
        <w:pStyle w:val="Default"/>
        <w:numPr>
          <w:ilvl w:val="0"/>
          <w:numId w:val="4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require appointment only access </w:t>
      </w:r>
    </w:p>
    <w:p>
      <w:pPr>
        <w:pStyle w:val="Default"/>
        <w:numPr>
          <w:ilvl w:val="0"/>
          <w:numId w:val="4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reduction in phone hours </w:t>
      </w:r>
    </w:p>
    <w:p>
      <w:pPr>
        <w:pStyle w:val="Default"/>
        <w:numPr>
          <w:ilvl w:val="0"/>
          <w:numId w:val="4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limited access to readers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’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advisors </w:t>
      </w:r>
    </w:p>
    <w:p>
      <w:pPr>
        <w:pStyle w:val="Default"/>
        <w:numPr>
          <w:ilvl w:val="0"/>
          <w:numId w:val="4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limited assistance with technology and download support </w:t>
      </w:r>
    </w:p>
    <w:p>
      <w:pPr>
        <w:pStyle w:val="Default"/>
        <w:numPr>
          <w:ilvl w:val="0"/>
          <w:numId w:val="4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reduction in the production of local braille and audio books</w:t>
      </w:r>
    </w:p>
    <w:p>
      <w:pPr>
        <w:pStyle w:val="Default"/>
        <w:numPr>
          <w:ilvl w:val="0"/>
          <w:numId w:val="4"/>
        </w:numPr>
        <w:suppressAutoHyphens w:val="1"/>
        <w:bidi w:val="0"/>
        <w:spacing w:before="0" w:line="240" w:lineRule="auto"/>
        <w:ind w:right="0"/>
        <w:jc w:val="left"/>
        <w:rPr>
          <w:rFonts w:ascii="Helvetica" w:hAnsi="Helvetica"/>
          <w:sz w:val="28"/>
          <w:szCs w:val="28"/>
          <w:rtl w:val="0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potential slowdown in the speed of circulation of library materials. </w:t>
      </w: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sz w:val="36"/>
          <w:szCs w:val="36"/>
        </w:rPr>
      </w:pPr>
    </w:p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This document was prepared jointly by the National Federation of the Blind of Washington and the Washington Council of the Blind</w:t>
      </w:r>
    </w:p>
    <w:p>
      <w:pPr>
        <w:pStyle w:val="Body A"/>
        <w:jc w:val="center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 more information, contact: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Marci Carpenter, President, National Federation of the Blind of Washington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phone: 206-604-5507, Email: </w:t>
      </w:r>
      <w:r>
        <w:rPr>
          <w:b w:val="1"/>
          <w:bCs w:val="1"/>
          <w:sz w:val="24"/>
          <w:szCs w:val="24"/>
          <w:rtl w:val="0"/>
          <w:lang w:val="en-US"/>
        </w:rPr>
        <w:t>mjc59@comcast.net</w:t>
      </w:r>
    </w:p>
    <w:p>
      <w:pPr>
        <w:pStyle w:val="Body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or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Andy Arvidson, President, Washington Council of the Blind</w:t>
      </w:r>
    </w:p>
    <w:p>
      <w:pPr>
        <w:pStyle w:val="Body A"/>
      </w:pPr>
      <w:r>
        <w:rPr>
          <w:b w:val="1"/>
          <w:bCs w:val="1"/>
          <w:sz w:val="24"/>
          <w:szCs w:val="24"/>
          <w:rtl w:val="0"/>
          <w:lang w:val="en-US"/>
        </w:rPr>
        <w:t>Phone: 425-218-1090, Email: arvidsonandy@gmail.com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*"/>
      <w:lvlJc w:val="left"/>
      <w:pPr>
        <w:ind w:left="2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4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62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8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8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1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34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52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70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Imported Style 1">
    <w:name w:val="Imported Style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