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543" w14:textId="77777777" w:rsidR="008E6D2B" w:rsidRDefault="0065670D" w:rsidP="0065670D">
      <w:r>
        <w:rPr>
          <w:noProof/>
        </w:rPr>
        <w:drawing>
          <wp:inline distT="0" distB="0" distL="0" distR="0" wp14:anchorId="31573E61" wp14:editId="7B00E4F4">
            <wp:extent cx="827492" cy="476250"/>
            <wp:effectExtent l="0" t="0" r="0" b="0"/>
            <wp:docPr id="3" name="Picture 3" descr="Ab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lr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937" cy="482837"/>
                    </a:xfrm>
                    <a:prstGeom prst="rect">
                      <a:avLst/>
                    </a:prstGeom>
                  </pic:spPr>
                </pic:pic>
              </a:graphicData>
            </a:graphic>
          </wp:inline>
        </w:drawing>
      </w:r>
    </w:p>
    <w:p w14:paraId="3FFBAE05" w14:textId="5A0B4ABE" w:rsidR="00374483" w:rsidRDefault="00126806" w:rsidP="00374483">
      <w:pPr>
        <w:pStyle w:val="Heading1"/>
      </w:pPr>
      <w:r>
        <w:t>Ablr Works Adult Programs Overview</w:t>
      </w:r>
    </w:p>
    <w:p w14:paraId="5DFF6FC5" w14:textId="6289D2D8" w:rsidR="00126806" w:rsidRDefault="00126806" w:rsidP="00126806">
      <w:r w:rsidRPr="001A23C0">
        <w:t xml:space="preserve">One of </w:t>
      </w:r>
      <w:proofErr w:type="spellStart"/>
      <w:r w:rsidRPr="001A23C0">
        <w:t>Ablr’s</w:t>
      </w:r>
      <w:proofErr w:type="spellEnd"/>
      <w:r w:rsidRPr="001A23C0">
        <w:t xml:space="preserve"> primary goals is to help people with disabilities acquire the skills </w:t>
      </w:r>
      <w:r>
        <w:t xml:space="preserve">and knowledge </w:t>
      </w:r>
      <w:r w:rsidRPr="001A23C0">
        <w:t>they need to join or advance in the workforce.</w:t>
      </w:r>
      <w:r>
        <w:t xml:space="preserve"> Ablr Works creates</w:t>
      </w:r>
      <w:r w:rsidRPr="00DC4783">
        <w:t xml:space="preserve"> pathways </w:t>
      </w:r>
      <w:r>
        <w:t>to</w:t>
      </w:r>
      <w:r w:rsidRPr="00DC4783">
        <w:t xml:space="preserve"> employment </w:t>
      </w:r>
      <w:r>
        <w:t>by identifying, training, and deploying people with disabilities. We</w:t>
      </w:r>
      <w:r w:rsidRPr="00DC4783">
        <w:t xml:space="preserve"> </w:t>
      </w:r>
      <w:r>
        <w:t>open doors for career mobility</w:t>
      </w:r>
      <w:r w:rsidRPr="00DC4783">
        <w:t xml:space="preserve"> through innovative and tailored programs, </w:t>
      </w:r>
      <w:r>
        <w:t>which increase</w:t>
      </w:r>
      <w:r w:rsidRPr="00DC4783">
        <w:t xml:space="preserve"> technical skills, networking connections, and hands-on experience in desired technology-</w:t>
      </w:r>
      <w:r>
        <w:t>related</w:t>
      </w:r>
      <w:r w:rsidRPr="00DC4783">
        <w:t xml:space="preserve"> fields. Our programs combine a focus on soft skills and technical competencies, leading to higher employment attainment, retention, and promotion.</w:t>
      </w:r>
      <w:r>
        <w:t xml:space="preserve"> </w:t>
      </w:r>
    </w:p>
    <w:p w14:paraId="2B6FC9B6" w14:textId="73D91172" w:rsidR="00126806" w:rsidRPr="00DC4783" w:rsidRDefault="00126806" w:rsidP="00126806">
      <w:pPr>
        <w:rPr>
          <w:b/>
          <w:bCs/>
          <w:i/>
          <w:iCs/>
        </w:rPr>
      </w:pPr>
      <w:r>
        <w:rPr>
          <w:b/>
          <w:bCs/>
          <w:i/>
          <w:iCs/>
        </w:rPr>
        <w:t>We are proud to say that 57</w:t>
      </w:r>
      <w:r w:rsidRPr="00B178E6">
        <w:rPr>
          <w:b/>
          <w:bCs/>
          <w:i/>
          <w:iCs/>
        </w:rPr>
        <w:t>% of</w:t>
      </w:r>
      <w:r>
        <w:rPr>
          <w:b/>
          <w:bCs/>
          <w:i/>
          <w:iCs/>
        </w:rPr>
        <w:t xml:space="preserve"> Ablr Works</w:t>
      </w:r>
      <w:r w:rsidRPr="00B178E6">
        <w:rPr>
          <w:b/>
          <w:bCs/>
          <w:i/>
          <w:iCs/>
        </w:rPr>
        <w:t xml:space="preserve"> candidates find meaningful employment within </w:t>
      </w:r>
      <w:r>
        <w:rPr>
          <w:b/>
          <w:bCs/>
          <w:i/>
          <w:iCs/>
        </w:rPr>
        <w:t>9</w:t>
      </w:r>
      <w:r w:rsidRPr="00B178E6">
        <w:rPr>
          <w:b/>
          <w:bCs/>
          <w:i/>
          <w:iCs/>
        </w:rPr>
        <w:t>0 days of program completion.</w:t>
      </w:r>
    </w:p>
    <w:p w14:paraId="14202C7C" w14:textId="524C1E41" w:rsidR="00374483" w:rsidRDefault="00126806" w:rsidP="00126806">
      <w:pPr>
        <w:pStyle w:val="Heading2"/>
      </w:pPr>
      <w:r>
        <w:t>Program Features</w:t>
      </w:r>
    </w:p>
    <w:p w14:paraId="01473E8E" w14:textId="5099F6FB" w:rsidR="00126806" w:rsidRDefault="00126806" w:rsidP="00126806">
      <w:pPr>
        <w:pStyle w:val="Heading3"/>
      </w:pPr>
      <w:r>
        <w:t>Fully Remote Program</w:t>
      </w:r>
    </w:p>
    <w:p w14:paraId="78CF0A5D" w14:textId="64E68DBF" w:rsidR="00126806" w:rsidRDefault="00126806" w:rsidP="00126806">
      <w:r>
        <w:t xml:space="preserve">Ablr Works was intentionally designed to be a fully virtual experience. We provide a mix of synchronous instruction via video conferencing platforms, and asynchronous independent work via learning management systems. No matter where you are, you can participate in Ablr Works with just a computer and an internet connection. </w:t>
      </w:r>
    </w:p>
    <w:p w14:paraId="44510033" w14:textId="282812B5" w:rsidR="00126806" w:rsidRDefault="00126806" w:rsidP="00126806">
      <w:pPr>
        <w:pStyle w:val="Heading3"/>
      </w:pPr>
      <w:r>
        <w:t>Technical Skills Growth</w:t>
      </w:r>
    </w:p>
    <w:p w14:paraId="723411D4" w14:textId="4F2B16BA" w:rsidR="00126806" w:rsidRDefault="00126806" w:rsidP="00126806">
      <w:r>
        <w:t>W</w:t>
      </w:r>
      <w:r w:rsidRPr="0016614D">
        <w:t>e prioritize empowering participants with the technical skills needed to thrive in today's competitive job market. Through our comprehensive curricu</w:t>
      </w:r>
      <w:r>
        <w:t>la</w:t>
      </w:r>
      <w:r w:rsidRPr="0016614D">
        <w:t>, individuals acquire proficiency in essential tools and technologies, ensuring they are well-equipped for success in technology-related fields.</w:t>
      </w:r>
      <w:r>
        <w:t xml:space="preserve"> Each career-specific pathway leads to the ability to </w:t>
      </w:r>
      <w:proofErr w:type="gramStart"/>
      <w:r>
        <w:t>sit for</w:t>
      </w:r>
      <w:proofErr w:type="gramEnd"/>
      <w:r>
        <w:t xml:space="preserve"> nationally and internationally recognized certification exams.</w:t>
      </w:r>
    </w:p>
    <w:p w14:paraId="64B27CDC" w14:textId="5DA1D5CF" w:rsidR="00126806" w:rsidRDefault="00126806" w:rsidP="00126806">
      <w:pPr>
        <w:pStyle w:val="Heading3"/>
      </w:pPr>
      <w:r>
        <w:t>Professional Development</w:t>
      </w:r>
    </w:p>
    <w:p w14:paraId="6A51E44C" w14:textId="1C056146" w:rsidR="00126806" w:rsidRDefault="00126806" w:rsidP="00126806">
      <w:r w:rsidRPr="0016614D">
        <w:t xml:space="preserve">Ablr Works places a strong emphasis on professional development, encompassing both soft skills and networking connections. Participants engage in activities designed to enhance communication, teamwork, and leadership </w:t>
      </w:r>
      <w:r w:rsidRPr="0016614D">
        <w:lastRenderedPageBreak/>
        <w:t>abilities, while also forging valuable connections within the industry, setting the stage for long-term career growth and success.</w:t>
      </w:r>
    </w:p>
    <w:p w14:paraId="1E6024ED" w14:textId="4BB44A7C" w:rsidR="00126806" w:rsidRDefault="00126806" w:rsidP="00126806">
      <w:pPr>
        <w:pStyle w:val="Heading3"/>
      </w:pPr>
      <w:r>
        <w:t>Hands-On Experience</w:t>
      </w:r>
    </w:p>
    <w:p w14:paraId="62ECB150" w14:textId="40CF1B5A" w:rsidR="00126806" w:rsidRDefault="00126806" w:rsidP="00126806">
      <w:r w:rsidRPr="0016614D">
        <w:t xml:space="preserve">Training meets practice through our </w:t>
      </w:r>
      <w:r w:rsidR="00367594">
        <w:t>i</w:t>
      </w:r>
      <w:r w:rsidRPr="0016614D">
        <w:t>mmersive hands-on experience component</w:t>
      </w:r>
      <w:r>
        <w:t xml:space="preserve"> of the Ablr Works program</w:t>
      </w:r>
      <w:r w:rsidRPr="0016614D">
        <w:t>. Participants apply their newly</w:t>
      </w:r>
      <w:r>
        <w:t xml:space="preserve"> acquired</w:t>
      </w:r>
      <w:r w:rsidRPr="0016614D">
        <w:t xml:space="preserve"> skills in real-world scenarios, gaining invaluable practical experience that sets them apart in the job market. From project-based learning</w:t>
      </w:r>
      <w:r>
        <w:t xml:space="preserve"> to a paid internship</w:t>
      </w:r>
      <w:r w:rsidRPr="0016614D">
        <w:t>, our program ensures individuals are ready to hit the ground running in their chosen career path</w:t>
      </w:r>
      <w:r>
        <w:t>, with relevant experience on their resume.</w:t>
      </w:r>
    </w:p>
    <w:p w14:paraId="300596FD" w14:textId="77777777" w:rsidR="00126806" w:rsidRDefault="00126806" w:rsidP="00126806">
      <w:pPr>
        <w:pStyle w:val="Heading2"/>
      </w:pPr>
      <w:r w:rsidRPr="00126806">
        <w:t>Program Structure</w:t>
      </w:r>
    </w:p>
    <w:p w14:paraId="0649E77D" w14:textId="5CF47119" w:rsidR="00126806" w:rsidRPr="00126806" w:rsidRDefault="00126806" w:rsidP="00126806">
      <w:r>
        <w:t>The Ablr Works program is broken into 4 key stages: Assess, Elevate, Experience, and Work.</w:t>
      </w:r>
    </w:p>
    <w:p w14:paraId="617E3263" w14:textId="77777777" w:rsidR="00126806" w:rsidRPr="00126806" w:rsidRDefault="00126806" w:rsidP="00126806">
      <w:pPr>
        <w:pStyle w:val="Heading3"/>
      </w:pPr>
      <w:r w:rsidRPr="00126806">
        <w:t>Assess</w:t>
      </w:r>
    </w:p>
    <w:p w14:paraId="415FEEEF" w14:textId="77777777" w:rsidR="00126806" w:rsidRPr="00126806" w:rsidRDefault="00126806" w:rsidP="00126806">
      <w:r w:rsidRPr="00126806">
        <w:t>Applying to Ablr Works is the first step towards unlocking a world of opportunities. Our application process is designed to be accessible and inclusive, welcoming individuals from diverse backgrounds and experiences. We believe in a holistic review approach, considering technical skills, professionalism, personal attributes, motivation towards employment, and potential for growth. Our thorough assessment process ensures that each candidate is carefully evaluated, paving the way for a learning journey that meets their unique needs and aspirations.</w:t>
      </w:r>
    </w:p>
    <w:p w14:paraId="185E210A" w14:textId="77777777" w:rsidR="00126806" w:rsidRPr="00126806" w:rsidRDefault="00126806" w:rsidP="00126806">
      <w:pPr>
        <w:pStyle w:val="Heading4"/>
      </w:pPr>
      <w:r w:rsidRPr="00126806">
        <w:t>Prerequisites:</w:t>
      </w:r>
    </w:p>
    <w:p w14:paraId="6E264AC8" w14:textId="77777777" w:rsidR="00126806" w:rsidRPr="00126806" w:rsidRDefault="00126806" w:rsidP="00126806">
      <w:pPr>
        <w:numPr>
          <w:ilvl w:val="0"/>
          <w:numId w:val="26"/>
        </w:numPr>
      </w:pPr>
      <w:r w:rsidRPr="00126806">
        <w:t>Ability to touch-type on a keyboard with accuracy.</w:t>
      </w:r>
    </w:p>
    <w:p w14:paraId="4E0FC5CE" w14:textId="77777777" w:rsidR="00126806" w:rsidRPr="00126806" w:rsidRDefault="00126806" w:rsidP="00126806">
      <w:pPr>
        <w:numPr>
          <w:ilvl w:val="0"/>
          <w:numId w:val="26"/>
        </w:numPr>
      </w:pPr>
      <w:r w:rsidRPr="00126806">
        <w:t>Proficiency in email communication.</w:t>
      </w:r>
    </w:p>
    <w:p w14:paraId="4E244015" w14:textId="77777777" w:rsidR="00126806" w:rsidRPr="00126806" w:rsidRDefault="00126806" w:rsidP="00126806">
      <w:pPr>
        <w:numPr>
          <w:ilvl w:val="0"/>
          <w:numId w:val="26"/>
        </w:numPr>
      </w:pPr>
      <w:r w:rsidRPr="00126806">
        <w:t xml:space="preserve">Ability to complete program </w:t>
      </w:r>
      <w:proofErr w:type="gramStart"/>
      <w:r w:rsidRPr="00126806">
        <w:t>application</w:t>
      </w:r>
      <w:proofErr w:type="gramEnd"/>
      <w:r w:rsidRPr="00126806">
        <w:t xml:space="preserve"> independently.</w:t>
      </w:r>
    </w:p>
    <w:p w14:paraId="5FBB5412" w14:textId="77777777" w:rsidR="00126806" w:rsidRPr="00126806" w:rsidRDefault="00126806" w:rsidP="00126806">
      <w:pPr>
        <w:numPr>
          <w:ilvl w:val="0"/>
          <w:numId w:val="26"/>
        </w:numPr>
      </w:pPr>
      <w:r w:rsidRPr="00126806">
        <w:t>Capability to join video conferencing calls from a computer.</w:t>
      </w:r>
    </w:p>
    <w:p w14:paraId="30952CB4" w14:textId="77777777" w:rsidR="00126806" w:rsidRPr="00126806" w:rsidRDefault="00126806" w:rsidP="00126806">
      <w:pPr>
        <w:pStyle w:val="Heading4"/>
      </w:pPr>
      <w:r w:rsidRPr="00126806">
        <w:t>Ideal Candidates:</w:t>
      </w:r>
    </w:p>
    <w:p w14:paraId="65E0BA06" w14:textId="77777777" w:rsidR="00126806" w:rsidRPr="00126806" w:rsidRDefault="00126806" w:rsidP="00126806">
      <w:pPr>
        <w:numPr>
          <w:ilvl w:val="0"/>
          <w:numId w:val="25"/>
        </w:numPr>
      </w:pPr>
      <w:r w:rsidRPr="00126806">
        <w:t>Committed to post-program employment.</w:t>
      </w:r>
    </w:p>
    <w:p w14:paraId="794D60B4" w14:textId="77777777" w:rsidR="00126806" w:rsidRPr="00126806" w:rsidRDefault="00126806" w:rsidP="00126806">
      <w:pPr>
        <w:numPr>
          <w:ilvl w:val="0"/>
          <w:numId w:val="25"/>
        </w:numPr>
      </w:pPr>
      <w:r w:rsidRPr="00126806">
        <w:lastRenderedPageBreak/>
        <w:t>Reliable time management and deadline adherence.</w:t>
      </w:r>
    </w:p>
    <w:p w14:paraId="2883C224" w14:textId="77777777" w:rsidR="00126806" w:rsidRPr="00126806" w:rsidRDefault="00126806" w:rsidP="00126806">
      <w:pPr>
        <w:numPr>
          <w:ilvl w:val="0"/>
          <w:numId w:val="25"/>
        </w:numPr>
      </w:pPr>
      <w:r w:rsidRPr="00126806">
        <w:t>Passionate about driving positive change.</w:t>
      </w:r>
    </w:p>
    <w:p w14:paraId="61BBB685" w14:textId="77777777" w:rsidR="00126806" w:rsidRPr="00126806" w:rsidRDefault="00126806" w:rsidP="00126806">
      <w:pPr>
        <w:numPr>
          <w:ilvl w:val="0"/>
          <w:numId w:val="25"/>
        </w:numPr>
      </w:pPr>
      <w:r w:rsidRPr="00126806">
        <w:t>Technologically savvy and coachable.</w:t>
      </w:r>
    </w:p>
    <w:p w14:paraId="7955E52E" w14:textId="79224BE0" w:rsidR="00126806" w:rsidRPr="00126806" w:rsidRDefault="00126806" w:rsidP="00126806">
      <w:pPr>
        <w:numPr>
          <w:ilvl w:val="0"/>
          <w:numId w:val="25"/>
        </w:numPr>
      </w:pPr>
      <w:r w:rsidRPr="00126806">
        <w:t xml:space="preserve">Enjoy </w:t>
      </w:r>
      <w:r w:rsidR="006C3230">
        <w:t xml:space="preserve">independent </w:t>
      </w:r>
      <w:r w:rsidRPr="00126806">
        <w:t>goal-oriented learning.</w:t>
      </w:r>
    </w:p>
    <w:p w14:paraId="6F45FFE2" w14:textId="77777777" w:rsidR="00126806" w:rsidRPr="00126806" w:rsidRDefault="00126806" w:rsidP="00126806">
      <w:pPr>
        <w:numPr>
          <w:ilvl w:val="0"/>
          <w:numId w:val="25"/>
        </w:numPr>
      </w:pPr>
      <w:r w:rsidRPr="00126806">
        <w:t>Strong communication skills.</w:t>
      </w:r>
    </w:p>
    <w:p w14:paraId="6B7669C6" w14:textId="77777777" w:rsidR="00126806" w:rsidRPr="00126806" w:rsidRDefault="00126806" w:rsidP="00126806">
      <w:pPr>
        <w:numPr>
          <w:ilvl w:val="0"/>
          <w:numId w:val="25"/>
        </w:numPr>
      </w:pPr>
      <w:r w:rsidRPr="00126806">
        <w:t>Open to feedback and growth.</w:t>
      </w:r>
    </w:p>
    <w:p w14:paraId="720EB19D" w14:textId="77777777" w:rsidR="00126806" w:rsidRDefault="00126806" w:rsidP="00126806">
      <w:pPr>
        <w:pStyle w:val="Heading3"/>
      </w:pPr>
      <w:r>
        <w:t>Elevate</w:t>
      </w:r>
    </w:p>
    <w:p w14:paraId="7D260D04" w14:textId="77777777" w:rsidR="00126806" w:rsidRDefault="00126806" w:rsidP="00126806">
      <w:pPr>
        <w:pStyle w:val="Heading4"/>
      </w:pPr>
      <w:r>
        <w:t>Technology Upskilling Training</w:t>
      </w:r>
    </w:p>
    <w:p w14:paraId="7BE4372F" w14:textId="73218E4C" w:rsidR="00126806" w:rsidRDefault="00126806" w:rsidP="00126806">
      <w:proofErr w:type="gramStart"/>
      <w:r>
        <w:t>Need</w:t>
      </w:r>
      <w:proofErr w:type="gramEnd"/>
      <w:r>
        <w:t xml:space="preserve"> to sharpen your skills first? The Technology Upskilling course is designed to elevate participants' proficiency in navigating computer systems using assistive technology. This course provides targeted instruction in essential areas such as video conferencing, assistive technology, general computer navigation, file management, internet browsing, email usage, Microsoft Word, and Microsoft Excel. While some candidates may advance to career training directly due to their assessment results, Technology Upskilling is also available as a standalone opportunity for those seeking to enhance their assistive technology skills without committing to subsequent milestones.</w:t>
      </w:r>
    </w:p>
    <w:p w14:paraId="38C0C6AD" w14:textId="2A39865C" w:rsidR="00126806" w:rsidRDefault="00126806" w:rsidP="00126806">
      <w:pPr>
        <w:pStyle w:val="Heading4"/>
      </w:pPr>
      <w:r>
        <w:t>Career-Specific Pathways</w:t>
      </w:r>
    </w:p>
    <w:p w14:paraId="5692B164" w14:textId="77777777" w:rsidR="00126806" w:rsidRDefault="00126806" w:rsidP="00126806">
      <w:r>
        <w:t>Ablr Works Career-Specific Pathways can provide candidates with the foundational technical and professional skillset necessary for their chosen career pathway. Each pathway programs tr</w:t>
      </w:r>
      <w:r w:rsidRPr="00394FA3">
        <w:t>ain</w:t>
      </w:r>
      <w:r>
        <w:t>s</w:t>
      </w:r>
      <w:r w:rsidRPr="00394FA3">
        <w:t xml:space="preserve"> c</w:t>
      </w:r>
      <w:r>
        <w:t>andidate</w:t>
      </w:r>
      <w:r w:rsidRPr="00394FA3">
        <w:t xml:space="preserve">s in </w:t>
      </w:r>
      <w:r>
        <w:t>the</w:t>
      </w:r>
      <w:r w:rsidRPr="00394FA3">
        <w:t xml:space="preserve"> knowledge base sufficient for sitting for nationally and internationally recognized certification</w:t>
      </w:r>
      <w:r>
        <w:t xml:space="preserve"> exams.</w:t>
      </w:r>
    </w:p>
    <w:p w14:paraId="69A027DF" w14:textId="77777777" w:rsidR="00126806" w:rsidRDefault="00126806" w:rsidP="00126806">
      <w:pPr>
        <w:pStyle w:val="Heading5"/>
      </w:pPr>
      <w:r>
        <w:t>Digital Accessibility</w:t>
      </w:r>
    </w:p>
    <w:p w14:paraId="40267A1E" w14:textId="77777777" w:rsidR="00126806" w:rsidRDefault="00126806" w:rsidP="00126806">
      <w:r w:rsidRPr="00365C6E">
        <w:t>Ablr Works</w:t>
      </w:r>
      <w:r>
        <w:t>’ flagship pathway, the Ablr Accessibility Analyst Course (A3C), provides you with the tools for entering a career in digital accessibility and related roles</w:t>
      </w:r>
      <w:r w:rsidRPr="00365C6E">
        <w:t>. As an Accessibility Analyst, you'll champion di</w:t>
      </w:r>
      <w:r>
        <w:t>sability</w:t>
      </w:r>
      <w:r w:rsidRPr="00365C6E">
        <w:t xml:space="preserve"> inclusion, ensuring equal access to websites, software, applications</w:t>
      </w:r>
      <w:r>
        <w:t>, and other digital content</w:t>
      </w:r>
      <w:r w:rsidRPr="00365C6E">
        <w:t xml:space="preserve"> for all users. </w:t>
      </w:r>
      <w:r>
        <w:t>Make</w:t>
      </w:r>
      <w:r w:rsidRPr="00365C6E">
        <w:t xml:space="preserve"> a meaningful impact by ensuring compliance with </w:t>
      </w:r>
      <w:r w:rsidRPr="00365C6E">
        <w:lastRenderedPageBreak/>
        <w:t>the Web Content Accessibility Guidelines (WCAG) and fostering a more inclusive digital landscape.</w:t>
      </w:r>
    </w:p>
    <w:p w14:paraId="4DEAFC0F" w14:textId="77777777" w:rsidR="00126806" w:rsidRDefault="00126806" w:rsidP="00126806">
      <w:pPr>
        <w:pStyle w:val="Heading5"/>
      </w:pPr>
      <w:r>
        <w:t>Customer Relationship Management (Salesforce)</w:t>
      </w:r>
    </w:p>
    <w:p w14:paraId="4AD4A6A3" w14:textId="77777777" w:rsidR="00126806" w:rsidRDefault="00126806" w:rsidP="00126806">
      <w:r w:rsidRPr="00E81141">
        <w:t>Join Ablr Works in partnership with the Blind Institute of Technology to become a</w:t>
      </w:r>
      <w:r>
        <w:t>n administrator of the world’s leading platform for customer relationship management (CRM), Salesforce</w:t>
      </w:r>
      <w:r w:rsidRPr="00E81141">
        <w:t>. With high demand for Salesforce Administrators worldwide, this pathway opens doors to dynamic opportunities in a rapidly growing field.</w:t>
      </w:r>
      <w:r>
        <w:t xml:space="preserve"> Y</w:t>
      </w:r>
      <w:r w:rsidRPr="008A0F7A">
        <w:t>ou'll leverage the Salesforce application to create dashboards</w:t>
      </w:r>
      <w:r>
        <w:t xml:space="preserve">, </w:t>
      </w:r>
      <w:r w:rsidRPr="008A0F7A">
        <w:t>update user profiles, generate reports, provide user training</w:t>
      </w:r>
      <w:r>
        <w:t xml:space="preserve">, and more, as you </w:t>
      </w:r>
      <w:r w:rsidRPr="008A0F7A">
        <w:t>make a lasting impact on client satisfaction and organizational success.</w:t>
      </w:r>
    </w:p>
    <w:p w14:paraId="19FB6803" w14:textId="77777777" w:rsidR="00126806" w:rsidRDefault="00126806" w:rsidP="00126806">
      <w:pPr>
        <w:pStyle w:val="Heading5"/>
      </w:pPr>
      <w:r>
        <w:t>IT Help Desk / Cybersecurity</w:t>
      </w:r>
    </w:p>
    <w:p w14:paraId="5CD1E9B2" w14:textId="77777777" w:rsidR="00126806" w:rsidRDefault="00126806" w:rsidP="00126806">
      <w:pPr>
        <w:rPr>
          <w:shd w:val="clear" w:color="auto" w:fill="FFFFFF"/>
        </w:rPr>
      </w:pPr>
      <w:r>
        <w:rPr>
          <w:shd w:val="clear" w:color="auto" w:fill="FFFFFF"/>
        </w:rPr>
        <w:t xml:space="preserve">Candidates who choose the IT Help Desk/Cybersecurity pathway will learn to manage network systems, troubleshoot technical issues, and defend against cyber threats. Build a strong foundation in digital security practices and problem-solving techniques and prepare for a dynamic career ensuring the safety and efficiency of digital infrastructures in a high-demand industry. </w:t>
      </w:r>
      <w:r>
        <w:t>Candidates completing this pathway can expect to qualify for roles like Tier 1 IT Help Desk, Network Administrator, Security Specialist, and more.</w:t>
      </w:r>
    </w:p>
    <w:p w14:paraId="76A6D4F4" w14:textId="77777777" w:rsidR="00126806" w:rsidRDefault="00126806" w:rsidP="00126806">
      <w:pPr>
        <w:pStyle w:val="Heading3"/>
      </w:pPr>
      <w:r>
        <w:t>Experience</w:t>
      </w:r>
    </w:p>
    <w:p w14:paraId="79449391" w14:textId="77777777" w:rsidR="00126806" w:rsidRPr="0016614D" w:rsidRDefault="00126806" w:rsidP="00126806">
      <w:r>
        <w:t xml:space="preserve">As part of the Ablr Works program, candidates gain </w:t>
      </w:r>
      <w:r w:rsidRPr="0060288A">
        <w:t xml:space="preserve">hands-on work experience to integrate and apply both soft and technical skills in </w:t>
      </w:r>
      <w:r>
        <w:t xml:space="preserve">remote work </w:t>
      </w:r>
      <w:r w:rsidRPr="0060288A">
        <w:t>settings. Spanning up to 24 weeks, this immersive</w:t>
      </w:r>
      <w:r>
        <w:t>, paid</w:t>
      </w:r>
      <w:r w:rsidRPr="0060288A">
        <w:t xml:space="preserve"> opportunity </w:t>
      </w:r>
      <w:r>
        <w:t xml:space="preserve">exposes participants </w:t>
      </w:r>
      <w:r w:rsidRPr="0060288A">
        <w:t>to industry practices</w:t>
      </w:r>
      <w:r>
        <w:t xml:space="preserve"> in their chosen pathway</w:t>
      </w:r>
      <w:r w:rsidRPr="0060288A">
        <w:t xml:space="preserve">. Interns develop critical competencies such as reliability, time management, </w:t>
      </w:r>
      <w:r>
        <w:t xml:space="preserve">and </w:t>
      </w:r>
      <w:r w:rsidRPr="0060288A">
        <w:t>effective communication with clients and colleagues. By working with leading companies, participants expand their professional networks, enhance their resumes, and gain practical insights to discuss during interviews. This experience significantly boosts their readiness to secure competitive, integrated employment in technology-related fields and beyond.</w:t>
      </w:r>
    </w:p>
    <w:p w14:paraId="3585244B" w14:textId="77777777" w:rsidR="00126806" w:rsidRDefault="00126806" w:rsidP="00126806">
      <w:pPr>
        <w:pStyle w:val="Heading3"/>
      </w:pPr>
      <w:r>
        <w:t>Work</w:t>
      </w:r>
    </w:p>
    <w:p w14:paraId="4FCE2F21" w14:textId="77777777" w:rsidR="00126806" w:rsidRPr="00E24D58" w:rsidRDefault="00126806" w:rsidP="00126806">
      <w:r>
        <w:t>After program completion, Ablr Works</w:t>
      </w:r>
      <w:r w:rsidRPr="00E24D58">
        <w:t xml:space="preserve"> </w:t>
      </w:r>
      <w:proofErr w:type="gramStart"/>
      <w:r w:rsidRPr="00E24D58">
        <w:t>is dedicated to providing</w:t>
      </w:r>
      <w:proofErr w:type="gramEnd"/>
      <w:r w:rsidRPr="00E24D58">
        <w:t xml:space="preserve"> comprehensive guidance and resources to help you secure </w:t>
      </w:r>
      <w:r>
        <w:t xml:space="preserve">a position </w:t>
      </w:r>
      <w:r w:rsidRPr="00E24D58">
        <w:t xml:space="preserve">and thrive in a fulfilling career. </w:t>
      </w:r>
      <w:r>
        <w:t>Participants</w:t>
      </w:r>
      <w:r w:rsidRPr="00E24D58">
        <w:t xml:space="preserve"> will benefit from frequent meetings with </w:t>
      </w:r>
      <w:r>
        <w:t xml:space="preserve">the </w:t>
      </w:r>
      <w:r w:rsidRPr="00E24D58">
        <w:t>Ablr</w:t>
      </w:r>
      <w:r>
        <w:t xml:space="preserve"> Works</w:t>
      </w:r>
      <w:r w:rsidRPr="00E24D58">
        <w:t xml:space="preserve"> </w:t>
      </w:r>
      <w:r>
        <w:t>staff</w:t>
      </w:r>
      <w:r w:rsidRPr="00E24D58">
        <w:t xml:space="preserve"> </w:t>
      </w:r>
      <w:r w:rsidRPr="00E24D58">
        <w:lastRenderedPageBreak/>
        <w:t>who will offer personalized coaching throughout the job search process from application to job offer. Candidates will have access to curated job postings, valuable resources, and alumni networking opportunities. Ablr actively engages with potential employers to highlight our programs and qualified candidates.</w:t>
      </w:r>
    </w:p>
    <w:p w14:paraId="33F2F5AE" w14:textId="77777777" w:rsidR="00126806" w:rsidRPr="00E24D58" w:rsidRDefault="00126806" w:rsidP="00126806">
      <w:r w:rsidRPr="00E24D58">
        <w:t xml:space="preserve">Even after securing employment, Ablr continues to support participants, ensuring a smooth transition into their new roles. We also provide employers with </w:t>
      </w:r>
      <w:r w:rsidRPr="009D093C">
        <w:t>resources for disability inclusion training and consulting services to foster an inclusive workplace.</w:t>
      </w:r>
    </w:p>
    <w:p w14:paraId="5189F2CC" w14:textId="28403A32" w:rsidR="00126806" w:rsidRDefault="007F0E6E" w:rsidP="00126806">
      <w:pPr>
        <w:pStyle w:val="Heading2"/>
      </w:pPr>
      <w:r>
        <w:t xml:space="preserve">How to </w:t>
      </w:r>
      <w:proofErr w:type="gramStart"/>
      <w:r>
        <w:t>refer</w:t>
      </w:r>
      <w:proofErr w:type="gramEnd"/>
      <w:r>
        <w:t xml:space="preserve"> a candidate! </w:t>
      </w:r>
    </w:p>
    <w:p w14:paraId="3DAA7E22" w14:textId="77777777" w:rsidR="00FB014A" w:rsidRPr="00E5026D" w:rsidRDefault="00FB014A" w:rsidP="00FB014A">
      <w:pPr>
        <w:numPr>
          <w:ilvl w:val="0"/>
          <w:numId w:val="27"/>
        </w:numPr>
        <w:spacing w:after="120"/>
      </w:pPr>
      <w:r w:rsidRPr="00E5026D">
        <w:t xml:space="preserve">Complete the </w:t>
      </w:r>
      <w:hyperlink r:id="rId12" w:history="1">
        <w:r w:rsidRPr="00E150CB">
          <w:rPr>
            <w:rStyle w:val="Hyperlink"/>
            <w:rFonts w:ascii="Century Gothic" w:hAnsi="Century Gothic"/>
          </w:rPr>
          <w:t>Ablr Works Adult Program Referral Form</w:t>
        </w:r>
      </w:hyperlink>
    </w:p>
    <w:p w14:paraId="50B5BEC9" w14:textId="77777777" w:rsidR="00FB014A" w:rsidRPr="00E5026D" w:rsidRDefault="00FB014A" w:rsidP="00FB014A">
      <w:pPr>
        <w:numPr>
          <w:ilvl w:val="0"/>
          <w:numId w:val="27"/>
        </w:numPr>
        <w:spacing w:after="120"/>
      </w:pPr>
      <w:r w:rsidRPr="00E5026D">
        <w:t xml:space="preserve">Ablr Works confirms receipt of referral. Prospective </w:t>
      </w:r>
      <w:r>
        <w:t>candidates</w:t>
      </w:r>
      <w:r w:rsidRPr="00E5026D">
        <w:t xml:space="preserve"> receive and complete a short program application</w:t>
      </w:r>
      <w:r>
        <w:t xml:space="preserve"> which is sent back to the Ablr team for review. </w:t>
      </w:r>
    </w:p>
    <w:p w14:paraId="6764F617" w14:textId="77777777" w:rsidR="00FB014A" w:rsidRPr="00E5026D" w:rsidRDefault="00FB014A" w:rsidP="00FB014A">
      <w:pPr>
        <w:numPr>
          <w:ilvl w:val="0"/>
          <w:numId w:val="27"/>
        </w:numPr>
        <w:spacing w:after="120"/>
      </w:pPr>
      <w:r>
        <w:t xml:space="preserve">Accepted applications will prompt Ablr to request authorization for the candidate’s counselor to perform an assessment </w:t>
      </w:r>
    </w:p>
    <w:p w14:paraId="2741BEBA" w14:textId="77777777" w:rsidR="00FB014A" w:rsidRDefault="00FB014A" w:rsidP="00FB014A">
      <w:pPr>
        <w:numPr>
          <w:ilvl w:val="0"/>
          <w:numId w:val="27"/>
        </w:numPr>
        <w:spacing w:after="120"/>
      </w:pPr>
      <w:r>
        <w:t xml:space="preserve">After an assessment, a recommendation and goals will be made about next steps. </w:t>
      </w:r>
    </w:p>
    <w:p w14:paraId="169CB1F4" w14:textId="77777777" w:rsidR="00FB014A" w:rsidRDefault="00FB014A" w:rsidP="00FB014A">
      <w:pPr>
        <w:spacing w:after="120"/>
      </w:pPr>
    </w:p>
    <w:p w14:paraId="4C4FABB9" w14:textId="07FF7E67" w:rsidR="00FB014A" w:rsidRPr="00E5026D" w:rsidRDefault="00FB014A" w:rsidP="00FB014A">
      <w:pPr>
        <w:spacing w:after="120"/>
      </w:pPr>
      <w:r>
        <w:t xml:space="preserve">If you have any questions, please email the Ablr team directly at </w:t>
      </w:r>
      <w:hyperlink r:id="rId13" w:history="1">
        <w:r w:rsidRPr="004C006B">
          <w:rPr>
            <w:rStyle w:val="Hyperlink"/>
            <w:rFonts w:ascii="Century Gothic" w:hAnsi="Century Gothic"/>
          </w:rPr>
          <w:t>works@ablr360.com</w:t>
        </w:r>
      </w:hyperlink>
      <w:r>
        <w:t xml:space="preserve"> </w:t>
      </w:r>
    </w:p>
    <w:p w14:paraId="257731BF" w14:textId="7DE462AD" w:rsidR="005250A1" w:rsidRPr="00126806" w:rsidRDefault="005250A1" w:rsidP="00126806">
      <w:r>
        <w:t xml:space="preserve"> </w:t>
      </w:r>
    </w:p>
    <w:sectPr w:rsidR="005250A1" w:rsidRPr="00126806" w:rsidSect="008E6D2B">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56A2" w14:textId="77777777" w:rsidR="006600C2" w:rsidRDefault="006600C2" w:rsidP="008E6D2B">
      <w:pPr>
        <w:spacing w:after="0" w:line="240" w:lineRule="auto"/>
      </w:pPr>
      <w:r>
        <w:separator/>
      </w:r>
    </w:p>
  </w:endnote>
  <w:endnote w:type="continuationSeparator" w:id="0">
    <w:p w14:paraId="0CDD22E4" w14:textId="77777777" w:rsidR="006600C2" w:rsidRDefault="006600C2" w:rsidP="008E6D2B">
      <w:pPr>
        <w:spacing w:after="0" w:line="240" w:lineRule="auto"/>
      </w:pPr>
      <w:r>
        <w:continuationSeparator/>
      </w:r>
    </w:p>
  </w:endnote>
  <w:endnote w:type="continuationNotice" w:id="1">
    <w:p w14:paraId="2D509188" w14:textId="77777777" w:rsidR="006600C2" w:rsidRDefault="00660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560709"/>
      <w:docPartObj>
        <w:docPartGallery w:val="Page Numbers (Bottom of Page)"/>
        <w:docPartUnique/>
      </w:docPartObj>
    </w:sdtPr>
    <w:sdtContent>
      <w:p w14:paraId="5B262AF1" w14:textId="77777777" w:rsidR="008E6D2B" w:rsidRDefault="008E6D2B" w:rsidP="002944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A3BB6" w14:textId="77777777" w:rsidR="008E6D2B" w:rsidRDefault="008E6D2B" w:rsidP="008E6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4936"/>
      <w:docPartObj>
        <w:docPartGallery w:val="Page Numbers (Bottom of Page)"/>
        <w:docPartUnique/>
      </w:docPartObj>
    </w:sdtPr>
    <w:sdtContent>
      <w:p w14:paraId="6E9D42FF" w14:textId="77777777" w:rsidR="008E6D2B" w:rsidRDefault="008E6D2B" w:rsidP="002944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7460">
          <w:rPr>
            <w:rStyle w:val="PageNumber"/>
            <w:noProof/>
          </w:rPr>
          <w:t>8</w:t>
        </w:r>
        <w:r>
          <w:rPr>
            <w:rStyle w:val="PageNumber"/>
          </w:rPr>
          <w:fldChar w:fldCharType="end"/>
        </w:r>
      </w:p>
    </w:sdtContent>
  </w:sdt>
  <w:p w14:paraId="222030D7" w14:textId="77777777" w:rsidR="008E6D2B" w:rsidRDefault="008E6D2B" w:rsidP="008E6D2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670123"/>
      <w:docPartObj>
        <w:docPartGallery w:val="Page Numbers (Bottom of Page)"/>
        <w:docPartUnique/>
      </w:docPartObj>
    </w:sdtPr>
    <w:sdtContent>
      <w:p w14:paraId="0895808F" w14:textId="77777777" w:rsidR="008E6D2B" w:rsidRDefault="008E6D2B" w:rsidP="002944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6020">
          <w:rPr>
            <w:rStyle w:val="PageNumber"/>
            <w:noProof/>
          </w:rPr>
          <w:t>1</w:t>
        </w:r>
        <w:r>
          <w:rPr>
            <w:rStyle w:val="PageNumber"/>
          </w:rPr>
          <w:fldChar w:fldCharType="end"/>
        </w:r>
      </w:p>
    </w:sdtContent>
  </w:sdt>
  <w:p w14:paraId="6A7191B0" w14:textId="77777777" w:rsidR="008E6D2B" w:rsidRDefault="008E6D2B" w:rsidP="008E6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61F4" w14:textId="77777777" w:rsidR="006600C2" w:rsidRDefault="006600C2" w:rsidP="008E6D2B">
      <w:pPr>
        <w:spacing w:after="0" w:line="240" w:lineRule="auto"/>
      </w:pPr>
      <w:r>
        <w:separator/>
      </w:r>
    </w:p>
  </w:footnote>
  <w:footnote w:type="continuationSeparator" w:id="0">
    <w:p w14:paraId="244132E3" w14:textId="77777777" w:rsidR="006600C2" w:rsidRDefault="006600C2" w:rsidP="008E6D2B">
      <w:pPr>
        <w:spacing w:after="0" w:line="240" w:lineRule="auto"/>
      </w:pPr>
      <w:r>
        <w:continuationSeparator/>
      </w:r>
    </w:p>
  </w:footnote>
  <w:footnote w:type="continuationNotice" w:id="1">
    <w:p w14:paraId="51F1E646" w14:textId="77777777" w:rsidR="006600C2" w:rsidRDefault="00660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5E3"/>
    <w:multiLevelType w:val="hybridMultilevel"/>
    <w:tmpl w:val="00866242"/>
    <w:lvl w:ilvl="0" w:tplc="6950941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1B5"/>
    <w:multiLevelType w:val="hybridMultilevel"/>
    <w:tmpl w:val="6FFA36D4"/>
    <w:lvl w:ilvl="0" w:tplc="3CBA38F4">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851DD"/>
    <w:multiLevelType w:val="multilevel"/>
    <w:tmpl w:val="15662EFE"/>
    <w:lvl w:ilvl="0">
      <w:start w:val="7"/>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DF50B5"/>
    <w:multiLevelType w:val="multilevel"/>
    <w:tmpl w:val="CEC87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107072"/>
    <w:multiLevelType w:val="hybridMultilevel"/>
    <w:tmpl w:val="15662EFE"/>
    <w:lvl w:ilvl="0" w:tplc="3CBA38F4">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92EB6"/>
    <w:multiLevelType w:val="hybridMultilevel"/>
    <w:tmpl w:val="E1F034EE"/>
    <w:lvl w:ilvl="0" w:tplc="69509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1664C"/>
    <w:multiLevelType w:val="hybridMultilevel"/>
    <w:tmpl w:val="62E4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20C3C"/>
    <w:multiLevelType w:val="multilevel"/>
    <w:tmpl w:val="040EE698"/>
    <w:lvl w:ilvl="0">
      <w:start w:val="1"/>
      <w:numFmt w:val="bullet"/>
      <w:lvlText w:val="●"/>
      <w:lvlJc w:val="left"/>
      <w:pPr>
        <w:ind w:left="-360" w:hanging="360"/>
      </w:pPr>
      <w:rPr>
        <w:rFonts w:ascii="Verdana" w:eastAsia="Verdana" w:hAnsi="Verdana" w:cs="Verdana"/>
        <w:sz w:val="18"/>
        <w:szCs w:val="18"/>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abstractNum w:abstractNumId="8" w15:restartNumberingAfterBreak="0">
    <w:nsid w:val="21514F4C"/>
    <w:multiLevelType w:val="hybridMultilevel"/>
    <w:tmpl w:val="B82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E6C0D"/>
    <w:multiLevelType w:val="hybridMultilevel"/>
    <w:tmpl w:val="D59C3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881EE2"/>
    <w:multiLevelType w:val="multilevel"/>
    <w:tmpl w:val="1310B7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C90819"/>
    <w:multiLevelType w:val="multilevel"/>
    <w:tmpl w:val="D58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C6D14"/>
    <w:multiLevelType w:val="hybridMultilevel"/>
    <w:tmpl w:val="F2A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F33B1"/>
    <w:multiLevelType w:val="hybridMultilevel"/>
    <w:tmpl w:val="7C28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47056"/>
    <w:multiLevelType w:val="multilevel"/>
    <w:tmpl w:val="A5BCC3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D7013"/>
    <w:multiLevelType w:val="hybridMultilevel"/>
    <w:tmpl w:val="C508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E532E"/>
    <w:multiLevelType w:val="multilevel"/>
    <w:tmpl w:val="AA0CF7A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783F6C"/>
    <w:multiLevelType w:val="multilevel"/>
    <w:tmpl w:val="C5E0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44444"/>
    <w:multiLevelType w:val="hybridMultilevel"/>
    <w:tmpl w:val="3782DA9C"/>
    <w:lvl w:ilvl="0" w:tplc="6A2A56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8248C"/>
    <w:multiLevelType w:val="hybridMultilevel"/>
    <w:tmpl w:val="B1048744"/>
    <w:lvl w:ilvl="0" w:tplc="695094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36D50"/>
    <w:multiLevelType w:val="hybridMultilevel"/>
    <w:tmpl w:val="C2F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31B15"/>
    <w:multiLevelType w:val="multilevel"/>
    <w:tmpl w:val="4B0679F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9011FA"/>
    <w:multiLevelType w:val="multilevel"/>
    <w:tmpl w:val="D1C61C7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644AF1"/>
    <w:multiLevelType w:val="multilevel"/>
    <w:tmpl w:val="71123EE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EF65F6"/>
    <w:multiLevelType w:val="hybridMultilevel"/>
    <w:tmpl w:val="95C88C64"/>
    <w:lvl w:ilvl="0" w:tplc="695094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50550"/>
    <w:multiLevelType w:val="multilevel"/>
    <w:tmpl w:val="090EE3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9187158"/>
    <w:multiLevelType w:val="hybridMultilevel"/>
    <w:tmpl w:val="26281A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817460663">
    <w:abstractNumId w:val="1"/>
  </w:num>
  <w:num w:numId="2" w16cid:durableId="414322335">
    <w:abstractNumId w:val="4"/>
  </w:num>
  <w:num w:numId="3" w16cid:durableId="1361667626">
    <w:abstractNumId w:val="2"/>
  </w:num>
  <w:num w:numId="4" w16cid:durableId="24719108">
    <w:abstractNumId w:val="18"/>
  </w:num>
  <w:num w:numId="5" w16cid:durableId="2032875917">
    <w:abstractNumId w:val="23"/>
  </w:num>
  <w:num w:numId="6" w16cid:durableId="1350990454">
    <w:abstractNumId w:val="7"/>
  </w:num>
  <w:num w:numId="7" w16cid:durableId="111756215">
    <w:abstractNumId w:val="25"/>
  </w:num>
  <w:num w:numId="8" w16cid:durableId="954747868">
    <w:abstractNumId w:val="22"/>
  </w:num>
  <w:num w:numId="9" w16cid:durableId="868839791">
    <w:abstractNumId w:val="16"/>
  </w:num>
  <w:num w:numId="10" w16cid:durableId="1736126273">
    <w:abstractNumId w:val="10"/>
  </w:num>
  <w:num w:numId="11" w16cid:durableId="1832911983">
    <w:abstractNumId w:val="21"/>
  </w:num>
  <w:num w:numId="12" w16cid:durableId="1241907320">
    <w:abstractNumId w:val="3"/>
  </w:num>
  <w:num w:numId="13" w16cid:durableId="769085605">
    <w:abstractNumId w:val="9"/>
  </w:num>
  <w:num w:numId="14" w16cid:durableId="243150349">
    <w:abstractNumId w:val="15"/>
  </w:num>
  <w:num w:numId="15" w16cid:durableId="121122540">
    <w:abstractNumId w:val="5"/>
  </w:num>
  <w:num w:numId="16" w16cid:durableId="1101874201">
    <w:abstractNumId w:val="19"/>
  </w:num>
  <w:num w:numId="17" w16cid:durableId="806314769">
    <w:abstractNumId w:val="20"/>
  </w:num>
  <w:num w:numId="18" w16cid:durableId="651913456">
    <w:abstractNumId w:val="13"/>
  </w:num>
  <w:num w:numId="19" w16cid:durableId="96290362">
    <w:abstractNumId w:val="8"/>
  </w:num>
  <w:num w:numId="20" w16cid:durableId="161048398">
    <w:abstractNumId w:val="0"/>
  </w:num>
  <w:num w:numId="21" w16cid:durableId="351301681">
    <w:abstractNumId w:val="24"/>
  </w:num>
  <w:num w:numId="22" w16cid:durableId="1976064970">
    <w:abstractNumId w:val="12"/>
  </w:num>
  <w:num w:numId="23" w16cid:durableId="423497871">
    <w:abstractNumId w:val="26"/>
  </w:num>
  <w:num w:numId="24" w16cid:durableId="1385788199">
    <w:abstractNumId w:val="6"/>
  </w:num>
  <w:num w:numId="25" w16cid:durableId="1537348277">
    <w:abstractNumId w:val="11"/>
  </w:num>
  <w:num w:numId="26" w16cid:durableId="1888565533">
    <w:abstractNumId w:val="14"/>
  </w:num>
  <w:num w:numId="27" w16cid:durableId="5940220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06"/>
    <w:rsid w:val="00015F94"/>
    <w:rsid w:val="00022708"/>
    <w:rsid w:val="000435EF"/>
    <w:rsid w:val="0008750A"/>
    <w:rsid w:val="000A7460"/>
    <w:rsid w:val="000B0FCB"/>
    <w:rsid w:val="000B2743"/>
    <w:rsid w:val="000D6250"/>
    <w:rsid w:val="000E0652"/>
    <w:rsid w:val="000F3912"/>
    <w:rsid w:val="00126806"/>
    <w:rsid w:val="00162EBE"/>
    <w:rsid w:val="001758AA"/>
    <w:rsid w:val="001C6BD5"/>
    <w:rsid w:val="001F172C"/>
    <w:rsid w:val="00214B39"/>
    <w:rsid w:val="00226DAA"/>
    <w:rsid w:val="0023467A"/>
    <w:rsid w:val="002607B8"/>
    <w:rsid w:val="00282747"/>
    <w:rsid w:val="002A06FE"/>
    <w:rsid w:val="002B15C9"/>
    <w:rsid w:val="002C47E4"/>
    <w:rsid w:val="002C7C60"/>
    <w:rsid w:val="002D680E"/>
    <w:rsid w:val="002E17BA"/>
    <w:rsid w:val="002E2CC3"/>
    <w:rsid w:val="002F7077"/>
    <w:rsid w:val="00304BC0"/>
    <w:rsid w:val="00312634"/>
    <w:rsid w:val="00322A56"/>
    <w:rsid w:val="00351421"/>
    <w:rsid w:val="00367594"/>
    <w:rsid w:val="00374483"/>
    <w:rsid w:val="00376971"/>
    <w:rsid w:val="003A7D1E"/>
    <w:rsid w:val="003B6020"/>
    <w:rsid w:val="00420605"/>
    <w:rsid w:val="004270CE"/>
    <w:rsid w:val="004A6FEC"/>
    <w:rsid w:val="004E2307"/>
    <w:rsid w:val="00503333"/>
    <w:rsid w:val="005250A1"/>
    <w:rsid w:val="00536F7D"/>
    <w:rsid w:val="005434DE"/>
    <w:rsid w:val="0055528A"/>
    <w:rsid w:val="0058175A"/>
    <w:rsid w:val="005833E9"/>
    <w:rsid w:val="005C7CF5"/>
    <w:rsid w:val="0062221D"/>
    <w:rsid w:val="00622BFC"/>
    <w:rsid w:val="00632A63"/>
    <w:rsid w:val="00643168"/>
    <w:rsid w:val="0065670D"/>
    <w:rsid w:val="006600C2"/>
    <w:rsid w:val="00663980"/>
    <w:rsid w:val="00673271"/>
    <w:rsid w:val="00682531"/>
    <w:rsid w:val="006B4E5D"/>
    <w:rsid w:val="006C3230"/>
    <w:rsid w:val="00706B71"/>
    <w:rsid w:val="00734D49"/>
    <w:rsid w:val="0075633C"/>
    <w:rsid w:val="007722B7"/>
    <w:rsid w:val="007C0CA9"/>
    <w:rsid w:val="007F0E6E"/>
    <w:rsid w:val="00806536"/>
    <w:rsid w:val="00833218"/>
    <w:rsid w:val="00841C46"/>
    <w:rsid w:val="00863D3F"/>
    <w:rsid w:val="00896E6D"/>
    <w:rsid w:val="008A02FE"/>
    <w:rsid w:val="008A30C8"/>
    <w:rsid w:val="008D0DF4"/>
    <w:rsid w:val="008D16D6"/>
    <w:rsid w:val="008D313A"/>
    <w:rsid w:val="008D35E1"/>
    <w:rsid w:val="008E6D2B"/>
    <w:rsid w:val="008E7BD2"/>
    <w:rsid w:val="0095315D"/>
    <w:rsid w:val="009548E8"/>
    <w:rsid w:val="00973446"/>
    <w:rsid w:val="009876EE"/>
    <w:rsid w:val="009D093C"/>
    <w:rsid w:val="009F779B"/>
    <w:rsid w:val="00A73F40"/>
    <w:rsid w:val="00A85F88"/>
    <w:rsid w:val="00AB2FD2"/>
    <w:rsid w:val="00AC651A"/>
    <w:rsid w:val="00AD1790"/>
    <w:rsid w:val="00AE7290"/>
    <w:rsid w:val="00AF2E46"/>
    <w:rsid w:val="00B5047A"/>
    <w:rsid w:val="00B71EB0"/>
    <w:rsid w:val="00B87066"/>
    <w:rsid w:val="00B954A4"/>
    <w:rsid w:val="00B97B2F"/>
    <w:rsid w:val="00BA3845"/>
    <w:rsid w:val="00BA3FC8"/>
    <w:rsid w:val="00C24963"/>
    <w:rsid w:val="00C9792B"/>
    <w:rsid w:val="00D048EA"/>
    <w:rsid w:val="00D208D3"/>
    <w:rsid w:val="00D22C53"/>
    <w:rsid w:val="00D70F3E"/>
    <w:rsid w:val="00DA7E2E"/>
    <w:rsid w:val="00E229A4"/>
    <w:rsid w:val="00E42FC3"/>
    <w:rsid w:val="00E43FB1"/>
    <w:rsid w:val="00E63419"/>
    <w:rsid w:val="00E915A7"/>
    <w:rsid w:val="00EB427E"/>
    <w:rsid w:val="00F0680C"/>
    <w:rsid w:val="00F175B5"/>
    <w:rsid w:val="00F33867"/>
    <w:rsid w:val="00F37F59"/>
    <w:rsid w:val="00F408CE"/>
    <w:rsid w:val="00F739F4"/>
    <w:rsid w:val="00F92E8B"/>
    <w:rsid w:val="00FB014A"/>
    <w:rsid w:val="00FD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4832"/>
  <w15:chartTrackingRefBased/>
  <w15:docId w15:val="{ADA4B38A-8A26-418D-B4F3-44EA69C9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49"/>
    <w:pPr>
      <w:spacing w:after="240" w:line="276" w:lineRule="auto"/>
    </w:pPr>
    <w:rPr>
      <w:rFonts w:ascii="Century Gothic" w:hAnsi="Century Gothic"/>
      <w:sz w:val="24"/>
    </w:rPr>
  </w:style>
  <w:style w:type="paragraph" w:styleId="Heading1">
    <w:name w:val="heading 1"/>
    <w:basedOn w:val="Normal"/>
    <w:next w:val="Normal"/>
    <w:link w:val="Heading1Char"/>
    <w:uiPriority w:val="9"/>
    <w:qFormat/>
    <w:rsid w:val="003B6020"/>
    <w:pPr>
      <w:keepNext/>
      <w:keepLines/>
      <w:spacing w:before="240" w:after="0"/>
      <w:outlineLvl w:val="0"/>
    </w:pPr>
    <w:rPr>
      <w:rFonts w:eastAsiaTheme="majorEastAsia" w:cstheme="majorBidi"/>
      <w:b/>
      <w:color w:val="DC4405"/>
      <w:sz w:val="40"/>
      <w:szCs w:val="32"/>
    </w:rPr>
  </w:style>
  <w:style w:type="paragraph" w:styleId="Heading2">
    <w:name w:val="heading 2"/>
    <w:basedOn w:val="Normal"/>
    <w:next w:val="Normal"/>
    <w:link w:val="Heading2Char"/>
    <w:uiPriority w:val="9"/>
    <w:unhideWhenUsed/>
    <w:qFormat/>
    <w:rsid w:val="003B6020"/>
    <w:pPr>
      <w:keepNext/>
      <w:keepLines/>
      <w:spacing w:before="200" w:after="200"/>
      <w:outlineLvl w:val="1"/>
    </w:pPr>
    <w:rPr>
      <w:rFonts w:eastAsiaTheme="majorEastAsia" w:cstheme="majorBidi"/>
      <w:b/>
      <w:color w:val="DC4405"/>
      <w:sz w:val="32"/>
      <w:szCs w:val="26"/>
    </w:rPr>
  </w:style>
  <w:style w:type="paragraph" w:styleId="Heading3">
    <w:name w:val="heading 3"/>
    <w:basedOn w:val="Normal"/>
    <w:next w:val="Normal"/>
    <w:link w:val="Heading3Char"/>
    <w:uiPriority w:val="9"/>
    <w:unhideWhenUsed/>
    <w:qFormat/>
    <w:rsid w:val="00126806"/>
    <w:pPr>
      <w:keepNext/>
      <w:keepLines/>
      <w:spacing w:before="100" w:after="100"/>
      <w:outlineLvl w:val="2"/>
    </w:pPr>
    <w:rPr>
      <w:rFonts w:eastAsiaTheme="majorEastAsia" w:cstheme="majorBidi"/>
      <w:b/>
      <w:color w:val="00263A"/>
      <w:sz w:val="32"/>
      <w:szCs w:val="24"/>
    </w:rPr>
  </w:style>
  <w:style w:type="paragraph" w:styleId="Heading4">
    <w:name w:val="heading 4"/>
    <w:basedOn w:val="Heading3"/>
    <w:next w:val="Normal"/>
    <w:link w:val="Heading4Char"/>
    <w:uiPriority w:val="9"/>
    <w:unhideWhenUsed/>
    <w:qFormat/>
    <w:rsid w:val="00734D49"/>
    <w:pPr>
      <w:spacing w:before="200" w:after="200"/>
      <w:outlineLvl w:val="3"/>
    </w:pPr>
    <w:rPr>
      <w:b w:val="0"/>
      <w:iCs/>
    </w:rPr>
  </w:style>
  <w:style w:type="paragraph" w:styleId="Heading5">
    <w:name w:val="heading 5"/>
    <w:basedOn w:val="Normal"/>
    <w:next w:val="Normal"/>
    <w:link w:val="Heading5Char"/>
    <w:uiPriority w:val="9"/>
    <w:unhideWhenUsed/>
    <w:qFormat/>
    <w:rsid w:val="00126806"/>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20"/>
    <w:rPr>
      <w:rFonts w:ascii="Work Sans" w:eastAsiaTheme="majorEastAsia" w:hAnsi="Work Sans" w:cstheme="majorBidi"/>
      <w:b/>
      <w:color w:val="DC4405"/>
      <w:sz w:val="40"/>
      <w:szCs w:val="32"/>
    </w:rPr>
  </w:style>
  <w:style w:type="character" w:customStyle="1" w:styleId="Heading2Char">
    <w:name w:val="Heading 2 Char"/>
    <w:basedOn w:val="DefaultParagraphFont"/>
    <w:link w:val="Heading2"/>
    <w:uiPriority w:val="9"/>
    <w:rsid w:val="003B6020"/>
    <w:rPr>
      <w:rFonts w:ascii="Work Sans" w:eastAsiaTheme="majorEastAsia" w:hAnsi="Work Sans" w:cstheme="majorBidi"/>
      <w:b/>
      <w:color w:val="DC4405"/>
      <w:sz w:val="32"/>
      <w:szCs w:val="26"/>
    </w:rPr>
  </w:style>
  <w:style w:type="paragraph" w:styleId="Header">
    <w:name w:val="header"/>
    <w:basedOn w:val="Normal"/>
    <w:link w:val="HeaderChar"/>
    <w:uiPriority w:val="99"/>
    <w:unhideWhenUsed/>
    <w:rsid w:val="008E6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2B"/>
    <w:rPr>
      <w:rFonts w:ascii="Work Sans" w:hAnsi="Work Sans"/>
      <w:position w:val="0"/>
      <w:sz w:val="24"/>
    </w:rPr>
  </w:style>
  <w:style w:type="paragraph" w:styleId="Footer">
    <w:name w:val="footer"/>
    <w:basedOn w:val="Normal"/>
    <w:link w:val="FooterChar"/>
    <w:uiPriority w:val="99"/>
    <w:unhideWhenUsed/>
    <w:rsid w:val="008E6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2B"/>
    <w:rPr>
      <w:rFonts w:ascii="Work Sans" w:hAnsi="Work Sans"/>
      <w:position w:val="0"/>
      <w:sz w:val="24"/>
    </w:rPr>
  </w:style>
  <w:style w:type="character" w:styleId="PageNumber">
    <w:name w:val="page number"/>
    <w:basedOn w:val="DefaultParagraphFont"/>
    <w:uiPriority w:val="99"/>
    <w:semiHidden/>
    <w:unhideWhenUsed/>
    <w:rsid w:val="008E6D2B"/>
    <w:rPr>
      <w:rFonts w:ascii="Work Sans" w:hAnsi="Work Sans"/>
      <w:position w:val="0"/>
      <w:sz w:val="24"/>
    </w:rPr>
  </w:style>
  <w:style w:type="character" w:customStyle="1" w:styleId="Heading3Char">
    <w:name w:val="Heading 3 Char"/>
    <w:basedOn w:val="DefaultParagraphFont"/>
    <w:link w:val="Heading3"/>
    <w:uiPriority w:val="9"/>
    <w:rsid w:val="00126806"/>
    <w:rPr>
      <w:rFonts w:ascii="Century Gothic" w:eastAsiaTheme="majorEastAsia" w:hAnsi="Century Gothic" w:cstheme="majorBidi"/>
      <w:b/>
      <w:color w:val="00263A"/>
      <w:sz w:val="32"/>
      <w:szCs w:val="24"/>
    </w:rPr>
  </w:style>
  <w:style w:type="character" w:customStyle="1" w:styleId="Heading4Char">
    <w:name w:val="Heading 4 Char"/>
    <w:basedOn w:val="DefaultParagraphFont"/>
    <w:link w:val="Heading4"/>
    <w:uiPriority w:val="9"/>
    <w:rsid w:val="00734D49"/>
    <w:rPr>
      <w:rFonts w:ascii="Century Gothic" w:eastAsiaTheme="majorEastAsia" w:hAnsi="Century Gothic" w:cstheme="majorBidi"/>
      <w:iCs/>
      <w:color w:val="00263A"/>
      <w:sz w:val="28"/>
      <w:szCs w:val="24"/>
    </w:rPr>
  </w:style>
  <w:style w:type="paragraph" w:styleId="ListParagraph">
    <w:name w:val="List Paragraph"/>
    <w:basedOn w:val="Normal"/>
    <w:uiPriority w:val="34"/>
    <w:rsid w:val="002607B8"/>
    <w:pPr>
      <w:ind w:left="720"/>
      <w:contextualSpacing/>
    </w:pPr>
  </w:style>
  <w:style w:type="character" w:styleId="Hyperlink">
    <w:name w:val="Hyperlink"/>
    <w:basedOn w:val="DefaultParagraphFont"/>
    <w:uiPriority w:val="99"/>
    <w:unhideWhenUsed/>
    <w:rsid w:val="001F172C"/>
    <w:rPr>
      <w:rFonts w:ascii="Work Sans" w:hAnsi="Work Sans"/>
      <w:color w:val="8F489A"/>
      <w:position w:val="0"/>
      <w:sz w:val="24"/>
      <w:u w:val="single"/>
    </w:rPr>
  </w:style>
  <w:style w:type="character" w:customStyle="1" w:styleId="web-developer-display-alt-attributes">
    <w:name w:val="web-developer-display-alt-attributes"/>
    <w:basedOn w:val="DefaultParagraphFont"/>
    <w:rsid w:val="002607B8"/>
    <w:rPr>
      <w:rFonts w:ascii="Work Sans" w:hAnsi="Work Sans"/>
      <w:position w:val="0"/>
      <w:sz w:val="24"/>
    </w:rPr>
  </w:style>
  <w:style w:type="character" w:styleId="FollowedHyperlink">
    <w:name w:val="FollowedHyperlink"/>
    <w:basedOn w:val="DefaultParagraphFont"/>
    <w:uiPriority w:val="99"/>
    <w:semiHidden/>
    <w:unhideWhenUsed/>
    <w:rsid w:val="00AD1790"/>
    <w:rPr>
      <w:rFonts w:ascii="Work Sans" w:hAnsi="Work Sans"/>
      <w:color w:val="954F72" w:themeColor="followedHyperlink"/>
      <w:position w:val="0"/>
      <w:sz w:val="24"/>
      <w:u w:val="single"/>
    </w:rPr>
  </w:style>
  <w:style w:type="paragraph" w:styleId="Title">
    <w:name w:val="Title"/>
    <w:basedOn w:val="Normal"/>
    <w:next w:val="Normal"/>
    <w:link w:val="TitleChar"/>
    <w:uiPriority w:val="10"/>
    <w:rsid w:val="00AD17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90"/>
    <w:rPr>
      <w:rFonts w:asciiTheme="majorHAnsi" w:eastAsiaTheme="majorEastAsia" w:hAnsiTheme="majorHAnsi" w:cstheme="majorBidi"/>
      <w:spacing w:val="-10"/>
      <w:kern w:val="28"/>
      <w:position w:val="0"/>
      <w:sz w:val="56"/>
      <w:szCs w:val="56"/>
    </w:rPr>
  </w:style>
  <w:style w:type="paragraph" w:styleId="NoSpacing">
    <w:name w:val="No Spacing"/>
    <w:uiPriority w:val="1"/>
    <w:rsid w:val="00AD1790"/>
    <w:pPr>
      <w:spacing w:after="0" w:line="240" w:lineRule="auto"/>
    </w:pPr>
  </w:style>
  <w:style w:type="table" w:styleId="TableGrid">
    <w:name w:val="Table Grid"/>
    <w:basedOn w:val="TableNormal"/>
    <w:uiPriority w:val="39"/>
    <w:rsid w:val="002E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74483"/>
    <w:pPr>
      <w:spacing w:after="0" w:line="276" w:lineRule="auto"/>
    </w:pPr>
    <w:rPr>
      <w:rFonts w:ascii="Arial" w:eastAsia="Arial" w:hAnsi="Arial" w:cs="Arial"/>
      <w:lang w:val="en"/>
    </w:rPr>
  </w:style>
  <w:style w:type="character" w:customStyle="1" w:styleId="Heading5Char">
    <w:name w:val="Heading 5 Char"/>
    <w:basedOn w:val="DefaultParagraphFont"/>
    <w:link w:val="Heading5"/>
    <w:uiPriority w:val="9"/>
    <w:rsid w:val="00126806"/>
    <w:rPr>
      <w:rFonts w:ascii="Century Gothic" w:eastAsiaTheme="majorEastAsia" w:hAnsi="Century Gothic" w:cstheme="majorBidi"/>
      <w:b/>
      <w:color w:val="000000" w:themeColor="text1"/>
      <w:sz w:val="24"/>
    </w:rPr>
  </w:style>
  <w:style w:type="character" w:styleId="UnresolvedMention">
    <w:name w:val="Unresolved Mention"/>
    <w:basedOn w:val="DefaultParagraphFont"/>
    <w:uiPriority w:val="99"/>
    <w:semiHidden/>
    <w:unhideWhenUsed/>
    <w:rsid w:val="0012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s@ablr360.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03Rcb_VB-0e-oh4b8CHiJS3rfnhRnNVNlsWTlUqc7MdUQzBRMU8xUDFBUFlZSUlEQ0I5R1ZRUDU0QSQlQCN0PWc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evans\Desktop\Abl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85E3E0CB83B4A9E1425AD63FF1C3A" ma:contentTypeVersion="18" ma:contentTypeDescription="Create a new document." ma:contentTypeScope="" ma:versionID="a83567cf2ee51f4cc37b429617d3a2d9">
  <xsd:schema xmlns:xsd="http://www.w3.org/2001/XMLSchema" xmlns:xs="http://www.w3.org/2001/XMLSchema" xmlns:p="http://schemas.microsoft.com/office/2006/metadata/properties" xmlns:ns2="95f39c6a-f746-46f4-a2fd-656439364917" xmlns:ns3="e8e9ad47-aa65-428f-b96a-0db0c67416e3" targetNamespace="http://schemas.microsoft.com/office/2006/metadata/properties" ma:root="true" ma:fieldsID="0b680217e6e173d402214d87e0501012" ns2:_="" ns3:_="">
    <xsd:import namespace="95f39c6a-f746-46f4-a2fd-656439364917"/>
    <xsd:import namespace="e8e9ad47-aa65-428f-b96a-0db0c6741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39c6a-f746-46f4-a2fd-656439364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b6de53-62a0-41bd-ac7e-c08263fddd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9ad47-aa65-428f-b96a-0db0c67416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d0e5cc-156b-4bcc-b239-9fd24f322d54}" ma:internalName="TaxCatchAll" ma:showField="CatchAllData" ma:web="e8e9ad47-aa65-428f-b96a-0db0c67416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f39c6a-f746-46f4-a2fd-656439364917">
      <Terms xmlns="http://schemas.microsoft.com/office/infopath/2007/PartnerControls"/>
    </lcf76f155ced4ddcb4097134ff3c332f>
    <TaxCatchAll xmlns="e8e9ad47-aa65-428f-b96a-0db0c67416e3" xsi:nil="true"/>
  </documentManagement>
</p:properties>
</file>

<file path=customXml/itemProps1.xml><?xml version="1.0" encoding="utf-8"?>
<ds:datastoreItem xmlns:ds="http://schemas.openxmlformats.org/officeDocument/2006/customXml" ds:itemID="{569B26E0-B504-4C89-A360-99F6C07EFCCA}">
  <ds:schemaRefs>
    <ds:schemaRef ds:uri="http://schemas.microsoft.com/sharepoint/v3/contenttype/forms"/>
  </ds:schemaRefs>
</ds:datastoreItem>
</file>

<file path=customXml/itemProps2.xml><?xml version="1.0" encoding="utf-8"?>
<ds:datastoreItem xmlns:ds="http://schemas.openxmlformats.org/officeDocument/2006/customXml" ds:itemID="{F09C3325-B031-465F-B152-B01AC994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39c6a-f746-46f4-a2fd-656439364917"/>
    <ds:schemaRef ds:uri="e8e9ad47-aa65-428f-b96a-0db0c674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4FCCE-247F-4FC4-80E8-E5097CD5E7E0}">
  <ds:schemaRefs>
    <ds:schemaRef ds:uri="http://schemas.openxmlformats.org/officeDocument/2006/bibliography"/>
  </ds:schemaRefs>
</ds:datastoreItem>
</file>

<file path=customXml/itemProps4.xml><?xml version="1.0" encoding="utf-8"?>
<ds:datastoreItem xmlns:ds="http://schemas.openxmlformats.org/officeDocument/2006/customXml" ds:itemID="{AC3B9FEE-F3E5-431F-9DF8-230091271C6B}">
  <ds:schemaRefs>
    <ds:schemaRef ds:uri="http://schemas.microsoft.com/office/2006/metadata/properties"/>
    <ds:schemaRef ds:uri="http://schemas.microsoft.com/office/infopath/2007/PartnerControls"/>
    <ds:schemaRef ds:uri="95f39c6a-f746-46f4-a2fd-656439364917"/>
    <ds:schemaRef ds:uri="e8e9ad47-aa65-428f-b96a-0db0c67416e3"/>
  </ds:schemaRefs>
</ds:datastoreItem>
</file>

<file path=docProps/app.xml><?xml version="1.0" encoding="utf-8"?>
<Properties xmlns="http://schemas.openxmlformats.org/officeDocument/2006/extended-properties" xmlns:vt="http://schemas.openxmlformats.org/officeDocument/2006/docPropsVTypes">
  <Template>Ablr_Template.dotx</Template>
  <TotalTime>9</TotalTime>
  <Pages>5</Pages>
  <Words>1166</Words>
  <Characters>7351</Characters>
  <Application>Microsoft Office Word</Application>
  <DocSecurity>0</DocSecurity>
  <Lines>147</Lines>
  <Paragraphs>59</Paragraphs>
  <ScaleCrop>false</ScaleCrop>
  <HeadingPairs>
    <vt:vector size="2" baseType="variant">
      <vt:variant>
        <vt:lpstr>Title</vt:lpstr>
      </vt:variant>
      <vt:variant>
        <vt:i4>1</vt:i4>
      </vt:variant>
    </vt:vector>
  </HeadingPairs>
  <TitlesOfParts>
    <vt:vector size="1" baseType="lpstr">
      <vt:lpstr>Ablr Template</vt:lpstr>
    </vt:vector>
  </TitlesOfParts>
  <Company/>
  <LinksUpToDate>false</LinksUpToDate>
  <CharactersWithSpaces>8458</CharactersWithSpaces>
  <SharedDoc>false</SharedDoc>
  <HLinks>
    <vt:vector size="12" baseType="variant">
      <vt:variant>
        <vt:i4>2555933</vt:i4>
      </vt:variant>
      <vt:variant>
        <vt:i4>3</vt:i4>
      </vt:variant>
      <vt:variant>
        <vt:i4>0</vt:i4>
      </vt:variant>
      <vt:variant>
        <vt:i4>5</vt:i4>
      </vt:variant>
      <vt:variant>
        <vt:lpwstr>mailto:shannon.garner@ablr360.com</vt:lpwstr>
      </vt:variant>
      <vt:variant>
        <vt:lpwstr/>
      </vt:variant>
      <vt:variant>
        <vt:i4>1835051</vt:i4>
      </vt:variant>
      <vt:variant>
        <vt:i4>0</vt:i4>
      </vt:variant>
      <vt:variant>
        <vt:i4>0</vt:i4>
      </vt:variant>
      <vt:variant>
        <vt:i4>5</vt:i4>
      </vt:variant>
      <vt:variant>
        <vt:lpwstr>mailto:olivia.evans@ablr360.com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Ablr Works Overview_Prospective Candidates</dc:title>
  <dc:subject/>
  <dc:creator>Olivia Evans</dc:creator>
  <cp:keywords/>
  <dc:description/>
  <cp:lastModifiedBy>Shannon Garner</cp:lastModifiedBy>
  <cp:revision>8</cp:revision>
  <dcterms:created xsi:type="dcterms:W3CDTF">2025-12-03T19:19:00Z</dcterms:created>
  <dcterms:modified xsi:type="dcterms:W3CDTF">2025-12-04T14:33:00Z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0x010100F5C85E3E0CB83B4A9E1425AD63FF1C3A</vt:lpwstr>
  </property>
  <property fmtid="{D5CDD505-2E9C-101B-9397-08002B2CF9AE}" pid="3" name="MediaServiceImageTags">
    <vt:lpwstr/>
  </property>
</Properties>
</file>