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5D" w:rsidRDefault="0080115D">
      <w:pPr>
        <w:sectPr w:rsidR="0080115D" w:rsidSect="0080115D">
          <w:headerReference w:type="first" r:id="rId7"/>
          <w:footerReference w:type="first" r:id="rId8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</w:p>
    <w:p w:rsidR="00664B9E" w:rsidRPr="003F33B5" w:rsidRDefault="00200426" w:rsidP="003F33B5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lastRenderedPageBreak/>
        <w:t>OPPORTUNITY POLICY FELLOW</w:t>
      </w:r>
    </w:p>
    <w:p w:rsidR="00664B9E" w:rsidRDefault="00664B9E" w:rsidP="00664B9E">
      <w:pPr>
        <w:rPr>
          <w:color w:val="000000"/>
        </w:rPr>
      </w:pPr>
    </w:p>
    <w:p w:rsidR="00664B9E" w:rsidRPr="002510E2" w:rsidRDefault="00664B9E" w:rsidP="00664B9E">
      <w:pPr>
        <w:rPr>
          <w:color w:val="000000"/>
        </w:rPr>
      </w:pPr>
      <w:r w:rsidRPr="002510E2">
        <w:rPr>
          <w:color w:val="000000"/>
        </w:rPr>
        <w:t>The Connecticut Fair Housing Center, a state</w:t>
      </w:r>
      <w:r w:rsidR="0002089E">
        <w:rPr>
          <w:color w:val="000000"/>
        </w:rPr>
        <w:t>wide nonprofit organization dedicated to promoting fair housing</w:t>
      </w:r>
      <w:r w:rsidRPr="002510E2">
        <w:rPr>
          <w:color w:val="000000"/>
        </w:rPr>
        <w:t xml:space="preserve">, seeks </w:t>
      </w:r>
      <w:r w:rsidR="00200426" w:rsidRPr="002510E2">
        <w:rPr>
          <w:color w:val="000000"/>
        </w:rPr>
        <w:t>a dynamic individual with a strong</w:t>
      </w:r>
      <w:r w:rsidR="005B0409" w:rsidRPr="002510E2">
        <w:rPr>
          <w:color w:val="000000"/>
        </w:rPr>
        <w:t xml:space="preserve"> </w:t>
      </w:r>
      <w:r w:rsidR="00200426" w:rsidRPr="002510E2">
        <w:rPr>
          <w:color w:val="000000"/>
        </w:rPr>
        <w:t>commitment to civil rights to join our team as an Opportunity Policy Fellow</w:t>
      </w:r>
      <w:r w:rsidRPr="002510E2">
        <w:rPr>
          <w:color w:val="000000"/>
        </w:rPr>
        <w:t xml:space="preserve">.  </w:t>
      </w:r>
      <w:r w:rsidR="00200426" w:rsidRPr="002510E2">
        <w:rPr>
          <w:color w:val="000000"/>
        </w:rPr>
        <w:t>The Fellow will work with the Center’s</w:t>
      </w:r>
      <w:r w:rsidR="00DC4D17" w:rsidRPr="002510E2">
        <w:rPr>
          <w:color w:val="000000"/>
        </w:rPr>
        <w:t xml:space="preserve"> staff</w:t>
      </w:r>
      <w:r w:rsidR="00200426" w:rsidRPr="002510E2">
        <w:rPr>
          <w:color w:val="000000"/>
        </w:rPr>
        <w:t xml:space="preserve"> to develop policy materials promoting housing integration, advoca</w:t>
      </w:r>
      <w:r w:rsidR="00DC4D17" w:rsidRPr="002510E2">
        <w:rPr>
          <w:color w:val="000000"/>
        </w:rPr>
        <w:t>te</w:t>
      </w:r>
      <w:r w:rsidR="00200426" w:rsidRPr="002510E2">
        <w:rPr>
          <w:color w:val="000000"/>
        </w:rPr>
        <w:t xml:space="preserve"> on issues affecting integration and access to </w:t>
      </w:r>
      <w:r w:rsidR="00DC4D17" w:rsidRPr="002510E2">
        <w:rPr>
          <w:color w:val="000000"/>
        </w:rPr>
        <w:t>housing located in areas with high performing schools</w:t>
      </w:r>
      <w:r w:rsidR="002510E2" w:rsidRPr="002510E2">
        <w:rPr>
          <w:color w:val="000000"/>
        </w:rPr>
        <w:t xml:space="preserve">, </w:t>
      </w:r>
      <w:r w:rsidR="00DC4D17" w:rsidRPr="002510E2">
        <w:rPr>
          <w:color w:val="000000"/>
        </w:rPr>
        <w:t>access to employment</w:t>
      </w:r>
      <w:r w:rsidR="002510E2" w:rsidRPr="002510E2">
        <w:rPr>
          <w:color w:val="000000"/>
        </w:rPr>
        <w:t xml:space="preserve">, and other </w:t>
      </w:r>
      <w:r w:rsidR="00DC4D17" w:rsidRPr="002510E2">
        <w:rPr>
          <w:color w:val="000000"/>
        </w:rPr>
        <w:t>opportunities</w:t>
      </w:r>
      <w:r w:rsidR="00200426" w:rsidRPr="002510E2">
        <w:rPr>
          <w:color w:val="000000"/>
        </w:rPr>
        <w:t xml:space="preserve">, analyze data affecting integration policy, and engage in outreach to urban and suburban communities. </w:t>
      </w:r>
      <w:r w:rsidR="0002089E">
        <w:rPr>
          <w:color w:val="000000"/>
        </w:rPr>
        <w:t xml:space="preserve"> This is a one-</w:t>
      </w:r>
      <w:r w:rsidR="002510E2">
        <w:rPr>
          <w:color w:val="000000"/>
        </w:rPr>
        <w:t>year fellowship.</w:t>
      </w:r>
    </w:p>
    <w:p w:rsidR="00200426" w:rsidRPr="002510E2" w:rsidRDefault="00200426" w:rsidP="00664B9E">
      <w:pPr>
        <w:rPr>
          <w:color w:val="000000"/>
        </w:rPr>
      </w:pPr>
    </w:p>
    <w:p w:rsidR="00664B9E" w:rsidRPr="002510E2" w:rsidRDefault="00664B9E" w:rsidP="00664B9E">
      <w:pPr>
        <w:rPr>
          <w:b/>
          <w:color w:val="000000"/>
        </w:rPr>
      </w:pPr>
      <w:r w:rsidRPr="002510E2">
        <w:rPr>
          <w:b/>
          <w:color w:val="000000"/>
        </w:rPr>
        <w:t>Specific responsibilities include:</w:t>
      </w:r>
    </w:p>
    <w:p w:rsidR="00664B9E" w:rsidRPr="002510E2" w:rsidRDefault="00664B9E" w:rsidP="00664B9E">
      <w:pPr>
        <w:rPr>
          <w:b/>
          <w:color w:val="000000"/>
        </w:rPr>
      </w:pPr>
    </w:p>
    <w:p w:rsidR="00200426" w:rsidRPr="002510E2" w:rsidRDefault="00200426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Developing training</w:t>
      </w:r>
      <w:r w:rsidR="00DC4D17" w:rsidRPr="002510E2">
        <w:rPr>
          <w:color w:val="000000"/>
        </w:rPr>
        <w:t xml:space="preserve"> materials</w:t>
      </w:r>
      <w:r w:rsidRPr="002510E2">
        <w:rPr>
          <w:color w:val="000000"/>
        </w:rPr>
        <w:t xml:space="preserve"> on inclusionary zoning practices.</w:t>
      </w:r>
    </w:p>
    <w:p w:rsidR="00200426" w:rsidRPr="002510E2" w:rsidRDefault="005B0409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Creating</w:t>
      </w:r>
      <w:r w:rsidR="00200426" w:rsidRPr="002510E2">
        <w:rPr>
          <w:color w:val="000000"/>
        </w:rPr>
        <w:t xml:space="preserve"> presentations and other materials on Fair Housing Act obligations.</w:t>
      </w:r>
    </w:p>
    <w:p w:rsidR="00200426" w:rsidRPr="002510E2" w:rsidRDefault="00200426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 xml:space="preserve">Researching </w:t>
      </w:r>
      <w:r w:rsidR="003F1C02">
        <w:rPr>
          <w:color w:val="000000"/>
        </w:rPr>
        <w:t xml:space="preserve">and reporting on </w:t>
      </w:r>
      <w:r w:rsidRPr="002510E2">
        <w:rPr>
          <w:color w:val="000000"/>
        </w:rPr>
        <w:t>demographic patterns and housing investments affecting integration.</w:t>
      </w:r>
    </w:p>
    <w:p w:rsidR="005B0409" w:rsidRPr="002510E2" w:rsidRDefault="00200426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Conducting outreach to a range of communities on zoning practices and</w:t>
      </w:r>
      <w:r w:rsidR="005B0409" w:rsidRPr="002510E2">
        <w:rPr>
          <w:color w:val="000000"/>
        </w:rPr>
        <w:t xml:space="preserve"> Fair Housing Act requirements.</w:t>
      </w:r>
    </w:p>
    <w:p w:rsidR="005B0409" w:rsidRPr="002510E2" w:rsidRDefault="005B0409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Tracking exclusionary</w:t>
      </w:r>
      <w:r w:rsidR="0002089E">
        <w:rPr>
          <w:color w:val="000000"/>
        </w:rPr>
        <w:t xml:space="preserve"> and inclusionary</w:t>
      </w:r>
      <w:r w:rsidRPr="002510E2">
        <w:rPr>
          <w:color w:val="000000"/>
        </w:rPr>
        <w:t xml:space="preserve"> zoning practices across Connecticut. </w:t>
      </w:r>
    </w:p>
    <w:p w:rsidR="002510E2" w:rsidRPr="002510E2" w:rsidRDefault="002510E2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Following legislative developments affecting housing discrimination and racial segregation.</w:t>
      </w:r>
    </w:p>
    <w:p w:rsidR="00664B9E" w:rsidRDefault="00664B9E" w:rsidP="003F1C02">
      <w:pPr>
        <w:pStyle w:val="ListParagraph"/>
        <w:numPr>
          <w:ilvl w:val="0"/>
          <w:numId w:val="5"/>
        </w:numPr>
        <w:ind w:left="450" w:hanging="450"/>
        <w:rPr>
          <w:color w:val="000000"/>
        </w:rPr>
      </w:pPr>
      <w:r w:rsidRPr="002510E2">
        <w:rPr>
          <w:color w:val="000000"/>
        </w:rPr>
        <w:t>Working collaboratively with other fair housing programs and initiatives to promote fair housing.</w:t>
      </w:r>
    </w:p>
    <w:p w:rsidR="00664B9E" w:rsidRPr="002510E2" w:rsidRDefault="00664B9E" w:rsidP="00664B9E">
      <w:pPr>
        <w:rPr>
          <w:b/>
          <w:color w:val="000000"/>
        </w:rPr>
      </w:pPr>
    </w:p>
    <w:p w:rsidR="00664B9E" w:rsidRPr="002510E2" w:rsidRDefault="00664B9E" w:rsidP="00664B9E">
      <w:pPr>
        <w:rPr>
          <w:b/>
          <w:color w:val="000000"/>
        </w:rPr>
      </w:pPr>
      <w:r w:rsidRPr="002510E2">
        <w:rPr>
          <w:b/>
          <w:color w:val="000000"/>
        </w:rPr>
        <w:t>Qualifications:</w:t>
      </w:r>
    </w:p>
    <w:p w:rsidR="00664B9E" w:rsidRPr="002510E2" w:rsidRDefault="00664B9E" w:rsidP="00664B9E">
      <w:pPr>
        <w:rPr>
          <w:b/>
          <w:color w:val="000000"/>
        </w:rPr>
      </w:pPr>
    </w:p>
    <w:p w:rsidR="00664B9E" w:rsidRPr="003F1C02" w:rsidRDefault="0002089E" w:rsidP="003F1C02">
      <w:pPr>
        <w:pStyle w:val="ListParagraph"/>
        <w:numPr>
          <w:ilvl w:val="0"/>
          <w:numId w:val="6"/>
        </w:numPr>
        <w:ind w:left="450" w:hanging="450"/>
        <w:rPr>
          <w:b/>
          <w:color w:val="000000"/>
        </w:rPr>
      </w:pPr>
      <w:bookmarkStart w:id="0" w:name="OLE_LINK1"/>
      <w:bookmarkStart w:id="1" w:name="OLE_LINK2"/>
      <w:r w:rsidRPr="003F1C02">
        <w:rPr>
          <w:color w:val="000000"/>
        </w:rPr>
        <w:t xml:space="preserve">B.A. required, </w:t>
      </w:r>
      <w:r w:rsidR="005B0409" w:rsidRPr="003F1C02">
        <w:rPr>
          <w:color w:val="000000"/>
        </w:rPr>
        <w:t>J.D. or a Masters in Planning</w:t>
      </w:r>
      <w:r w:rsidR="002510E2" w:rsidRPr="002510E2">
        <w:t xml:space="preserve"> Geography, Sociology, or Political Science </w:t>
      </w:r>
      <w:r>
        <w:t>preferred</w:t>
      </w:r>
      <w:r w:rsidR="00664B9E" w:rsidRPr="003F1C02">
        <w:rPr>
          <w:color w:val="000000"/>
        </w:rPr>
        <w:t>;</w:t>
      </w:r>
    </w:p>
    <w:p w:rsidR="00664B9E" w:rsidRPr="003F1C02" w:rsidRDefault="00664B9E" w:rsidP="003F1C02">
      <w:pPr>
        <w:pStyle w:val="ListParagraph"/>
        <w:numPr>
          <w:ilvl w:val="0"/>
          <w:numId w:val="6"/>
        </w:numPr>
        <w:ind w:left="450" w:hanging="450"/>
        <w:rPr>
          <w:color w:val="000000"/>
        </w:rPr>
      </w:pPr>
      <w:r w:rsidRPr="003F1C02">
        <w:rPr>
          <w:color w:val="000000"/>
        </w:rPr>
        <w:t xml:space="preserve">Demonstrated interest in </w:t>
      </w:r>
      <w:r w:rsidR="005B0409" w:rsidRPr="003F1C02">
        <w:rPr>
          <w:color w:val="000000"/>
        </w:rPr>
        <w:t>social justice or civil rights</w:t>
      </w:r>
      <w:r w:rsidRPr="003F1C02">
        <w:rPr>
          <w:color w:val="000000"/>
        </w:rPr>
        <w:t>;</w:t>
      </w:r>
    </w:p>
    <w:p w:rsidR="00664B9E" w:rsidRPr="003F1C02" w:rsidRDefault="00664B9E" w:rsidP="003F1C02">
      <w:pPr>
        <w:pStyle w:val="ListParagraph"/>
        <w:numPr>
          <w:ilvl w:val="0"/>
          <w:numId w:val="6"/>
        </w:numPr>
        <w:ind w:left="450" w:hanging="450"/>
        <w:rPr>
          <w:color w:val="000000"/>
        </w:rPr>
      </w:pPr>
      <w:r w:rsidRPr="003F1C02">
        <w:rPr>
          <w:color w:val="000000"/>
        </w:rPr>
        <w:t>Superior research, writing, and verbal skills;</w:t>
      </w:r>
    </w:p>
    <w:p w:rsidR="00664B9E" w:rsidRPr="003F1C02" w:rsidRDefault="00664B9E" w:rsidP="003F1C02">
      <w:pPr>
        <w:pStyle w:val="ListParagraph"/>
        <w:numPr>
          <w:ilvl w:val="0"/>
          <w:numId w:val="6"/>
        </w:numPr>
        <w:ind w:left="450" w:hanging="450"/>
        <w:rPr>
          <w:color w:val="000000"/>
        </w:rPr>
      </w:pPr>
      <w:r w:rsidRPr="003F1C02">
        <w:rPr>
          <w:color w:val="000000"/>
        </w:rPr>
        <w:t xml:space="preserve">Computer competency; </w:t>
      </w:r>
    </w:p>
    <w:p w:rsidR="00664B9E" w:rsidRPr="003F1C02" w:rsidRDefault="00664B9E" w:rsidP="003F1C02">
      <w:pPr>
        <w:pStyle w:val="ListParagraph"/>
        <w:numPr>
          <w:ilvl w:val="0"/>
          <w:numId w:val="6"/>
        </w:numPr>
        <w:ind w:left="450" w:hanging="450"/>
        <w:rPr>
          <w:color w:val="000000"/>
        </w:rPr>
      </w:pPr>
      <w:r w:rsidRPr="003F1C02">
        <w:rPr>
          <w:color w:val="000000"/>
        </w:rPr>
        <w:t>Bi-lingual and/or bi-cultural individuals are encouraged to apply.</w:t>
      </w:r>
    </w:p>
    <w:p w:rsidR="005B0409" w:rsidRPr="003F1C02" w:rsidRDefault="002510E2" w:rsidP="003F1C02">
      <w:pPr>
        <w:pStyle w:val="ListParagraph"/>
        <w:numPr>
          <w:ilvl w:val="0"/>
          <w:numId w:val="6"/>
        </w:numPr>
        <w:ind w:left="450" w:hanging="450"/>
        <w:rPr>
          <w:color w:val="000000"/>
        </w:rPr>
      </w:pPr>
      <w:r w:rsidRPr="002510E2">
        <w:t xml:space="preserve">Strong quantitative skills including statistic </w:t>
      </w:r>
      <w:r w:rsidR="005B0409" w:rsidRPr="003F1C02">
        <w:rPr>
          <w:color w:val="000000"/>
        </w:rPr>
        <w:t>a plus.</w:t>
      </w:r>
    </w:p>
    <w:bookmarkEnd w:id="0"/>
    <w:bookmarkEnd w:id="1"/>
    <w:p w:rsidR="00664B9E" w:rsidRPr="002510E2" w:rsidRDefault="00664B9E" w:rsidP="00664B9E">
      <w:pPr>
        <w:rPr>
          <w:color w:val="000000"/>
        </w:rPr>
      </w:pPr>
    </w:p>
    <w:p w:rsidR="00664B9E" w:rsidRPr="002510E2" w:rsidRDefault="00664B9E" w:rsidP="00664B9E">
      <w:pPr>
        <w:rPr>
          <w:color w:val="000000"/>
        </w:rPr>
      </w:pPr>
      <w:r w:rsidRPr="002510E2">
        <w:rPr>
          <w:b/>
          <w:color w:val="000000"/>
        </w:rPr>
        <w:t>Salary:</w:t>
      </w:r>
      <w:r w:rsidRPr="002510E2">
        <w:rPr>
          <w:color w:val="000000"/>
        </w:rPr>
        <w:t xml:space="preserve">  </w:t>
      </w:r>
      <w:r w:rsidR="003F33B5" w:rsidRPr="002510E2">
        <w:rPr>
          <w:color w:val="000000"/>
        </w:rPr>
        <w:t>S</w:t>
      </w:r>
      <w:r w:rsidRPr="002510E2">
        <w:rPr>
          <w:color w:val="000000"/>
        </w:rPr>
        <w:t>alary</w:t>
      </w:r>
      <w:r w:rsidR="003F33B5" w:rsidRPr="002510E2">
        <w:rPr>
          <w:color w:val="000000"/>
        </w:rPr>
        <w:t xml:space="preserve"> competitive with other legal non-profits</w:t>
      </w:r>
      <w:r w:rsidRPr="002510E2">
        <w:rPr>
          <w:color w:val="000000"/>
        </w:rPr>
        <w:t xml:space="preserve"> plus excellent benefits</w:t>
      </w:r>
      <w:r w:rsidR="005B0409" w:rsidRPr="002510E2">
        <w:rPr>
          <w:color w:val="000000"/>
        </w:rPr>
        <w:t>.</w:t>
      </w:r>
    </w:p>
    <w:p w:rsidR="00664B9E" w:rsidRPr="002510E2" w:rsidRDefault="00B07A28" w:rsidP="003F33B5">
      <w:pPr>
        <w:spacing w:before="100" w:beforeAutospacing="1" w:after="100" w:afterAutospacing="1"/>
        <w:rPr>
          <w:color w:val="000000"/>
          <w:u w:val="single"/>
        </w:rPr>
      </w:pPr>
      <w:r w:rsidRPr="002510E2">
        <w:rPr>
          <w:b/>
          <w:color w:val="000000"/>
        </w:rPr>
        <w:t>Send resume and cover letter to:</w:t>
      </w:r>
      <w:r w:rsidR="003F33B5" w:rsidRPr="002510E2">
        <w:rPr>
          <w:b/>
          <w:color w:val="000000"/>
        </w:rPr>
        <w:t xml:space="preserve">  </w:t>
      </w:r>
      <w:r w:rsidR="005B0409" w:rsidRPr="002510E2">
        <w:rPr>
          <w:color w:val="000000"/>
        </w:rPr>
        <w:t>Deputy Director, Erin Boggs</w:t>
      </w:r>
      <w:r w:rsidR="00664B9E" w:rsidRPr="002510E2">
        <w:rPr>
          <w:color w:val="000000"/>
        </w:rPr>
        <w:t xml:space="preserve"> at:</w:t>
      </w:r>
      <w:r w:rsidR="005B0409" w:rsidRPr="002510E2">
        <w:rPr>
          <w:color w:val="000000"/>
        </w:rPr>
        <w:t>eboggs@ctfairhousing.org</w:t>
      </w:r>
      <w:r w:rsidR="00664B9E" w:rsidRPr="002510E2">
        <w:rPr>
          <w:rFonts w:eastAsia="Calibri"/>
        </w:rPr>
        <w:t xml:space="preserve">.  The writing sample should </w:t>
      </w:r>
      <w:r w:rsidR="003F33B5" w:rsidRPr="002510E2">
        <w:rPr>
          <w:rFonts w:eastAsia="Calibri"/>
        </w:rPr>
        <w:t>reflect</w:t>
      </w:r>
      <w:r w:rsidR="00664B9E" w:rsidRPr="002510E2">
        <w:rPr>
          <w:rFonts w:eastAsia="Calibri"/>
        </w:rPr>
        <w:t xml:space="preserve"> t</w:t>
      </w:r>
      <w:r w:rsidR="003F33B5" w:rsidRPr="002510E2">
        <w:rPr>
          <w:rFonts w:eastAsia="Calibri"/>
        </w:rPr>
        <w:t xml:space="preserve">he </w:t>
      </w:r>
      <w:r w:rsidR="003F33B5" w:rsidRPr="002510E2">
        <w:t xml:space="preserve">applicant’s own work without significant revision from others.  </w:t>
      </w:r>
      <w:r w:rsidR="003F33B5" w:rsidRPr="002510E2">
        <w:rPr>
          <w:u w:val="single"/>
        </w:rPr>
        <w:t>Please do not call.</w:t>
      </w:r>
    </w:p>
    <w:p w:rsidR="00664B9E" w:rsidRPr="002510E2" w:rsidRDefault="00664B9E" w:rsidP="003F1C02">
      <w:pPr>
        <w:autoSpaceDE w:val="0"/>
        <w:autoSpaceDN w:val="0"/>
        <w:adjustRightInd w:val="0"/>
        <w:jc w:val="center"/>
        <w:rPr>
          <w:color w:val="000000"/>
        </w:rPr>
      </w:pPr>
      <w:r w:rsidRPr="002510E2">
        <w:rPr>
          <w:b/>
          <w:bCs/>
          <w:color w:val="000000"/>
        </w:rPr>
        <w:t>Application Deadline</w:t>
      </w:r>
      <w:r w:rsidR="003F33B5" w:rsidRPr="002510E2">
        <w:rPr>
          <w:bCs/>
          <w:color w:val="000000"/>
        </w:rPr>
        <w:t xml:space="preserve">: </w:t>
      </w:r>
      <w:r w:rsidR="0002089E">
        <w:rPr>
          <w:b/>
          <w:bCs/>
          <w:color w:val="000000"/>
        </w:rPr>
        <w:t>Tuesday</w:t>
      </w:r>
      <w:r w:rsidR="003F33B5" w:rsidRPr="0002089E">
        <w:rPr>
          <w:b/>
          <w:bCs/>
          <w:color w:val="000000"/>
        </w:rPr>
        <w:t xml:space="preserve">, </w:t>
      </w:r>
      <w:r w:rsidRPr="0002089E">
        <w:rPr>
          <w:b/>
          <w:bCs/>
          <w:color w:val="000000"/>
        </w:rPr>
        <w:t>July</w:t>
      </w:r>
      <w:r w:rsidR="002510E2" w:rsidRPr="0002089E">
        <w:rPr>
          <w:b/>
          <w:bCs/>
          <w:color w:val="000000"/>
        </w:rPr>
        <w:t xml:space="preserve"> </w:t>
      </w:r>
      <w:r w:rsidR="0002089E" w:rsidRPr="0002089E">
        <w:rPr>
          <w:b/>
          <w:bCs/>
          <w:color w:val="000000"/>
        </w:rPr>
        <w:t>31</w:t>
      </w:r>
      <w:r w:rsidRPr="0002089E">
        <w:rPr>
          <w:b/>
          <w:bCs/>
          <w:color w:val="000000"/>
        </w:rPr>
        <w:t>, 2012</w:t>
      </w:r>
      <w:r w:rsidRPr="0002089E">
        <w:rPr>
          <w:bCs/>
          <w:color w:val="000000"/>
        </w:rPr>
        <w:t>.</w:t>
      </w:r>
    </w:p>
    <w:p w:rsidR="00664B9E" w:rsidRPr="002510E2" w:rsidRDefault="00664B9E" w:rsidP="00664B9E">
      <w:pPr>
        <w:rPr>
          <w:color w:val="000000"/>
        </w:rPr>
      </w:pPr>
    </w:p>
    <w:p w:rsidR="003E4F7F" w:rsidRPr="002510E2" w:rsidRDefault="00664B9E" w:rsidP="00664B9E">
      <w:pPr>
        <w:jc w:val="center"/>
        <w:rPr>
          <w:color w:val="000000"/>
        </w:rPr>
      </w:pPr>
      <w:r w:rsidRPr="002510E2">
        <w:rPr>
          <w:color w:val="000000"/>
        </w:rPr>
        <w:t>The Connecticut Fair Housing Center is an equal opportunity employer.</w:t>
      </w:r>
    </w:p>
    <w:sectPr w:rsidR="003E4F7F" w:rsidRPr="002510E2" w:rsidSect="003F1C02">
      <w:type w:val="continuous"/>
      <w:pgSz w:w="12240" w:h="15840" w:code="1"/>
      <w:pgMar w:top="1170" w:right="900" w:bottom="1440" w:left="108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26" w:rsidRDefault="00200426">
      <w:r>
        <w:separator/>
      </w:r>
    </w:p>
  </w:endnote>
  <w:endnote w:type="continuationSeparator" w:id="0">
    <w:p w:rsidR="00200426" w:rsidRDefault="00200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6" w:rsidRDefault="00386A9D" w:rsidP="0080115D">
    <w:pPr>
      <w:pStyle w:val="Foot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-6pt;margin-top:-.15pt;width:467.5pt;height:54pt;z-index:251657728" filled="f" stroked="f">
          <v:textbox>
            <w:txbxContent>
              <w:p w:rsidR="00200426" w:rsidRPr="00925C70" w:rsidRDefault="00200426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>221 Main Street, 4</w:t>
                </w:r>
                <w:r w:rsidRPr="00925C70">
                  <w:rPr>
                    <w:sz w:val="18"/>
                    <w:szCs w:val="18"/>
                    <w:vertAlign w:val="superscript"/>
                  </w:rPr>
                  <w:t>th</w:t>
                </w:r>
                <w:r w:rsidRPr="00925C70">
                  <w:rPr>
                    <w:sz w:val="18"/>
                    <w:szCs w:val="18"/>
                  </w:rPr>
                  <w:t xml:space="preserve"> Floor • Hartford, CT • 06106</w:t>
                </w:r>
              </w:p>
              <w:p w:rsidR="00200426" w:rsidRPr="00925C70" w:rsidRDefault="00200426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 xml:space="preserve">860-247-4400 (Hartford) • 888-247-4401 (Toll Free) </w:t>
                </w:r>
              </w:p>
              <w:p w:rsidR="00200426" w:rsidRPr="00925C70" w:rsidRDefault="00200426" w:rsidP="00925C70">
                <w:pPr>
                  <w:rPr>
                    <w:sz w:val="18"/>
                    <w:szCs w:val="18"/>
                  </w:rPr>
                </w:pPr>
                <w:r w:rsidRPr="00925C70">
                  <w:rPr>
                    <w:sz w:val="18"/>
                    <w:szCs w:val="18"/>
                  </w:rPr>
                  <w:t>860-247-4236 (fax)</w:t>
                </w:r>
              </w:p>
              <w:p w:rsidR="00200426" w:rsidRPr="00925C70" w:rsidRDefault="00386A9D" w:rsidP="00925C70">
                <w:pPr>
                  <w:rPr>
                    <w:sz w:val="18"/>
                    <w:szCs w:val="18"/>
                  </w:rPr>
                </w:pPr>
                <w:hyperlink r:id="rId1" w:history="1">
                  <w:r w:rsidR="00200426" w:rsidRPr="00925C70">
                    <w:rPr>
                      <w:rStyle w:val="Hyperlink"/>
                      <w:sz w:val="18"/>
                      <w:szCs w:val="18"/>
                    </w:rPr>
                    <w:t>www.ctfairhousing.org</w:t>
                  </w:r>
                </w:hyperlink>
                <w:r w:rsidR="00200426" w:rsidRPr="00925C70">
                  <w:rPr>
                    <w:sz w:val="18"/>
                    <w:szCs w:val="18"/>
                  </w:rPr>
                  <w:t xml:space="preserve"> </w:t>
                </w:r>
              </w:p>
              <w:p w:rsidR="00200426" w:rsidRPr="003B5304" w:rsidRDefault="00200426" w:rsidP="003B5304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</w:txbxContent>
          </v:textbox>
        </v:shape>
      </w:pict>
    </w:r>
  </w:p>
  <w:p w:rsidR="00200426" w:rsidRDefault="00200426" w:rsidP="008011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26" w:rsidRDefault="00200426">
      <w:r>
        <w:separator/>
      </w:r>
    </w:p>
  </w:footnote>
  <w:footnote w:type="continuationSeparator" w:id="0">
    <w:p w:rsidR="00200426" w:rsidRDefault="002004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426" w:rsidRDefault="00200426" w:rsidP="00925C70">
    <w:pPr>
      <w:pStyle w:val="Header"/>
    </w:pPr>
    <w:r>
      <w:rPr>
        <w:noProof/>
      </w:rPr>
      <w:drawing>
        <wp:inline distT="0" distB="0" distL="0" distR="0">
          <wp:extent cx="2971800" cy="1133475"/>
          <wp:effectExtent l="19050" t="0" r="0" b="0"/>
          <wp:docPr id="1" name="Picture 1" descr="CFHC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HC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D18"/>
    <w:multiLevelType w:val="hybridMultilevel"/>
    <w:tmpl w:val="0AAA65C0"/>
    <w:lvl w:ilvl="0" w:tplc="3B64E9FE">
      <w:start w:val="1"/>
      <w:numFmt w:val="bullet"/>
      <w:lvlText w:val="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D7999"/>
    <w:multiLevelType w:val="hybridMultilevel"/>
    <w:tmpl w:val="98F4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1CA"/>
    <w:multiLevelType w:val="hybridMultilevel"/>
    <w:tmpl w:val="F5545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26DD0"/>
    <w:multiLevelType w:val="hybridMultilevel"/>
    <w:tmpl w:val="3836EA44"/>
    <w:lvl w:ilvl="0" w:tplc="3B64E9FE">
      <w:start w:val="1"/>
      <w:numFmt w:val="bullet"/>
      <w:lvlText w:val="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A46BD5"/>
    <w:multiLevelType w:val="hybridMultilevel"/>
    <w:tmpl w:val="52AAA912"/>
    <w:lvl w:ilvl="0" w:tplc="027EE0D0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76D94"/>
    <w:multiLevelType w:val="hybridMultilevel"/>
    <w:tmpl w:val="12F46254"/>
    <w:lvl w:ilvl="0" w:tplc="027EE0D0">
      <w:start w:val="1"/>
      <w:numFmt w:val="bullet"/>
      <w:lvlText w:val="*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0115D"/>
    <w:rsid w:val="0002089E"/>
    <w:rsid w:val="00077413"/>
    <w:rsid w:val="00083EC9"/>
    <w:rsid w:val="000B28AC"/>
    <w:rsid w:val="000E6AC3"/>
    <w:rsid w:val="0013253D"/>
    <w:rsid w:val="0016063F"/>
    <w:rsid w:val="001A173D"/>
    <w:rsid w:val="001A77AF"/>
    <w:rsid w:val="001B3F83"/>
    <w:rsid w:val="00200426"/>
    <w:rsid w:val="002510E2"/>
    <w:rsid w:val="002D6DF1"/>
    <w:rsid w:val="002F3EE8"/>
    <w:rsid w:val="002F783C"/>
    <w:rsid w:val="00325BA6"/>
    <w:rsid w:val="00386A9D"/>
    <w:rsid w:val="003B4AE7"/>
    <w:rsid w:val="003B5304"/>
    <w:rsid w:val="003E4F7F"/>
    <w:rsid w:val="003F187E"/>
    <w:rsid w:val="003F1C02"/>
    <w:rsid w:val="003F33B5"/>
    <w:rsid w:val="004134D5"/>
    <w:rsid w:val="00465D53"/>
    <w:rsid w:val="00494857"/>
    <w:rsid w:val="004D1CF4"/>
    <w:rsid w:val="00593191"/>
    <w:rsid w:val="005B0409"/>
    <w:rsid w:val="005D58DC"/>
    <w:rsid w:val="005F5490"/>
    <w:rsid w:val="0061141A"/>
    <w:rsid w:val="0066456A"/>
    <w:rsid w:val="00664B9E"/>
    <w:rsid w:val="007145E1"/>
    <w:rsid w:val="007450C3"/>
    <w:rsid w:val="00745114"/>
    <w:rsid w:val="00786B68"/>
    <w:rsid w:val="007C20E5"/>
    <w:rsid w:val="007E402D"/>
    <w:rsid w:val="007F3A89"/>
    <w:rsid w:val="0080115D"/>
    <w:rsid w:val="00837D89"/>
    <w:rsid w:val="008435ED"/>
    <w:rsid w:val="00850287"/>
    <w:rsid w:val="008813C7"/>
    <w:rsid w:val="00925C70"/>
    <w:rsid w:val="009A685F"/>
    <w:rsid w:val="00A142D1"/>
    <w:rsid w:val="00A32305"/>
    <w:rsid w:val="00AD05C3"/>
    <w:rsid w:val="00AD071F"/>
    <w:rsid w:val="00B07A28"/>
    <w:rsid w:val="00B60711"/>
    <w:rsid w:val="00BE6E03"/>
    <w:rsid w:val="00BF49F9"/>
    <w:rsid w:val="00BF687A"/>
    <w:rsid w:val="00C17BD7"/>
    <w:rsid w:val="00C66D0E"/>
    <w:rsid w:val="00CA4C22"/>
    <w:rsid w:val="00CF3DCA"/>
    <w:rsid w:val="00CF52BD"/>
    <w:rsid w:val="00D23516"/>
    <w:rsid w:val="00D2476C"/>
    <w:rsid w:val="00D34D5A"/>
    <w:rsid w:val="00D35753"/>
    <w:rsid w:val="00D433BF"/>
    <w:rsid w:val="00D65E65"/>
    <w:rsid w:val="00DC4D17"/>
    <w:rsid w:val="00DE24EB"/>
    <w:rsid w:val="00DE6611"/>
    <w:rsid w:val="00E01CF9"/>
    <w:rsid w:val="00EE5486"/>
    <w:rsid w:val="00F1541E"/>
    <w:rsid w:val="00F268A1"/>
    <w:rsid w:val="00F26DA2"/>
    <w:rsid w:val="00F65F16"/>
    <w:rsid w:val="00FA5F55"/>
    <w:rsid w:val="00FA7057"/>
    <w:rsid w:val="00FA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11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1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3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68A1"/>
    <w:rPr>
      <w:color w:val="0000FF"/>
      <w:u w:val="single"/>
    </w:rPr>
  </w:style>
  <w:style w:type="character" w:styleId="CommentReference">
    <w:name w:val="annotation reference"/>
    <w:basedOn w:val="DefaultParagraphFont"/>
    <w:rsid w:val="00DC4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D17"/>
  </w:style>
  <w:style w:type="paragraph" w:styleId="CommentSubject">
    <w:name w:val="annotation subject"/>
    <w:basedOn w:val="CommentText"/>
    <w:next w:val="CommentText"/>
    <w:link w:val="CommentSubjectChar"/>
    <w:rsid w:val="00DC4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D17"/>
    <w:rPr>
      <w:b/>
      <w:bCs/>
    </w:rPr>
  </w:style>
  <w:style w:type="paragraph" w:styleId="ListParagraph">
    <w:name w:val="List Paragraph"/>
    <w:basedOn w:val="Normal"/>
    <w:uiPriority w:val="34"/>
    <w:qFormat/>
    <w:rsid w:val="002510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fairhou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283</Words>
  <Characters>1788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FAIR HOUSING CENTER</vt:lpstr>
    </vt:vector>
  </TitlesOfParts>
  <Company>CTFairHousing.org</Company>
  <LinksUpToDate>false</LinksUpToDate>
  <CharactersWithSpaces>2067</CharactersWithSpaces>
  <SharedDoc>false</SharedDoc>
  <HLinks>
    <vt:vector size="12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mailto:tsmyth@ctfairhousing.org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http://www.ctfairhousing.org/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FAIR HOUSING CENTER</dc:title>
  <dc:creator>Erin Kemple</dc:creator>
  <cp:lastModifiedBy>Erin Boggs</cp:lastModifiedBy>
  <cp:revision>4</cp:revision>
  <cp:lastPrinted>2011-09-13T13:50:00Z</cp:lastPrinted>
  <dcterms:created xsi:type="dcterms:W3CDTF">2012-06-26T13:54:00Z</dcterms:created>
  <dcterms:modified xsi:type="dcterms:W3CDTF">2012-07-09T13:40:00Z</dcterms:modified>
</cp:coreProperties>
</file>