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9F4B84" w14:paraId="70AA6336" w14:textId="77777777" w:rsidTr="009F4B84">
        <w:trPr>
          <w:tblCellSpacing w:w="0" w:type="dxa"/>
          <w:jc w:val="center"/>
        </w:trPr>
        <w:tc>
          <w:tcPr>
            <w:tcW w:w="0" w:type="auto"/>
            <w:shd w:val="clear" w:color="auto" w:fill="FFFFFF"/>
            <w:vAlign w:val="center"/>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000"/>
            </w:tblGrid>
            <w:tr w:rsidR="009F4B84" w14:paraId="73E527D6" w14:textId="77777777">
              <w:trPr>
                <w:trHeight w:val="150"/>
                <w:tblCellSpacing w:w="0" w:type="dxa"/>
              </w:trPr>
              <w:tc>
                <w:tcPr>
                  <w:tcW w:w="5000" w:type="pct"/>
                  <w:shd w:val="clear" w:color="auto" w:fill="0075C9"/>
                  <w:hideMark/>
                </w:tcPr>
                <w:tbl>
                  <w:tblPr>
                    <w:tblW w:w="0" w:type="auto"/>
                    <w:jc w:val="center"/>
                    <w:tblCellSpacing w:w="0" w:type="dxa"/>
                    <w:tblCellMar>
                      <w:left w:w="0" w:type="dxa"/>
                      <w:right w:w="0" w:type="dxa"/>
                    </w:tblCellMar>
                    <w:tblLook w:val="04A0" w:firstRow="1" w:lastRow="0" w:firstColumn="1" w:lastColumn="0" w:noHBand="0" w:noVBand="1"/>
                  </w:tblPr>
                  <w:tblGrid>
                    <w:gridCol w:w="9000"/>
                  </w:tblGrid>
                  <w:tr w:rsidR="009F4B84" w14:paraId="6266F7CA" w14:textId="77777777">
                    <w:trPr>
                      <w:tblCellSpacing w:w="0" w:type="dxa"/>
                      <w:jc w:val="center"/>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9000"/>
                        </w:tblGrid>
                        <w:tr w:rsidR="009F4B84" w14:paraId="55B192D3" w14:textId="77777777">
                          <w:trPr>
                            <w:tblCellSpacing w:w="0" w:type="dxa"/>
                          </w:trPr>
                          <w:tc>
                            <w:tcPr>
                              <w:tcW w:w="0" w:type="auto"/>
                              <w:vAlign w:val="center"/>
                              <w:hideMark/>
                            </w:tcPr>
                            <w:p w14:paraId="1892E03F" w14:textId="0C322A2F" w:rsidR="009F4B84" w:rsidRDefault="009F4B84">
                              <w:pPr>
                                <w:rPr>
                                  <w:kern w:val="2"/>
                                  <w14:ligatures w14:val="standardContextual"/>
                                </w:rPr>
                              </w:pPr>
                              <w:r>
                                <w:rPr>
                                  <w:noProof/>
                                  <w:kern w:val="2"/>
                                  <w14:ligatures w14:val="standardContextual"/>
                                </w:rPr>
                                <w:drawing>
                                  <wp:inline distT="0" distB="0" distL="0" distR="0" wp14:anchorId="31B05C28" wp14:editId="6DE8848E">
                                    <wp:extent cx="5715000" cy="266700"/>
                                    <wp:effectExtent l="0" t="0" r="0" b="0"/>
                                    <wp:docPr id="6222498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266700"/>
                                            </a:xfrm>
                                            <a:prstGeom prst="rect">
                                              <a:avLst/>
                                            </a:prstGeom>
                                            <a:noFill/>
                                            <a:ln>
                                              <a:noFill/>
                                            </a:ln>
                                          </pic:spPr>
                                        </pic:pic>
                                      </a:graphicData>
                                    </a:graphic>
                                  </wp:inline>
                                </w:drawing>
                              </w:r>
                            </w:p>
                          </w:tc>
                        </w:tr>
                      </w:tbl>
                      <w:p w14:paraId="185A7C80" w14:textId="77777777" w:rsidR="009F4B84" w:rsidRDefault="009F4B84">
                        <w:pPr>
                          <w:rPr>
                            <w:rFonts w:asciiTheme="minorHAnsi" w:hAnsiTheme="minorHAnsi" w:cstheme="minorBidi"/>
                            <w:kern w:val="2"/>
                            <w14:ligatures w14:val="standardContextual"/>
                          </w:rPr>
                        </w:pPr>
                      </w:p>
                    </w:tc>
                  </w:tr>
                </w:tbl>
                <w:p w14:paraId="233CF08D" w14:textId="77777777" w:rsidR="009F4B84" w:rsidRDefault="009F4B84">
                  <w:pPr>
                    <w:jc w:val="center"/>
                    <w:rPr>
                      <w:rFonts w:asciiTheme="minorHAnsi" w:hAnsiTheme="minorHAnsi" w:cstheme="minorBidi"/>
                      <w:kern w:val="2"/>
                      <w14:ligatures w14:val="standardContextual"/>
                    </w:rPr>
                  </w:pPr>
                </w:p>
              </w:tc>
            </w:tr>
          </w:tbl>
          <w:p w14:paraId="39363C0C" w14:textId="77777777" w:rsidR="009F4B84" w:rsidRDefault="009F4B84">
            <w:pPr>
              <w:rPr>
                <w:rFonts w:asciiTheme="minorHAnsi" w:hAnsiTheme="minorHAnsi" w:cstheme="minorBidi"/>
                <w:kern w:val="2"/>
                <w14:ligatures w14:val="standardContextual"/>
              </w:rPr>
            </w:pPr>
          </w:p>
        </w:tc>
      </w:tr>
      <w:tr w:rsidR="009F4B84" w14:paraId="67E8973D" w14:textId="77777777" w:rsidTr="009F4B84">
        <w:trPr>
          <w:tblCellSpacing w:w="0" w:type="dxa"/>
          <w:jc w:val="center"/>
        </w:trPr>
        <w:tc>
          <w:tcPr>
            <w:tcW w:w="0" w:type="auto"/>
            <w:shd w:val="clear" w:color="auto" w:fill="FFFFFF"/>
            <w:vAlign w:val="center"/>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000"/>
            </w:tblGrid>
            <w:tr w:rsidR="009F4B84" w14:paraId="06CC2F14" w14:textId="77777777">
              <w:trPr>
                <w:trHeight w:val="150"/>
                <w:tblCellSpacing w:w="0" w:type="dxa"/>
              </w:trPr>
              <w:tc>
                <w:tcPr>
                  <w:tcW w:w="5000" w:type="pct"/>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4080"/>
                  </w:tblGrid>
                  <w:tr w:rsidR="009F4B84" w14:paraId="0632A152" w14:textId="77777777">
                    <w:trPr>
                      <w:tblCellSpacing w:w="0" w:type="dxa"/>
                      <w:jc w:val="center"/>
                    </w:trPr>
                    <w:tc>
                      <w:tcPr>
                        <w:tcW w:w="0" w:type="auto"/>
                        <w:vAlign w:val="center"/>
                        <w:hideMark/>
                      </w:tcPr>
                      <w:tbl>
                        <w:tblPr>
                          <w:tblW w:w="0" w:type="auto"/>
                          <w:tblCellSpacing w:w="0" w:type="dxa"/>
                          <w:tblCellMar>
                            <w:top w:w="240" w:type="dxa"/>
                            <w:left w:w="240" w:type="dxa"/>
                            <w:bottom w:w="240" w:type="dxa"/>
                            <w:right w:w="240" w:type="dxa"/>
                          </w:tblCellMar>
                          <w:tblLook w:val="04A0" w:firstRow="1" w:lastRow="0" w:firstColumn="1" w:lastColumn="0" w:noHBand="0" w:noVBand="1"/>
                        </w:tblPr>
                        <w:tblGrid>
                          <w:gridCol w:w="4080"/>
                        </w:tblGrid>
                        <w:tr w:rsidR="009F4B84" w14:paraId="2E0223EF" w14:textId="77777777">
                          <w:trPr>
                            <w:tblCellSpacing w:w="0" w:type="dxa"/>
                          </w:trPr>
                          <w:tc>
                            <w:tcPr>
                              <w:tcW w:w="0" w:type="auto"/>
                              <w:vAlign w:val="center"/>
                              <w:hideMark/>
                            </w:tcPr>
                            <w:p w14:paraId="53ACFA10" w14:textId="0AE3982F" w:rsidR="009F4B84" w:rsidRDefault="009F4B84">
                              <w:pPr>
                                <w:rPr>
                                  <w:kern w:val="2"/>
                                  <w14:ligatures w14:val="standardContextual"/>
                                </w:rPr>
                              </w:pPr>
                              <w:r>
                                <w:rPr>
                                  <w:noProof/>
                                  <w:color w:val="0000FF"/>
                                  <w:kern w:val="2"/>
                                  <w14:ligatures w14:val="standardContextual"/>
                                </w:rPr>
                                <w:drawing>
                                  <wp:inline distT="0" distB="0" distL="0" distR="0" wp14:anchorId="55CC457E" wp14:editId="0651CAF4">
                                    <wp:extent cx="2286000" cy="2514600"/>
                                    <wp:effectExtent l="0" t="0" r="0" b="0"/>
                                    <wp:docPr id="2119840305" name="Picture 1" descr="National Federation of the Blind logo and tagline live the life you wan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tional Federation of the Blind logo and tagline live the life you wa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2514600"/>
                                            </a:xfrm>
                                            <a:prstGeom prst="rect">
                                              <a:avLst/>
                                            </a:prstGeom>
                                            <a:noFill/>
                                            <a:ln>
                                              <a:noFill/>
                                            </a:ln>
                                          </pic:spPr>
                                        </pic:pic>
                                      </a:graphicData>
                                    </a:graphic>
                                  </wp:inline>
                                </w:drawing>
                              </w:r>
                            </w:p>
                          </w:tc>
                        </w:tr>
                      </w:tbl>
                      <w:p w14:paraId="232965C9" w14:textId="77777777" w:rsidR="009F4B84" w:rsidRDefault="009F4B84">
                        <w:pPr>
                          <w:rPr>
                            <w:rFonts w:asciiTheme="minorHAnsi" w:hAnsiTheme="minorHAnsi" w:cstheme="minorBidi"/>
                            <w:kern w:val="2"/>
                            <w14:ligatures w14:val="standardContextual"/>
                          </w:rPr>
                        </w:pPr>
                      </w:p>
                    </w:tc>
                  </w:tr>
                </w:tbl>
                <w:p w14:paraId="5F637D56" w14:textId="77777777" w:rsidR="009F4B84" w:rsidRDefault="009F4B84">
                  <w:pPr>
                    <w:jc w:val="center"/>
                    <w:rPr>
                      <w:rFonts w:asciiTheme="minorHAnsi" w:hAnsiTheme="minorHAnsi" w:cstheme="minorBidi"/>
                      <w:kern w:val="2"/>
                      <w14:ligatures w14:val="standardContextual"/>
                    </w:rPr>
                  </w:pPr>
                </w:p>
              </w:tc>
            </w:tr>
          </w:tbl>
          <w:p w14:paraId="6236B5C8" w14:textId="77777777" w:rsidR="009F4B84" w:rsidRDefault="009F4B84">
            <w:pPr>
              <w:rPr>
                <w:rFonts w:asciiTheme="minorHAnsi" w:hAnsiTheme="minorHAnsi" w:cstheme="minorBidi"/>
                <w:kern w:val="2"/>
                <w14:ligatures w14:val="standardContextual"/>
              </w:rPr>
            </w:pPr>
          </w:p>
        </w:tc>
      </w:tr>
      <w:tr w:rsidR="009F4B84" w14:paraId="0B4AE768" w14:textId="77777777" w:rsidTr="009F4B84">
        <w:trPr>
          <w:tblCellSpacing w:w="0" w:type="dxa"/>
          <w:jc w:val="center"/>
        </w:trPr>
        <w:tc>
          <w:tcPr>
            <w:tcW w:w="0" w:type="auto"/>
            <w:shd w:val="clear" w:color="auto" w:fill="FFFFFF"/>
            <w:vAlign w:val="center"/>
            <w:hideMark/>
          </w:tcPr>
          <w:p w14:paraId="60FEFA57" w14:textId="77777777" w:rsidR="009F4B84" w:rsidRDefault="009F4B84">
            <w:pPr>
              <w:pStyle w:val="Heading1"/>
              <w:rPr>
                <w:rFonts w:eastAsiaTheme="minorHAnsi"/>
                <w14:ligatures w14:val="standardContextual"/>
              </w:rPr>
            </w:pPr>
            <w:r>
              <w:rPr>
                <w:rFonts w:eastAsiaTheme="minorHAnsi"/>
                <w:sz w:val="52"/>
                <w:szCs w:val="52"/>
                <w14:ligatures w14:val="standardContextual"/>
              </w:rPr>
              <w:t>NFB Kenneth Jernigan Leadership in Service Program</w:t>
            </w:r>
          </w:p>
          <w:p w14:paraId="30D6CD20" w14:textId="77777777" w:rsidR="009F4B84" w:rsidRDefault="009F4B84">
            <w:pPr>
              <w:pStyle w:val="NormalWeb"/>
              <w:rPr>
                <w:kern w:val="2"/>
                <w14:ligatures w14:val="standardContextual"/>
              </w:rPr>
            </w:pPr>
            <w:r>
              <w:rPr>
                <w:kern w:val="2"/>
                <w:sz w:val="28"/>
                <w:szCs w:val="28"/>
                <w14:ligatures w14:val="standardContextual"/>
              </w:rPr>
              <w:t>Calling Visionary Leaders: Join the National Federation of the Blind Leadership in Service Program. Empower the blind community. Make a difference. Lead with conviction. Deadline to apply is August 25, 2023. </w:t>
            </w:r>
          </w:p>
          <w:p w14:paraId="3B87FF38" w14:textId="77777777" w:rsidR="009F4B84" w:rsidRDefault="009F4B84">
            <w:pPr>
              <w:pStyle w:val="NormalWeb"/>
              <w:rPr>
                <w:kern w:val="2"/>
                <w14:ligatures w14:val="standardContextual"/>
              </w:rPr>
            </w:pPr>
            <w:r>
              <w:rPr>
                <w:kern w:val="2"/>
                <w:sz w:val="28"/>
                <w:szCs w:val="28"/>
                <w14:ligatures w14:val="standardContextual"/>
              </w:rPr>
              <w:t>The National Federation of the Blind invites you to be part of our groundbreaking Kenneth Jernigan Leadership in Service Program. Prepare to embark on a transformative journey that will shape you into a powerful advocate for blind individuals, while fostering personal growth and building a stronger community. This program is a unique opportunity tailored specifically for blind individuals who aspire to become leaders within the organized blind movement. </w:t>
            </w:r>
          </w:p>
          <w:p w14:paraId="6B56E2D4" w14:textId="77777777" w:rsidR="009F4B84" w:rsidRDefault="009F4B84">
            <w:pPr>
              <w:pStyle w:val="Heading2"/>
              <w:rPr>
                <w:rFonts w:eastAsiaTheme="minorHAnsi"/>
                <w:kern w:val="2"/>
                <w14:ligatures w14:val="standardContextual"/>
              </w:rPr>
            </w:pPr>
            <w:r>
              <w:rPr>
                <w:rFonts w:eastAsiaTheme="minorHAnsi"/>
                <w:kern w:val="2"/>
                <w:sz w:val="44"/>
                <w:szCs w:val="44"/>
                <w14:ligatures w14:val="standardContextual"/>
              </w:rPr>
              <w:t>Program Highlights</w:t>
            </w:r>
          </w:p>
          <w:p w14:paraId="7F48D6E6" w14:textId="77777777" w:rsidR="009F4B84" w:rsidRDefault="009F4B84">
            <w:pPr>
              <w:pStyle w:val="NormalWeb"/>
              <w:rPr>
                <w:kern w:val="2"/>
                <w14:ligatures w14:val="standardContextual"/>
              </w:rPr>
            </w:pPr>
            <w:r>
              <w:rPr>
                <w:kern w:val="2"/>
                <w:sz w:val="28"/>
                <w:szCs w:val="28"/>
                <w14:ligatures w14:val="standardContextual"/>
              </w:rPr>
              <w:t>Over the course of one year, you will experience a comprehensive training curriculum that blends in-person and virtual learning to provide a holistic leadership development experience.</w:t>
            </w:r>
          </w:p>
          <w:p w14:paraId="2869275F" w14:textId="77777777" w:rsidR="009F4B84" w:rsidRDefault="009F4B84" w:rsidP="00B71CC9">
            <w:pPr>
              <w:numPr>
                <w:ilvl w:val="0"/>
                <w:numId w:val="1"/>
              </w:numPr>
              <w:spacing w:before="100" w:beforeAutospacing="1" w:after="100" w:afterAutospacing="1"/>
              <w:rPr>
                <w:kern w:val="2"/>
                <w14:ligatures w14:val="standardContextual"/>
              </w:rPr>
            </w:pPr>
            <w:r>
              <w:rPr>
                <w:rStyle w:val="Strong"/>
                <w:kern w:val="2"/>
                <w:sz w:val="28"/>
                <w:szCs w:val="28"/>
                <w14:ligatures w14:val="standardContextual"/>
              </w:rPr>
              <w:lastRenderedPageBreak/>
              <w:t>In-Person Training Intensives:</w:t>
            </w:r>
            <w:r>
              <w:rPr>
                <w:kern w:val="2"/>
                <w:sz w:val="28"/>
                <w:szCs w:val="28"/>
                <w14:ligatures w14:val="standardContextual"/>
              </w:rPr>
              <w:t xml:space="preserve"> Engage in immersive in-person training sessions led by seasoned leaders in the blind community. These intensive workshops will equip you with practical skills, knowledge, and strategies to effectively advocate for the rights and needs of blind individuals.</w:t>
            </w:r>
          </w:p>
          <w:p w14:paraId="65183E0D" w14:textId="77777777" w:rsidR="009F4B84" w:rsidRDefault="009F4B84" w:rsidP="00B71CC9">
            <w:pPr>
              <w:numPr>
                <w:ilvl w:val="0"/>
                <w:numId w:val="1"/>
              </w:numPr>
              <w:spacing w:before="100" w:beforeAutospacing="1" w:after="100" w:afterAutospacing="1"/>
              <w:rPr>
                <w:kern w:val="2"/>
                <w14:ligatures w14:val="standardContextual"/>
              </w:rPr>
            </w:pPr>
            <w:r>
              <w:rPr>
                <w:rStyle w:val="Strong"/>
                <w:kern w:val="2"/>
                <w:sz w:val="28"/>
                <w:szCs w:val="28"/>
                <w14:ligatures w14:val="standardContextual"/>
              </w:rPr>
              <w:t>Virtual Learning Modules:</w:t>
            </w:r>
            <w:r>
              <w:rPr>
                <w:kern w:val="2"/>
                <w:sz w:val="28"/>
                <w:szCs w:val="28"/>
                <w14:ligatures w14:val="standardContextual"/>
              </w:rPr>
              <w:t xml:space="preserve"> Access a diverse range of virtual modules designed to enhance your leadership capabilities, with a particular focus on leveraging technology for advocacy, communication, and community building. Explore topics such as public speaking, strategic planning, coalition building, and more.</w:t>
            </w:r>
          </w:p>
          <w:p w14:paraId="6E11710E" w14:textId="77777777" w:rsidR="009F4B84" w:rsidRDefault="009F4B84" w:rsidP="00B71CC9">
            <w:pPr>
              <w:numPr>
                <w:ilvl w:val="0"/>
                <w:numId w:val="1"/>
              </w:numPr>
              <w:spacing w:before="100" w:beforeAutospacing="1" w:after="100" w:afterAutospacing="1"/>
              <w:rPr>
                <w:kern w:val="2"/>
                <w14:ligatures w14:val="standardContextual"/>
              </w:rPr>
            </w:pPr>
            <w:r>
              <w:rPr>
                <w:rStyle w:val="Strong"/>
                <w:kern w:val="2"/>
                <w:sz w:val="28"/>
                <w:szCs w:val="28"/>
                <w14:ligatures w14:val="standardContextual"/>
              </w:rPr>
              <w:t>Mentorship and Networking:</w:t>
            </w:r>
            <w:r>
              <w:rPr>
                <w:kern w:val="2"/>
                <w:sz w:val="28"/>
                <w:szCs w:val="28"/>
                <w14:ligatures w14:val="standardContextual"/>
              </w:rPr>
              <w:t xml:space="preserve"> Benefit from mentorship opportunities with experienced leaders from the National Federation of the Blind, who will provide guidance, support, and insights throughout your journey. Additionally, you will have the chance to connect with fellow program participants, building a network of like-minded individuals passionate about the blind community.</w:t>
            </w:r>
          </w:p>
          <w:p w14:paraId="2E2B1B5A" w14:textId="77777777" w:rsidR="009F4B84" w:rsidRDefault="009F4B84" w:rsidP="00B71CC9">
            <w:pPr>
              <w:numPr>
                <w:ilvl w:val="0"/>
                <w:numId w:val="1"/>
              </w:numPr>
              <w:spacing w:before="100" w:beforeAutospacing="1" w:after="100" w:afterAutospacing="1"/>
              <w:rPr>
                <w:kern w:val="2"/>
                <w14:ligatures w14:val="standardContextual"/>
              </w:rPr>
            </w:pPr>
            <w:r>
              <w:rPr>
                <w:rStyle w:val="Strong"/>
                <w:kern w:val="2"/>
                <w:sz w:val="28"/>
                <w:szCs w:val="28"/>
                <w14:ligatures w14:val="standardContextual"/>
              </w:rPr>
              <w:t>Real-World Projects:</w:t>
            </w:r>
            <w:r>
              <w:rPr>
                <w:kern w:val="2"/>
                <w:sz w:val="28"/>
                <w:szCs w:val="28"/>
                <w14:ligatures w14:val="standardContextual"/>
              </w:rPr>
              <w:t xml:space="preserve"> Apply your newfound skills through hands-on leadership experiences within the National Federation of the Blind. Contribute to ongoing initiatives, collaborate with existing leaders, and make a tangible impact on the lives of blind individuals.</w:t>
            </w:r>
          </w:p>
          <w:p w14:paraId="46C50983" w14:textId="77777777" w:rsidR="009F4B84" w:rsidRDefault="009F4B84" w:rsidP="00B71CC9">
            <w:pPr>
              <w:numPr>
                <w:ilvl w:val="0"/>
                <w:numId w:val="1"/>
              </w:numPr>
              <w:spacing w:before="100" w:beforeAutospacing="1" w:after="100" w:afterAutospacing="1"/>
              <w:rPr>
                <w:kern w:val="2"/>
                <w14:ligatures w14:val="standardContextual"/>
              </w:rPr>
            </w:pPr>
            <w:r>
              <w:rPr>
                <w:rStyle w:val="Strong"/>
                <w:kern w:val="2"/>
                <w:sz w:val="28"/>
                <w:szCs w:val="28"/>
                <w14:ligatures w14:val="standardContextual"/>
              </w:rPr>
              <w:t>Personal Growth and Empowerment:</w:t>
            </w:r>
            <w:r>
              <w:rPr>
                <w:kern w:val="2"/>
                <w:sz w:val="28"/>
                <w:szCs w:val="28"/>
                <w14:ligatures w14:val="standardContextual"/>
              </w:rPr>
              <w:t xml:space="preserve"> Our program places great emphasis on personal growth, fostering self-confidence, resilience, and effective communication skills. Develop a strong sense of empowerment and self-advocacy that will serve you in all aspects of your life.</w:t>
            </w:r>
          </w:p>
          <w:p w14:paraId="100ABAD0" w14:textId="77777777" w:rsidR="009F4B84" w:rsidRDefault="009F4B84">
            <w:pPr>
              <w:pStyle w:val="Heading2"/>
              <w:rPr>
                <w:rFonts w:eastAsiaTheme="minorHAnsi"/>
                <w:kern w:val="2"/>
                <w14:ligatures w14:val="standardContextual"/>
              </w:rPr>
            </w:pPr>
            <w:r>
              <w:rPr>
                <w:rFonts w:eastAsiaTheme="minorHAnsi"/>
                <w:kern w:val="2"/>
                <w:sz w:val="44"/>
                <w:szCs w:val="44"/>
                <w14:ligatures w14:val="standardContextual"/>
              </w:rPr>
              <w:t>Eligibility and Application Process</w:t>
            </w:r>
          </w:p>
          <w:p w14:paraId="06AD7756" w14:textId="77777777" w:rsidR="009F4B84" w:rsidRDefault="009F4B84">
            <w:pPr>
              <w:pStyle w:val="NormalWeb"/>
              <w:rPr>
                <w:kern w:val="2"/>
                <w14:ligatures w14:val="standardContextual"/>
              </w:rPr>
            </w:pPr>
            <w:r>
              <w:rPr>
                <w:kern w:val="2"/>
                <w:sz w:val="28"/>
                <w:szCs w:val="28"/>
                <w14:ligatures w14:val="standardContextual"/>
              </w:rPr>
              <w:t xml:space="preserve">The Kenneth Jernigan Leadership in Service Program is open to individuals who are blind and demonstrate a passion for the organized blind movement. To apply, interested individuals should contact and </w:t>
            </w:r>
            <w:hyperlink r:id="rId8" w:history="1">
              <w:r>
                <w:rPr>
                  <w:rStyle w:val="Hyperlink"/>
                  <w:kern w:val="2"/>
                  <w:sz w:val="28"/>
                  <w:szCs w:val="28"/>
                  <w14:ligatures w14:val="standardContextual"/>
                </w:rPr>
                <w:t>secure the support of two NFB affiliate presidents</w:t>
              </w:r>
            </w:hyperlink>
            <w:r>
              <w:rPr>
                <w:kern w:val="2"/>
                <w:sz w:val="28"/>
                <w:szCs w:val="28"/>
                <w14:ligatures w14:val="standardContextual"/>
              </w:rPr>
              <w:t xml:space="preserve"> who agree to serve as sponsor/mentor for the program, providing them with a written essay or audio/video recording explaining the merits of your participation and your leadership goals. </w:t>
            </w:r>
          </w:p>
          <w:p w14:paraId="47C7D371" w14:textId="77777777" w:rsidR="009F4B84" w:rsidRDefault="009F4B84">
            <w:pPr>
              <w:pStyle w:val="NormalWeb"/>
              <w:rPr>
                <w:kern w:val="2"/>
                <w14:ligatures w14:val="standardContextual"/>
              </w:rPr>
            </w:pPr>
            <w:r>
              <w:rPr>
                <w:kern w:val="2"/>
                <w:sz w:val="28"/>
                <w:szCs w:val="28"/>
                <w14:ligatures w14:val="standardContextual"/>
              </w:rPr>
              <w:t>Affiliate presidents are only allowed to sponsor two candidates, and they must make their recommendations to the President of the National Federation of the Blind by August 25, 2023.</w:t>
            </w:r>
          </w:p>
          <w:p w14:paraId="58076E8A" w14:textId="64B842E5" w:rsidR="009F4B84" w:rsidRDefault="009F4B84">
            <w:pPr>
              <w:pStyle w:val="NormalWeb"/>
              <w:rPr>
                <w:kern w:val="2"/>
                <w14:ligatures w14:val="standardContextual"/>
              </w:rPr>
            </w:pPr>
          </w:p>
          <w:p w14:paraId="1F6F48DC" w14:textId="040B241F" w:rsidR="009F4B84" w:rsidRDefault="009F4B84">
            <w:pPr>
              <w:pStyle w:val="NormalWeb"/>
              <w:rPr>
                <w:kern w:val="2"/>
                <w14:ligatures w14:val="standardContextual"/>
              </w:rPr>
            </w:pPr>
          </w:p>
        </w:tc>
      </w:tr>
    </w:tbl>
    <w:p w14:paraId="58580680" w14:textId="77777777" w:rsidR="009F4B84" w:rsidRDefault="009F4B84"/>
    <w:sectPr w:rsidR="009F4B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C55AED"/>
    <w:multiLevelType w:val="multilevel"/>
    <w:tmpl w:val="14649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8680372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B84"/>
    <w:rsid w:val="009F4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F965D"/>
  <w15:chartTrackingRefBased/>
  <w15:docId w15:val="{473DA94C-E6E2-441D-93EA-1449C6E6D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B84"/>
    <w:pPr>
      <w:spacing w:after="0" w:line="240" w:lineRule="auto"/>
    </w:pPr>
    <w:rPr>
      <w:rFonts w:ascii="Calibri" w:hAnsi="Calibri" w:cs="Calibri"/>
      <w:kern w:val="0"/>
      <w14:ligatures w14:val="none"/>
    </w:rPr>
  </w:style>
  <w:style w:type="paragraph" w:styleId="Heading1">
    <w:name w:val="heading 1"/>
    <w:basedOn w:val="Normal"/>
    <w:link w:val="Heading1Char"/>
    <w:uiPriority w:val="9"/>
    <w:qFormat/>
    <w:rsid w:val="009F4B84"/>
    <w:pPr>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semiHidden/>
    <w:unhideWhenUsed/>
    <w:qFormat/>
    <w:rsid w:val="009F4B84"/>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B84"/>
    <w:rPr>
      <w:rFonts w:ascii="Calibri" w:eastAsia="Times New Roman" w:hAnsi="Calibri" w:cs="Calibri"/>
      <w:b/>
      <w:bCs/>
      <w:kern w:val="36"/>
      <w:sz w:val="48"/>
      <w:szCs w:val="48"/>
      <w14:ligatures w14:val="none"/>
    </w:rPr>
  </w:style>
  <w:style w:type="character" w:customStyle="1" w:styleId="Heading2Char">
    <w:name w:val="Heading 2 Char"/>
    <w:basedOn w:val="DefaultParagraphFont"/>
    <w:link w:val="Heading2"/>
    <w:uiPriority w:val="9"/>
    <w:semiHidden/>
    <w:rsid w:val="009F4B84"/>
    <w:rPr>
      <w:rFonts w:ascii="Calibri" w:eastAsia="Times New Roman" w:hAnsi="Calibri" w:cs="Calibri"/>
      <w:b/>
      <w:bCs/>
      <w:kern w:val="0"/>
      <w:sz w:val="36"/>
      <w:szCs w:val="36"/>
      <w14:ligatures w14:val="none"/>
    </w:rPr>
  </w:style>
  <w:style w:type="character" w:styleId="Hyperlink">
    <w:name w:val="Hyperlink"/>
    <w:basedOn w:val="DefaultParagraphFont"/>
    <w:uiPriority w:val="99"/>
    <w:semiHidden/>
    <w:unhideWhenUsed/>
    <w:rsid w:val="009F4B84"/>
    <w:rPr>
      <w:color w:val="0000FF"/>
      <w:u w:val="single"/>
    </w:rPr>
  </w:style>
  <w:style w:type="paragraph" w:styleId="NormalWeb">
    <w:name w:val="Normal (Web)"/>
    <w:basedOn w:val="Normal"/>
    <w:uiPriority w:val="99"/>
    <w:semiHidden/>
    <w:unhideWhenUsed/>
    <w:rsid w:val="009F4B84"/>
    <w:pPr>
      <w:spacing w:before="100" w:beforeAutospacing="1" w:after="100" w:afterAutospacing="1"/>
    </w:pPr>
  </w:style>
  <w:style w:type="character" w:styleId="Strong">
    <w:name w:val="Strong"/>
    <w:basedOn w:val="DefaultParagraphFont"/>
    <w:uiPriority w:val="22"/>
    <w:qFormat/>
    <w:rsid w:val="009F4B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93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32452178.ct.sendgrid.net/ls/click?upn=mTCu8dGvOkl-2BXqaCK8sZ2XZsIV-2FIHwCJ1wu82RzQMT8t64jmb9bmcUogA-2Bzxye9v7CJWb0HwahLM9Pmur9aiIvtuS-2FS6mMuDoQZNpIHcW-2FQ-3DoCzy_YHoeFa5KuxVLMreZe7v9Js34MShOO-2BmtM7-2F7P0uPqaqWmbalCSRjfl43A9qEQoh9tLgVfTbes2WKcAPnDchs5DUgEE-2BE16-2FjgbJINV037X4SqQhAe2nSRb5-2BKN-2Fzn-2FgLobvMI-2B93vtsOuxiTNY193s4ufxIDM3a3gEZxhZxZVD0x-2F24WZKN6-2FLnKhZ3VB-2FoOeIpkIj3D1qQvh1mYb4nSMgxbr5BRdDYJ-2FSn6j3ziVZg-3D"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32452178.ct.sendgrid.net/ls/click?upn=mTCu8dGvOkl-2BXqaCK8sZ2XZsIV-2FIHwCJ1wu82RzQMT8t64jmb9bmcUogA-2Bzxye9vxDcx3lVDh2tpPIXAL3Xf6MxUQeTiNSumVJEdRtfE3Dk-3D_Da7_YHoeFa5KuxVLMreZe7v9Js34MShOO-2BmtM7-2F7P0uPqaqWmbalCSRjfl43A9qEQoh9tLgVfTbes2WKcAPnDchs5JAuGBBe-2FbGJ49Af-2B1mJvdPN3T-2B0qahWnYIQvpEm5n2WHAVYEs2BG0Yg-2Fzgojo1Km2MsGSi1-2BygWYddPn0-2FBfDvc5VQQjYjgl7o0B-2FFNqKc9z8nKlnKD4cCFewTOzqP4OqaT-2FUpOfBcq1F2j62M0t4M-3D"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530</Words>
  <Characters>3027</Characters>
  <Application>Microsoft Office Word</Application>
  <DocSecurity>0</DocSecurity>
  <Lines>25</Lines>
  <Paragraphs>7</Paragraphs>
  <ScaleCrop>false</ScaleCrop>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Melley</dc:creator>
  <cp:keywords/>
  <dc:description/>
  <cp:lastModifiedBy>Maryanne Melley</cp:lastModifiedBy>
  <cp:revision>1</cp:revision>
  <dcterms:created xsi:type="dcterms:W3CDTF">2023-08-10T19:25:00Z</dcterms:created>
  <dcterms:modified xsi:type="dcterms:W3CDTF">2023-08-10T19:26:00Z</dcterms:modified>
</cp:coreProperties>
</file>