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8E" w:rsidRDefault="0045148E">
      <w:pPr>
        <w:spacing w:after="0"/>
        <w:jc w:val="center"/>
        <w:rPr>
          <w:rFonts w:ascii="Californian FB" w:hAnsi="Californian FB"/>
          <w:b/>
          <w:sz w:val="24"/>
          <w:szCs w:val="24"/>
        </w:rPr>
      </w:pPr>
      <w:r>
        <w:rPr>
          <w:rFonts w:ascii="Californian FB" w:hAnsi="Californian FB"/>
          <w:b/>
          <w:sz w:val="24"/>
          <w:szCs w:val="24"/>
        </w:rPr>
        <w:t>HOSPITAL ACCESS INITIATIVE</w:t>
      </w:r>
    </w:p>
    <w:p w:rsidR="0045148E" w:rsidRDefault="0045148E">
      <w:pPr>
        <w:spacing w:after="0" w:line="240" w:lineRule="auto"/>
        <w:jc w:val="both"/>
        <w:rPr>
          <w:rFonts w:ascii="Californian FB" w:hAnsi="Californian FB"/>
          <w:sz w:val="24"/>
          <w:szCs w:val="24"/>
        </w:rPr>
      </w:pPr>
    </w:p>
    <w:p w:rsidR="0045148E" w:rsidRDefault="0045148E">
      <w:pPr>
        <w:spacing w:after="0" w:line="240" w:lineRule="auto"/>
        <w:jc w:val="both"/>
        <w:rPr>
          <w:rFonts w:ascii="Californian FB" w:hAnsi="Californian FB"/>
          <w:sz w:val="24"/>
          <w:szCs w:val="24"/>
        </w:rPr>
      </w:pPr>
      <w:r>
        <w:rPr>
          <w:rFonts w:ascii="Californian FB" w:hAnsi="Californian FB"/>
          <w:sz w:val="24"/>
          <w:szCs w:val="24"/>
        </w:rPr>
        <w:t xml:space="preserve">A coalition of Illinois disability rights advocates has launched a Hospital Access Initiative, combining Education, Legislation, Advocacy and Research to enhance hospital access, the provision of in-patient and out-patient healthcare services and accommodations for people with disabilities in hospitals within Cook, Lake, DuPage, Kane, Kendall, and McHenry counties. </w:t>
      </w:r>
    </w:p>
    <w:p w:rsidR="0045148E" w:rsidRDefault="0045148E">
      <w:pPr>
        <w:spacing w:after="0" w:line="240" w:lineRule="auto"/>
        <w:jc w:val="both"/>
        <w:rPr>
          <w:rFonts w:ascii="Californian FB" w:hAnsi="Californian FB"/>
          <w:sz w:val="24"/>
          <w:szCs w:val="24"/>
        </w:rPr>
      </w:pPr>
    </w:p>
    <w:p w:rsidR="0045148E" w:rsidRDefault="0045148E">
      <w:pPr>
        <w:spacing w:after="0" w:line="240" w:lineRule="auto"/>
        <w:jc w:val="both"/>
        <w:rPr>
          <w:rFonts w:ascii="Californian FB" w:hAnsi="Californian FB"/>
          <w:sz w:val="24"/>
          <w:szCs w:val="24"/>
        </w:rPr>
      </w:pPr>
      <w:r>
        <w:rPr>
          <w:rFonts w:ascii="Californian FB" w:hAnsi="Californian FB"/>
          <w:sz w:val="24"/>
          <w:szCs w:val="24"/>
        </w:rPr>
        <w:t>In general, people with disabilities confront a myriad of access barriers to healthcare -  physical barriers (e.g., architectural and inaccessible examination and diagnostic equipment), attitudinal barriers (e.g., doctors misconceptions and assumptions about a person’s disability that leads to inferior care, neglect, or denial of care), and communication barriers (e.g. lack of communication facilitators and accessible formats) - which limit meaningful access to healthcare and accommodations in hospital settings. Some specific examples of access barriers affecting persons with mobility, communication or cognitive and mental impairments, persons who are blind or visually impaired and persons who are deaf or hard of hearing include:</w:t>
      </w:r>
    </w:p>
    <w:p w:rsidR="0045148E" w:rsidRDefault="0045148E">
      <w:pPr>
        <w:spacing w:after="0" w:line="240" w:lineRule="auto"/>
        <w:jc w:val="both"/>
        <w:rPr>
          <w:rFonts w:ascii="Californian FB" w:hAnsi="Californian FB"/>
          <w:sz w:val="24"/>
          <w:szCs w:val="24"/>
        </w:rPr>
      </w:pPr>
    </w:p>
    <w:tbl>
      <w:tblPr>
        <w:tblW w:w="0" w:type="auto"/>
        <w:tblLook w:val="04A0"/>
      </w:tblPr>
      <w:tblGrid>
        <w:gridCol w:w="5328"/>
        <w:gridCol w:w="5580"/>
      </w:tblGrid>
      <w:tr w:rsidR="0045148E">
        <w:tc>
          <w:tcPr>
            <w:tcW w:w="5328" w:type="dxa"/>
          </w:tcPr>
          <w:p w:rsidR="0045148E" w:rsidRDefault="0045148E">
            <w:pPr>
              <w:spacing w:after="0" w:line="240" w:lineRule="auto"/>
              <w:rPr>
                <w:rFonts w:ascii="Californian FB" w:hAnsi="Californian FB"/>
                <w:sz w:val="24"/>
                <w:szCs w:val="24"/>
              </w:rPr>
            </w:pPr>
            <w:r>
              <w:rPr>
                <w:rFonts w:ascii="Californian FB" w:hAnsi="Californian FB"/>
                <w:sz w:val="24"/>
                <w:szCs w:val="24"/>
              </w:rPr>
              <w:t>Mobility Impairments</w:t>
            </w:r>
          </w:p>
        </w:tc>
        <w:tc>
          <w:tcPr>
            <w:tcW w:w="5580" w:type="dxa"/>
          </w:tcPr>
          <w:p w:rsidR="0045148E" w:rsidRDefault="0045148E">
            <w:pPr>
              <w:spacing w:after="0" w:line="240" w:lineRule="auto"/>
              <w:rPr>
                <w:rFonts w:ascii="Californian FB" w:hAnsi="Californian FB"/>
                <w:sz w:val="24"/>
                <w:szCs w:val="24"/>
              </w:rPr>
            </w:pPr>
            <w:r>
              <w:rPr>
                <w:rFonts w:ascii="Californian FB" w:hAnsi="Californian FB"/>
                <w:sz w:val="24"/>
                <w:szCs w:val="24"/>
              </w:rPr>
              <w:t xml:space="preserve">Communication or Cognitive </w:t>
            </w:r>
            <w:r w:rsidR="00D92B48">
              <w:rPr>
                <w:rFonts w:ascii="Californian FB" w:hAnsi="Californian FB"/>
                <w:sz w:val="24"/>
                <w:szCs w:val="24"/>
              </w:rPr>
              <w:t>&amp;</w:t>
            </w:r>
            <w:r>
              <w:rPr>
                <w:rFonts w:ascii="Californian FB" w:hAnsi="Californian FB"/>
                <w:sz w:val="24"/>
                <w:szCs w:val="24"/>
              </w:rPr>
              <w:t xml:space="preserve"> Mental Health Impairments</w:t>
            </w:r>
          </w:p>
          <w:p w:rsidR="0045148E" w:rsidRDefault="0045148E">
            <w:pPr>
              <w:spacing w:after="0" w:line="240" w:lineRule="auto"/>
              <w:rPr>
                <w:rFonts w:ascii="Californian FB" w:hAnsi="Californian FB"/>
                <w:sz w:val="24"/>
                <w:szCs w:val="24"/>
              </w:rPr>
            </w:pPr>
          </w:p>
        </w:tc>
      </w:tr>
      <w:tr w:rsidR="0045148E">
        <w:trPr>
          <w:trHeight w:val="1044"/>
        </w:trPr>
        <w:tc>
          <w:tcPr>
            <w:tcW w:w="5328" w:type="dxa"/>
          </w:tcPr>
          <w:p w:rsidR="0045148E" w:rsidRDefault="0045148E">
            <w:pPr>
              <w:numPr>
                <w:ilvl w:val="0"/>
                <w:numId w:val="5"/>
              </w:numPr>
              <w:spacing w:after="0" w:line="240" w:lineRule="auto"/>
              <w:rPr>
                <w:rFonts w:ascii="Californian FB" w:hAnsi="Californian FB"/>
                <w:sz w:val="24"/>
                <w:szCs w:val="24"/>
              </w:rPr>
            </w:pPr>
            <w:r>
              <w:rPr>
                <w:rFonts w:ascii="Californian FB" w:hAnsi="Californian FB"/>
                <w:sz w:val="24"/>
                <w:szCs w:val="24"/>
              </w:rPr>
              <w:t>Small examination rooms which restrict wheelchair or scooter movement</w:t>
            </w:r>
          </w:p>
        </w:tc>
        <w:tc>
          <w:tcPr>
            <w:tcW w:w="5580" w:type="dxa"/>
          </w:tcPr>
          <w:p w:rsidR="0045148E" w:rsidRDefault="0045148E">
            <w:pPr>
              <w:numPr>
                <w:ilvl w:val="0"/>
                <w:numId w:val="5"/>
              </w:numPr>
              <w:spacing w:after="0" w:line="240" w:lineRule="auto"/>
              <w:rPr>
                <w:rFonts w:ascii="Californian FB" w:hAnsi="Californian FB"/>
                <w:sz w:val="24"/>
                <w:szCs w:val="24"/>
              </w:rPr>
            </w:pPr>
            <w:r>
              <w:rPr>
                <w:rFonts w:ascii="Californian FB" w:hAnsi="Californian FB"/>
                <w:sz w:val="24"/>
                <w:szCs w:val="24"/>
              </w:rPr>
              <w:t>Lengthy delays between the time an appointment is made and the actual appointment</w:t>
            </w:r>
          </w:p>
          <w:p w:rsidR="0045148E" w:rsidRDefault="0045148E">
            <w:pPr>
              <w:spacing w:after="0" w:line="240" w:lineRule="auto"/>
              <w:ind w:left="720"/>
              <w:rPr>
                <w:rFonts w:ascii="Californian FB" w:hAnsi="Californian FB"/>
                <w:sz w:val="24"/>
                <w:szCs w:val="24"/>
              </w:rPr>
            </w:pPr>
          </w:p>
        </w:tc>
      </w:tr>
      <w:tr w:rsidR="0045148E">
        <w:tc>
          <w:tcPr>
            <w:tcW w:w="5328" w:type="dxa"/>
          </w:tcPr>
          <w:p w:rsidR="0045148E" w:rsidRDefault="0045148E">
            <w:pPr>
              <w:numPr>
                <w:ilvl w:val="0"/>
                <w:numId w:val="5"/>
              </w:numPr>
              <w:spacing w:after="0" w:line="240" w:lineRule="auto"/>
              <w:rPr>
                <w:rFonts w:ascii="Californian FB" w:hAnsi="Californian FB"/>
                <w:sz w:val="24"/>
                <w:szCs w:val="24"/>
              </w:rPr>
            </w:pPr>
            <w:r>
              <w:rPr>
                <w:rFonts w:ascii="Californian FB" w:hAnsi="Californian FB"/>
                <w:sz w:val="24"/>
                <w:szCs w:val="24"/>
              </w:rPr>
              <w:t xml:space="preserve">Lack or absence of lift or transfer equipment </w:t>
            </w:r>
          </w:p>
          <w:p w:rsidR="0045148E" w:rsidRDefault="0045148E">
            <w:pPr>
              <w:numPr>
                <w:ilvl w:val="0"/>
                <w:numId w:val="5"/>
              </w:numPr>
              <w:spacing w:before="360" w:after="0" w:line="240" w:lineRule="auto"/>
              <w:rPr>
                <w:rFonts w:ascii="Californian FB" w:hAnsi="Californian FB"/>
                <w:sz w:val="24"/>
                <w:szCs w:val="24"/>
              </w:rPr>
            </w:pPr>
            <w:r>
              <w:rPr>
                <w:rFonts w:ascii="Californian FB" w:hAnsi="Californian FB"/>
                <w:sz w:val="24"/>
                <w:szCs w:val="24"/>
              </w:rPr>
              <w:t>Examination tables that do not lower to facilitate transfers</w:t>
            </w:r>
          </w:p>
          <w:p w:rsidR="0045148E" w:rsidRDefault="0045148E">
            <w:pPr>
              <w:spacing w:after="0" w:line="240" w:lineRule="auto"/>
              <w:rPr>
                <w:rFonts w:ascii="Californian FB" w:hAnsi="Californian FB"/>
                <w:sz w:val="24"/>
                <w:szCs w:val="24"/>
              </w:rPr>
            </w:pPr>
          </w:p>
          <w:p w:rsidR="0045148E" w:rsidRDefault="0045148E">
            <w:pPr>
              <w:spacing w:after="0" w:line="240" w:lineRule="auto"/>
              <w:rPr>
                <w:rFonts w:ascii="Californian FB" w:hAnsi="Californian FB"/>
                <w:sz w:val="24"/>
                <w:szCs w:val="24"/>
              </w:rPr>
            </w:pPr>
          </w:p>
          <w:p w:rsidR="0045148E" w:rsidRDefault="00D92B48">
            <w:pPr>
              <w:spacing w:after="0" w:line="240" w:lineRule="auto"/>
              <w:rPr>
                <w:rFonts w:ascii="Californian FB" w:hAnsi="Californian FB"/>
                <w:sz w:val="24"/>
                <w:szCs w:val="24"/>
              </w:rPr>
            </w:pPr>
            <w:r>
              <w:rPr>
                <w:rFonts w:ascii="Californian FB" w:hAnsi="Californian FB"/>
                <w:sz w:val="24"/>
                <w:szCs w:val="24"/>
              </w:rPr>
              <w:t>Blindness &amp;</w:t>
            </w:r>
            <w:r w:rsidR="0045148E">
              <w:rPr>
                <w:rFonts w:ascii="Californian FB" w:hAnsi="Californian FB"/>
                <w:sz w:val="24"/>
                <w:szCs w:val="24"/>
              </w:rPr>
              <w:t xml:space="preserve"> Visual Impairments</w:t>
            </w:r>
          </w:p>
          <w:p w:rsidR="0045148E" w:rsidRDefault="0045148E">
            <w:pPr>
              <w:spacing w:after="0" w:line="240" w:lineRule="auto"/>
              <w:rPr>
                <w:rFonts w:ascii="Californian FB" w:hAnsi="Californian FB"/>
                <w:sz w:val="24"/>
                <w:szCs w:val="24"/>
              </w:rPr>
            </w:pPr>
          </w:p>
        </w:tc>
        <w:tc>
          <w:tcPr>
            <w:tcW w:w="5580" w:type="dxa"/>
          </w:tcPr>
          <w:p w:rsidR="0045148E" w:rsidRDefault="0045148E">
            <w:pPr>
              <w:numPr>
                <w:ilvl w:val="0"/>
                <w:numId w:val="5"/>
              </w:numPr>
              <w:spacing w:after="0" w:line="240" w:lineRule="auto"/>
              <w:rPr>
                <w:rFonts w:ascii="Californian FB" w:hAnsi="Californian FB"/>
                <w:sz w:val="24"/>
                <w:szCs w:val="24"/>
              </w:rPr>
            </w:pPr>
            <w:r>
              <w:rPr>
                <w:rFonts w:ascii="Californian FB" w:hAnsi="Californian FB"/>
                <w:sz w:val="24"/>
                <w:szCs w:val="24"/>
              </w:rPr>
              <w:t>Referrals of adult persons with communication or cognitive impairments to pediatric providers, or referral to a psychiatric provider or a hospital’s psychiatric unit for care as the person has a mental illness despite the fact that the presenting medical issue is not related to mental illness</w:t>
            </w:r>
          </w:p>
          <w:p w:rsidR="0045148E" w:rsidRDefault="0045148E">
            <w:pPr>
              <w:spacing w:after="0" w:line="240" w:lineRule="auto"/>
              <w:ind w:left="720"/>
              <w:rPr>
                <w:rFonts w:ascii="Californian FB" w:hAnsi="Californian FB"/>
                <w:sz w:val="24"/>
                <w:szCs w:val="24"/>
              </w:rPr>
            </w:pPr>
          </w:p>
          <w:p w:rsidR="0045148E" w:rsidRDefault="0045148E">
            <w:pPr>
              <w:numPr>
                <w:ilvl w:val="0"/>
                <w:numId w:val="5"/>
              </w:numPr>
              <w:spacing w:after="0" w:line="240" w:lineRule="auto"/>
              <w:rPr>
                <w:rFonts w:ascii="Californian FB" w:hAnsi="Californian FB"/>
                <w:sz w:val="24"/>
                <w:szCs w:val="24"/>
              </w:rPr>
            </w:pPr>
            <w:r>
              <w:rPr>
                <w:rFonts w:ascii="Californian FB" w:hAnsi="Californian FB"/>
                <w:sz w:val="24"/>
                <w:szCs w:val="24"/>
              </w:rPr>
              <w:t>Early discharge or being discharged from a hospital without notice</w:t>
            </w:r>
          </w:p>
        </w:tc>
      </w:tr>
      <w:tr w:rsidR="0045148E">
        <w:tc>
          <w:tcPr>
            <w:tcW w:w="5328" w:type="dxa"/>
          </w:tcPr>
          <w:p w:rsidR="0045148E" w:rsidRDefault="0045148E">
            <w:pPr>
              <w:numPr>
                <w:ilvl w:val="0"/>
                <w:numId w:val="5"/>
              </w:numPr>
              <w:spacing w:after="0" w:line="240" w:lineRule="auto"/>
              <w:rPr>
                <w:rFonts w:ascii="Californian FB" w:hAnsi="Californian FB"/>
                <w:sz w:val="24"/>
                <w:szCs w:val="24"/>
              </w:rPr>
            </w:pPr>
            <w:r>
              <w:rPr>
                <w:rFonts w:ascii="Californian FB" w:hAnsi="Californian FB"/>
                <w:sz w:val="24"/>
                <w:szCs w:val="24"/>
              </w:rPr>
              <w:t>Hospital staff not identifying themselves or their positions</w:t>
            </w:r>
          </w:p>
        </w:tc>
        <w:tc>
          <w:tcPr>
            <w:tcW w:w="5580" w:type="dxa"/>
          </w:tcPr>
          <w:p w:rsidR="0045148E" w:rsidRDefault="0045148E">
            <w:pPr>
              <w:spacing w:after="0" w:line="240" w:lineRule="auto"/>
              <w:rPr>
                <w:rFonts w:ascii="Californian FB" w:hAnsi="Californian FB"/>
                <w:sz w:val="24"/>
                <w:szCs w:val="24"/>
              </w:rPr>
            </w:pPr>
          </w:p>
          <w:p w:rsidR="0045148E" w:rsidRDefault="0045148E">
            <w:pPr>
              <w:spacing w:after="0" w:line="240" w:lineRule="auto"/>
              <w:rPr>
                <w:rFonts w:ascii="Californian FB" w:hAnsi="Californian FB"/>
                <w:sz w:val="24"/>
                <w:szCs w:val="24"/>
              </w:rPr>
            </w:pPr>
            <w:r>
              <w:rPr>
                <w:rFonts w:ascii="Californian FB" w:hAnsi="Californian FB"/>
                <w:sz w:val="24"/>
                <w:szCs w:val="24"/>
              </w:rPr>
              <w:t>Deaf &amp; Hearing Impairments</w:t>
            </w:r>
          </w:p>
        </w:tc>
      </w:tr>
      <w:tr w:rsidR="0045148E">
        <w:tc>
          <w:tcPr>
            <w:tcW w:w="5328" w:type="dxa"/>
          </w:tcPr>
          <w:p w:rsidR="0045148E" w:rsidRDefault="0045148E">
            <w:pPr>
              <w:spacing w:after="0" w:line="240" w:lineRule="auto"/>
              <w:rPr>
                <w:rFonts w:ascii="Californian FB" w:hAnsi="Californian FB"/>
                <w:sz w:val="24"/>
                <w:szCs w:val="24"/>
              </w:rPr>
            </w:pPr>
          </w:p>
          <w:p w:rsidR="0045148E" w:rsidRDefault="0045148E">
            <w:pPr>
              <w:numPr>
                <w:ilvl w:val="0"/>
                <w:numId w:val="5"/>
              </w:numPr>
              <w:spacing w:after="0" w:line="240" w:lineRule="auto"/>
              <w:rPr>
                <w:rFonts w:ascii="Californian FB" w:hAnsi="Californian FB"/>
                <w:sz w:val="24"/>
                <w:szCs w:val="24"/>
              </w:rPr>
            </w:pPr>
            <w:r>
              <w:rPr>
                <w:rFonts w:ascii="Californian FB" w:hAnsi="Californian FB"/>
                <w:sz w:val="24"/>
                <w:szCs w:val="24"/>
              </w:rPr>
              <w:t>Prescription information, care instructions or return appointments are not offered in alternative formats that are accessible</w:t>
            </w:r>
          </w:p>
        </w:tc>
        <w:tc>
          <w:tcPr>
            <w:tcW w:w="5580" w:type="dxa"/>
          </w:tcPr>
          <w:p w:rsidR="0045148E" w:rsidRDefault="0045148E">
            <w:pPr>
              <w:spacing w:after="0" w:line="240" w:lineRule="auto"/>
              <w:rPr>
                <w:rFonts w:ascii="Californian FB" w:hAnsi="Californian FB"/>
                <w:sz w:val="24"/>
                <w:szCs w:val="24"/>
              </w:rPr>
            </w:pPr>
          </w:p>
          <w:p w:rsidR="0045148E" w:rsidRDefault="0045148E">
            <w:pPr>
              <w:numPr>
                <w:ilvl w:val="0"/>
                <w:numId w:val="8"/>
              </w:numPr>
              <w:spacing w:after="0" w:line="240" w:lineRule="auto"/>
              <w:rPr>
                <w:rFonts w:ascii="Californian FB" w:hAnsi="Californian FB"/>
                <w:sz w:val="24"/>
                <w:szCs w:val="24"/>
              </w:rPr>
            </w:pPr>
            <w:r>
              <w:rPr>
                <w:rFonts w:ascii="Californian FB" w:hAnsi="Californian FB"/>
                <w:sz w:val="24"/>
                <w:szCs w:val="24"/>
              </w:rPr>
              <w:t>American sign language interpreters are generally not available during visits</w:t>
            </w:r>
          </w:p>
          <w:p w:rsidR="0045148E" w:rsidRDefault="0045148E">
            <w:pPr>
              <w:spacing w:after="0" w:line="240" w:lineRule="auto"/>
              <w:rPr>
                <w:rFonts w:ascii="Californian FB" w:hAnsi="Californian FB"/>
                <w:sz w:val="24"/>
                <w:szCs w:val="24"/>
              </w:rPr>
            </w:pPr>
          </w:p>
        </w:tc>
      </w:tr>
      <w:tr w:rsidR="0045148E">
        <w:tc>
          <w:tcPr>
            <w:tcW w:w="5328" w:type="dxa"/>
          </w:tcPr>
          <w:p w:rsidR="0045148E" w:rsidRDefault="0045148E">
            <w:pPr>
              <w:spacing w:after="0" w:line="240" w:lineRule="auto"/>
              <w:ind w:left="720"/>
              <w:rPr>
                <w:rFonts w:ascii="Californian FB" w:hAnsi="Californian FB"/>
                <w:sz w:val="24"/>
                <w:szCs w:val="24"/>
              </w:rPr>
            </w:pPr>
          </w:p>
          <w:p w:rsidR="0045148E" w:rsidRDefault="0045148E">
            <w:pPr>
              <w:numPr>
                <w:ilvl w:val="0"/>
                <w:numId w:val="7"/>
              </w:numPr>
              <w:spacing w:after="0" w:line="240" w:lineRule="auto"/>
              <w:rPr>
                <w:rFonts w:ascii="Californian FB" w:hAnsi="Californian FB"/>
                <w:sz w:val="24"/>
                <w:szCs w:val="24"/>
              </w:rPr>
            </w:pPr>
            <w:r>
              <w:rPr>
                <w:rFonts w:ascii="Californian FB" w:hAnsi="Californian FB"/>
                <w:sz w:val="24"/>
                <w:szCs w:val="24"/>
              </w:rPr>
              <w:t>Lack of appropriate accessible signage using Braille or raised letters</w:t>
            </w:r>
          </w:p>
          <w:p w:rsidR="0045148E" w:rsidRDefault="0045148E">
            <w:pPr>
              <w:spacing w:after="0" w:line="240" w:lineRule="auto"/>
              <w:ind w:left="720"/>
              <w:rPr>
                <w:rFonts w:ascii="Californian FB" w:hAnsi="Californian FB"/>
                <w:sz w:val="24"/>
                <w:szCs w:val="24"/>
              </w:rPr>
            </w:pPr>
          </w:p>
        </w:tc>
        <w:tc>
          <w:tcPr>
            <w:tcW w:w="5580" w:type="dxa"/>
          </w:tcPr>
          <w:p w:rsidR="0045148E" w:rsidRDefault="0045148E">
            <w:pPr>
              <w:numPr>
                <w:ilvl w:val="0"/>
                <w:numId w:val="7"/>
              </w:numPr>
              <w:spacing w:after="0" w:line="240" w:lineRule="auto"/>
              <w:rPr>
                <w:rFonts w:ascii="Californian FB" w:hAnsi="Californian FB"/>
                <w:sz w:val="24"/>
                <w:szCs w:val="24"/>
              </w:rPr>
            </w:pPr>
            <w:r>
              <w:rPr>
                <w:rFonts w:ascii="Californian FB" w:hAnsi="Californian FB"/>
                <w:sz w:val="24"/>
                <w:szCs w:val="24"/>
              </w:rPr>
              <w:t xml:space="preserve">Assistive listening devices are not offered, precluding the ability to ask questions or get a complete understanding of the diagnosis,  care and treatment </w:t>
            </w:r>
          </w:p>
          <w:p w:rsidR="0045148E" w:rsidRDefault="0045148E">
            <w:pPr>
              <w:numPr>
                <w:ilvl w:val="0"/>
                <w:numId w:val="7"/>
              </w:numPr>
              <w:spacing w:before="360" w:after="0" w:line="240" w:lineRule="auto"/>
              <w:rPr>
                <w:rFonts w:ascii="Californian FB" w:hAnsi="Californian FB"/>
                <w:sz w:val="24"/>
                <w:szCs w:val="24"/>
              </w:rPr>
            </w:pPr>
            <w:r>
              <w:rPr>
                <w:rFonts w:ascii="Californian FB" w:hAnsi="Californian FB"/>
                <w:sz w:val="24"/>
                <w:szCs w:val="24"/>
              </w:rPr>
              <w:t>Hospital physicians and staff rely on family members to communicate with you</w:t>
            </w:r>
          </w:p>
        </w:tc>
      </w:tr>
    </w:tbl>
    <w:p w:rsidR="0045148E" w:rsidRDefault="0045148E">
      <w:pPr>
        <w:spacing w:before="240" w:after="0" w:line="240" w:lineRule="auto"/>
        <w:jc w:val="both"/>
        <w:rPr>
          <w:rFonts w:ascii="Californian FB" w:hAnsi="Californian FB"/>
          <w:sz w:val="24"/>
          <w:szCs w:val="24"/>
        </w:rPr>
      </w:pPr>
      <w:r>
        <w:rPr>
          <w:rFonts w:ascii="Californian FB" w:hAnsi="Californian FB"/>
          <w:sz w:val="24"/>
          <w:szCs w:val="24"/>
        </w:rPr>
        <w:t>If you or your loved ones have a disability and would like to share with the coalition your in-patient or out-patient experiences in hospitals within Cook, Lake, DuPage, Kane, Kendall, and McHenry counties, please contact Judy Panko Reis, M.A., M.S., Access Living, at (312) 640-2184 or via email at jreis@accessliving.org; Sarah Price, Equip for Equality, at (312) 895-7339 or via email at sarah@equipforequality.org; or Andrés J. Gallegos, Esq., Robbins, Salomon and Patt, Ltd., at (312) 456-0381 or via email at agallegos@rsplaw.com.  All discussions are confidential.                                                                                                                                          May 2010</w:t>
      </w:r>
    </w:p>
    <w:sectPr w:rsidR="0045148E">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48E" w:rsidRDefault="0045148E">
      <w:pPr>
        <w:spacing w:after="0" w:line="240" w:lineRule="auto"/>
      </w:pPr>
      <w:r>
        <w:separator/>
      </w:r>
    </w:p>
  </w:endnote>
  <w:endnote w:type="continuationSeparator" w:id="0">
    <w:p w:rsidR="0045148E" w:rsidRDefault="00451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48E" w:rsidRDefault="0045148E">
      <w:pPr>
        <w:spacing w:after="0" w:line="240" w:lineRule="auto"/>
      </w:pPr>
      <w:r>
        <w:separator/>
      </w:r>
    </w:p>
  </w:footnote>
  <w:footnote w:type="continuationSeparator" w:id="0">
    <w:p w:rsidR="0045148E" w:rsidRDefault="004514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7D4F"/>
    <w:multiLevelType w:val="hybridMultilevel"/>
    <w:tmpl w:val="049E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544A8"/>
    <w:multiLevelType w:val="hybridMultilevel"/>
    <w:tmpl w:val="932A2136"/>
    <w:lvl w:ilvl="0" w:tplc="59660AFC">
      <w:start w:val="1"/>
      <w:numFmt w:val="bullet"/>
      <w:lvlText w:val=""/>
      <w:lvlJc w:val="left"/>
      <w:pPr>
        <w:ind w:left="720" w:hanging="360"/>
      </w:pPr>
      <w:rPr>
        <w:rFonts w:ascii="Wingdings" w:hAnsi="Wingdings"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80EBC"/>
    <w:multiLevelType w:val="hybridMultilevel"/>
    <w:tmpl w:val="A748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02BE1"/>
    <w:multiLevelType w:val="hybridMultilevel"/>
    <w:tmpl w:val="FC38B8B8"/>
    <w:lvl w:ilvl="0" w:tplc="CD28F26C">
      <w:start w:val="1"/>
      <w:numFmt w:val="bullet"/>
      <w:lvlText w:val=""/>
      <w:lvlJc w:val="left"/>
      <w:pPr>
        <w:ind w:left="720" w:hanging="360"/>
      </w:pPr>
      <w:rPr>
        <w:rFonts w:ascii="Wingdings" w:hAnsi="Wingdings"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1848D0"/>
    <w:multiLevelType w:val="hybridMultilevel"/>
    <w:tmpl w:val="00B8001E"/>
    <w:lvl w:ilvl="0" w:tplc="B566C172">
      <w:start w:val="1"/>
      <w:numFmt w:val="bullet"/>
      <w:lvlText w:val=""/>
      <w:lvlJc w:val="left"/>
      <w:pPr>
        <w:ind w:left="720" w:hanging="360"/>
      </w:pPr>
      <w:rPr>
        <w:rFonts w:ascii="Wingdings" w:hAnsi="Wingdings"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140BA0"/>
    <w:multiLevelType w:val="hybridMultilevel"/>
    <w:tmpl w:val="0732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702C57"/>
    <w:multiLevelType w:val="hybridMultilevel"/>
    <w:tmpl w:val="246E1A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833941"/>
    <w:multiLevelType w:val="hybridMultilevel"/>
    <w:tmpl w:val="43EA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4"/>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gnword-docGUID" w:val="{82C4D2C0-2DDD-467A-8574-21695B3116C5}"/>
    <w:docVar w:name="dgnword-eventsink" w:val="3601824"/>
  </w:docVars>
  <w:rsids>
    <w:rsidRoot w:val="00D92B48"/>
    <w:rsid w:val="0045148E"/>
    <w:rsid w:val="00D92B48"/>
    <w:rsid w:val="00E930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sz w:val="22"/>
      <w:szCs w:val="22"/>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sz w:val="22"/>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95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DA20-2909-4D54-9F5E-208F747D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J. Gallegos, Esq.</dc:creator>
  <cp:keywords/>
  <cp:lastModifiedBy> </cp:lastModifiedBy>
  <cp:revision>2</cp:revision>
  <cp:lastPrinted>2010-05-05T19:21:00Z</cp:lastPrinted>
  <dcterms:created xsi:type="dcterms:W3CDTF">2010-05-19T15:39:00Z</dcterms:created>
  <dcterms:modified xsi:type="dcterms:W3CDTF">2010-05-19T15:39:00Z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UFAA9qelww5tp41mFMNer058tUw1RSTF0iMoZE1kGu6s4BP+gZwi/KpIp8dU66PIkQBKJ53wZPtXuc2b_x000d_
sbx8qg3u97M0GldC+PWiwP/KNI42cWI5a+YWyDuKPcqEB+fpXFSErp+R5/wmNJAVfKauXEp0sIsR_x000d_
QDNu8Leqg2gq/iDtzSKdELdzxzNySbu840h1thD/7W3LO7bm7J7068qwzmKTxMRKIw8ZHIT7yjH0_x000d_
SS+NPFQi3kka4WGrj</vt:lpwstr>
  </property>
  <property fmtid="{D5CDD505-2E9C-101B-9397-08002B2CF9AE}" pid="3" name="MAIL_MSG_ID2">
    <vt:lpwstr>/3tCN5R3ILy3Oj4OiYaj8FcmTgqsphK3QfMshFZiL7h0NrOckMOGmlA72sH_x000d_
FGgX4zVbR1ufpsscHnnDDP5cpQI=</vt:lpwstr>
  </property>
  <property fmtid="{D5CDD505-2E9C-101B-9397-08002B2CF9AE}" pid="4" name="RESPONSE_SENDER_NAME">
    <vt:lpwstr>4AAA4Lxe55UJ0C+9dWoQ7m0QoXvWplTGs4PxzUtCzOt9TEnwrgoRyLSAig==</vt:lpwstr>
  </property>
  <property fmtid="{D5CDD505-2E9C-101B-9397-08002B2CF9AE}" pid="5" name="EMAIL_OWNER_ADDRESS">
    <vt:lpwstr>sAAA4E8dREqJqIrumAPuqNPFnxn/0RkHsl/hh1kCsLX7uMM=</vt:lpwstr>
  </property>
</Properties>
</file>