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1" w:rsidRDefault="00BB291C" w:rsidP="00BB29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-225093</wp:posOffset>
            </wp:positionV>
            <wp:extent cx="7466275" cy="3325659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75" cy="33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1C" w:rsidRDefault="00BB291C"/>
    <w:p w:rsidR="00862790" w:rsidRDefault="00862790"/>
    <w:tbl>
      <w:tblPr>
        <w:tblStyle w:val="TableGrid"/>
        <w:tblpPr w:leftFromText="180" w:rightFromText="180" w:vertAnchor="text" w:horzAnchor="margin" w:tblpXSpec="center" w:tblpY="3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0"/>
        <w:gridCol w:w="7560"/>
      </w:tblGrid>
      <w:tr w:rsidR="00F453D0" w:rsidTr="00F453D0">
        <w:trPr>
          <w:trHeight w:val="450"/>
        </w:trPr>
        <w:tc>
          <w:tcPr>
            <w:tcW w:w="990" w:type="dxa"/>
            <w:shd w:val="clear" w:color="auto" w:fill="1F4E79" w:themeFill="accent1" w:themeFillShade="80"/>
          </w:tcPr>
          <w:p w:rsidR="00F453D0" w:rsidRPr="00F453D0" w:rsidRDefault="00F453D0" w:rsidP="00F453D0">
            <w:pPr>
              <w:rPr>
                <w:rFonts w:ascii="Rockwell" w:hAnsi="Rockwell" w:cs="Arial"/>
                <w:color w:val="FFFFFF" w:themeColor="background1"/>
              </w:rPr>
            </w:pPr>
            <w:r w:rsidRPr="00F453D0">
              <w:rPr>
                <w:rFonts w:ascii="Rockwell" w:hAnsi="Rockwell" w:cs="Arial"/>
                <w:color w:val="FFFFFF" w:themeColor="background1"/>
                <w:sz w:val="10"/>
              </w:rPr>
              <w:br/>
            </w:r>
            <w:r w:rsidRPr="00F453D0">
              <w:rPr>
                <w:rFonts w:ascii="Rockwell" w:hAnsi="Rockwell" w:cs="Arial"/>
                <w:color w:val="FFFFFF" w:themeColor="background1"/>
              </w:rPr>
              <w:t>DATE</w:t>
            </w:r>
          </w:p>
        </w:tc>
        <w:tc>
          <w:tcPr>
            <w:tcW w:w="7560" w:type="dxa"/>
            <w:shd w:val="clear" w:color="auto" w:fill="1F4E79" w:themeFill="accent1" w:themeFillShade="80"/>
          </w:tcPr>
          <w:p w:rsidR="00F453D0" w:rsidRPr="00F453D0" w:rsidRDefault="00F453D0" w:rsidP="00F453D0">
            <w:pPr>
              <w:rPr>
                <w:rFonts w:ascii="Rockwell" w:hAnsi="Rockwell" w:cs="Arial"/>
                <w:color w:val="FFFFFF" w:themeColor="background1"/>
                <w:sz w:val="6"/>
              </w:rPr>
            </w:pPr>
            <w:r w:rsidRPr="00F453D0">
              <w:rPr>
                <w:rFonts w:ascii="Rockwell" w:hAnsi="Rockwell" w:cs="Arial"/>
                <w:color w:val="FFFFFF" w:themeColor="background1"/>
                <w:sz w:val="10"/>
              </w:rPr>
              <w:br/>
            </w:r>
            <w:r w:rsidRPr="00F453D0">
              <w:rPr>
                <w:rFonts w:ascii="Rockwell" w:hAnsi="Rockwell" w:cs="Arial"/>
                <w:color w:val="FFFFFF" w:themeColor="background1"/>
              </w:rPr>
              <w:t>TASK</w:t>
            </w:r>
            <w:r>
              <w:rPr>
                <w:rFonts w:ascii="Rockwell" w:hAnsi="Rockwell" w:cs="Arial"/>
                <w:color w:val="FFFFFF" w:themeColor="background1"/>
              </w:rPr>
              <w:br/>
            </w:r>
          </w:p>
        </w:tc>
      </w:tr>
    </w:tbl>
    <w:p w:rsidR="00F453D0" w:rsidRDefault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E72D0C" w:rsidP="00F453D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528763</wp:posOffset>
            </wp:positionH>
            <wp:positionV relativeFrom="paragraph">
              <wp:posOffset>170235</wp:posOffset>
            </wp:positionV>
            <wp:extent cx="5661246" cy="4768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57" cy="48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D0" w:rsidRPr="00F453D0" w:rsidRDefault="00F453D0" w:rsidP="00F453D0"/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995"/>
        <w:gridCol w:w="7560"/>
      </w:tblGrid>
      <w:tr w:rsidR="00E72D0C" w:rsidTr="00E72D0C">
        <w:tc>
          <w:tcPr>
            <w:tcW w:w="995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9/20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 w:rsidRPr="00E72D0C">
              <w:rPr>
                <w:rFonts w:ascii="Rockwell" w:hAnsi="Rockwell"/>
                <w:color w:val="1F4E79" w:themeColor="accent1" w:themeShade="80"/>
              </w:rPr>
              <w:t>Knowing yourself and focusing your employment goals</w:t>
            </w:r>
          </w:p>
        </w:tc>
      </w:tr>
      <w:tr w:rsidR="00E72D0C" w:rsidTr="00E72D0C">
        <w:tc>
          <w:tcPr>
            <w:tcW w:w="995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9/27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 w:rsidRPr="00E72D0C">
              <w:rPr>
                <w:rFonts w:ascii="Rockwell" w:hAnsi="Rockwell"/>
                <w:color w:val="1F4E79" w:themeColor="accent1" w:themeShade="80"/>
              </w:rPr>
              <w:t>Marketing yourself- your presentation and the tools you have to use</w:t>
            </w:r>
          </w:p>
        </w:tc>
      </w:tr>
      <w:tr w:rsidR="00E72D0C" w:rsidTr="00E72D0C">
        <w:tc>
          <w:tcPr>
            <w:tcW w:w="995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10/4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E72D0C" w:rsidRPr="00E72D0C" w:rsidRDefault="00E72D0C" w:rsidP="00E72D0C">
            <w:pPr>
              <w:rPr>
                <w:rFonts w:ascii="Rockwell" w:hAnsi="Rockwell"/>
                <w:color w:val="1F4E79" w:themeColor="accent1" w:themeShade="80"/>
              </w:rPr>
            </w:pPr>
            <w:r w:rsidRPr="00E72D0C">
              <w:rPr>
                <w:rFonts w:ascii="Rockwell" w:hAnsi="Rockwell"/>
                <w:color w:val="1F4E79" w:themeColor="accent1" w:themeShade="80"/>
              </w:rPr>
              <w:t>Social Security Benefits - how will returning to work impact your benefits</w:t>
            </w:r>
          </w:p>
        </w:tc>
      </w:tr>
    </w:tbl>
    <w:p w:rsidR="00F453D0" w:rsidRPr="00E72D0C" w:rsidRDefault="00F453D0" w:rsidP="00F453D0">
      <w:pPr>
        <w:rPr>
          <w:sz w:val="18"/>
        </w:rPr>
      </w:pPr>
    </w:p>
    <w:p w:rsidR="00F453D0" w:rsidRPr="00F453D0" w:rsidRDefault="00F453D0" w:rsidP="00F453D0"/>
    <w:p w:rsidR="00F453D0" w:rsidRPr="00F453D0" w:rsidRDefault="001F488A" w:rsidP="00F453D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147072</wp:posOffset>
            </wp:positionV>
            <wp:extent cx="548640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53D0" w:rsidRPr="00F453D0" w:rsidRDefault="00F453D0" w:rsidP="00F453D0"/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995"/>
        <w:gridCol w:w="7560"/>
      </w:tblGrid>
      <w:tr w:rsidR="001F488A" w:rsidTr="001F488A">
        <w:tc>
          <w:tcPr>
            <w:tcW w:w="995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10/11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E72D0C">
              <w:rPr>
                <w:rFonts w:ascii="Rockwell" w:hAnsi="Rockwell"/>
                <w:color w:val="1F4E79" w:themeColor="accent1" w:themeShade="80"/>
              </w:rPr>
              <w:t xml:space="preserve">Financial Literacy - Ensuring you have full access to your accounts, </w:t>
            </w:r>
          </w:p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E72D0C">
              <w:rPr>
                <w:rFonts w:ascii="Rockwell" w:hAnsi="Rockwell"/>
                <w:color w:val="1F4E79" w:themeColor="accent1" w:themeShade="80"/>
              </w:rPr>
              <w:t>the National ABLE Act, understanding a credit score, and addressing student loans</w:t>
            </w:r>
          </w:p>
        </w:tc>
      </w:tr>
      <w:tr w:rsidR="001F488A" w:rsidTr="001F488A">
        <w:tc>
          <w:tcPr>
            <w:tcW w:w="995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10/18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Developing your resume, crafting cover letters, and on-line job application</w:t>
            </w:r>
          </w:p>
        </w:tc>
      </w:tr>
      <w:tr w:rsidR="001F488A" w:rsidTr="001F488A">
        <w:tc>
          <w:tcPr>
            <w:tcW w:w="995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10/25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Interviewing from the employers perspective</w:t>
            </w:r>
          </w:p>
        </w:tc>
      </w:tr>
      <w:tr w:rsidR="001F488A" w:rsidTr="001F488A">
        <w:tc>
          <w:tcPr>
            <w:tcW w:w="995" w:type="dxa"/>
            <w:shd w:val="clear" w:color="auto" w:fill="D5DCE4" w:themeFill="text2" w:themeFillTint="33"/>
          </w:tcPr>
          <w:p w:rsidR="001F488A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11/1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E72D0C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Mock interviews and computer assessments</w:t>
            </w:r>
          </w:p>
        </w:tc>
      </w:tr>
    </w:tbl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Pr="00F453D0" w:rsidRDefault="00F453D0" w:rsidP="00F453D0"/>
    <w:p w:rsidR="00F453D0" w:rsidRDefault="001F488A" w:rsidP="00E72D0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39385" cy="461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1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95"/>
        <w:gridCol w:w="7560"/>
      </w:tblGrid>
      <w:tr w:rsidR="001F488A" w:rsidRPr="00F453D0" w:rsidTr="001F488A">
        <w:tc>
          <w:tcPr>
            <w:tcW w:w="995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11/8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Federal and State Employment opportunities for people with disabilities</w:t>
            </w:r>
          </w:p>
        </w:tc>
      </w:tr>
      <w:tr w:rsidR="001F488A" w:rsidRPr="00F453D0" w:rsidTr="001F488A">
        <w:tc>
          <w:tcPr>
            <w:tcW w:w="995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11/15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Getting around-O&amp;M and transportation choices</w:t>
            </w:r>
          </w:p>
        </w:tc>
      </w:tr>
      <w:tr w:rsidR="001F488A" w:rsidRPr="00F453D0" w:rsidTr="001F488A">
        <w:tc>
          <w:tcPr>
            <w:tcW w:w="995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11/29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Disability disclosure and discrimination rights and responsibilities</w:t>
            </w:r>
          </w:p>
        </w:tc>
      </w:tr>
      <w:tr w:rsidR="001F488A" w:rsidRPr="00F453D0" w:rsidTr="001F488A">
        <w:tc>
          <w:tcPr>
            <w:tcW w:w="995" w:type="dxa"/>
            <w:shd w:val="clear" w:color="auto" w:fill="D5DCE4" w:themeFill="text2" w:themeFillTint="33"/>
          </w:tcPr>
          <w:p w:rsidR="001F488A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>
              <w:rPr>
                <w:rFonts w:ascii="Rockwell" w:hAnsi="Rockwell"/>
                <w:color w:val="1F4E79" w:themeColor="accent1" w:themeShade="80"/>
              </w:rPr>
              <w:t>12/6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1F488A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 xml:space="preserve">Assistive/adaptive technology in the workplace, and requesting </w:t>
            </w:r>
          </w:p>
          <w:p w:rsidR="001F488A" w:rsidRPr="00F453D0" w:rsidRDefault="001F488A" w:rsidP="001F488A">
            <w:pPr>
              <w:rPr>
                <w:rFonts w:ascii="Rockwell" w:hAnsi="Rockwell"/>
                <w:color w:val="1F4E79" w:themeColor="accent1" w:themeShade="80"/>
              </w:rPr>
            </w:pPr>
            <w:r w:rsidRPr="001F488A">
              <w:rPr>
                <w:rFonts w:ascii="Rockwell" w:hAnsi="Rockwell"/>
                <w:color w:val="1F4E79" w:themeColor="accent1" w:themeShade="80"/>
              </w:rPr>
              <w:t>reasonable accommodations</w:t>
            </w:r>
          </w:p>
        </w:tc>
      </w:tr>
    </w:tbl>
    <w:p w:rsidR="00F453D0" w:rsidRPr="00F453D0" w:rsidRDefault="00F453D0" w:rsidP="00F453D0"/>
    <w:p w:rsidR="00F453D0" w:rsidRPr="00F453D0" w:rsidRDefault="00F453D0" w:rsidP="00F453D0"/>
    <w:p w:rsidR="00F453D0" w:rsidRDefault="00F453D0" w:rsidP="00F453D0"/>
    <w:tbl>
      <w:tblPr>
        <w:tblStyle w:val="TableGrid2"/>
        <w:tblpPr w:leftFromText="180" w:rightFromText="180" w:vertAnchor="text" w:horzAnchor="margin" w:tblpXSpec="center" w:tblpY="1226"/>
        <w:tblW w:w="0" w:type="auto"/>
        <w:tblLook w:val="04A0" w:firstRow="1" w:lastRow="0" w:firstColumn="1" w:lastColumn="0" w:noHBand="0" w:noVBand="1"/>
      </w:tblPr>
      <w:tblGrid>
        <w:gridCol w:w="995"/>
        <w:gridCol w:w="7560"/>
      </w:tblGrid>
      <w:tr w:rsidR="001F488A" w:rsidRPr="00F453D0" w:rsidTr="001F488A">
        <w:tc>
          <w:tcPr>
            <w:tcW w:w="995" w:type="dxa"/>
            <w:shd w:val="clear" w:color="auto" w:fill="D5DCE4" w:themeFill="text2" w:themeFillTint="33"/>
          </w:tcPr>
          <w:p w:rsidR="001F488A" w:rsidRPr="00862790" w:rsidRDefault="001F488A" w:rsidP="001F488A">
            <w:pPr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862790">
              <w:rPr>
                <w:rFonts w:ascii="Rockwell" w:hAnsi="Rockwell"/>
                <w:color w:val="1F4E79" w:themeColor="accent1" w:themeShade="80"/>
                <w:sz w:val="24"/>
              </w:rPr>
              <w:t>12/13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:rsidR="001F488A" w:rsidRPr="00862790" w:rsidRDefault="001F488A" w:rsidP="001F488A">
            <w:pPr>
              <w:tabs>
                <w:tab w:val="left" w:pos="1953"/>
              </w:tabs>
              <w:rPr>
                <w:rFonts w:ascii="Rockwell" w:hAnsi="Rockwell"/>
                <w:color w:val="1F4E79" w:themeColor="accent1" w:themeShade="80"/>
                <w:sz w:val="24"/>
              </w:rPr>
            </w:pPr>
            <w:r w:rsidRPr="00862790">
              <w:rPr>
                <w:rFonts w:ascii="Rockwell" w:hAnsi="Rockwell"/>
                <w:color w:val="1F4E79" w:themeColor="accent1" w:themeShade="80"/>
                <w:sz w:val="24"/>
              </w:rPr>
              <w:t>Keeping the job once you have it!</w:t>
            </w:r>
            <w:r w:rsidRPr="00862790">
              <w:rPr>
                <w:rFonts w:ascii="Rockwell" w:hAnsi="Rockwell"/>
                <w:color w:val="1F4E79" w:themeColor="accent1" w:themeShade="80"/>
                <w:sz w:val="24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62790" w:rsidTr="00862790">
        <w:trPr>
          <w:trHeight w:val="807"/>
        </w:trPr>
        <w:tc>
          <w:tcPr>
            <w:tcW w:w="11016" w:type="dxa"/>
          </w:tcPr>
          <w:p w:rsidR="00862790" w:rsidRPr="00862790" w:rsidRDefault="00862790" w:rsidP="00862790">
            <w:pPr>
              <w:jc w:val="center"/>
              <w:rPr>
                <w:sz w:val="24"/>
              </w:rPr>
            </w:pPr>
            <w:r w:rsidRPr="00862790">
              <w:rPr>
                <w:sz w:val="24"/>
              </w:rPr>
              <w:t>Please Contact Maureen Reid, Job Placement Counselor/Scholarship Coordinator</w:t>
            </w:r>
            <w:bookmarkStart w:id="0" w:name="_GoBack"/>
            <w:bookmarkEnd w:id="0"/>
          </w:p>
          <w:p w:rsidR="00862790" w:rsidRDefault="00862790" w:rsidP="00862790">
            <w:pPr>
              <w:jc w:val="center"/>
            </w:pPr>
            <w:r w:rsidRPr="00862790">
              <w:rPr>
                <w:sz w:val="24"/>
              </w:rPr>
              <w:t xml:space="preserve"> AT 312-997-3665 or </w:t>
            </w:r>
            <w:hyperlink r:id="rId10" w:history="1">
              <w:r w:rsidRPr="00862790">
                <w:rPr>
                  <w:rStyle w:val="Hyperlink"/>
                  <w:sz w:val="24"/>
                </w:rPr>
                <w:t>maureen.reid@chicagolighthouse.org</w:t>
              </w:r>
            </w:hyperlink>
            <w:r w:rsidRPr="00862790">
              <w:rPr>
                <w:sz w:val="24"/>
              </w:rPr>
              <w:t xml:space="preserve"> with any questions!</w:t>
            </w:r>
          </w:p>
        </w:tc>
      </w:tr>
    </w:tbl>
    <w:p w:rsidR="00BB291C" w:rsidRPr="00F453D0" w:rsidRDefault="001F488A" w:rsidP="00F453D0">
      <w:r>
        <w:rPr>
          <w:noProof/>
        </w:rPr>
        <w:drawing>
          <wp:anchor distT="0" distB="0" distL="114300" distR="114300" simplePos="0" relativeHeight="251662336" behindDoc="1" locked="0" layoutInCell="1" allowOverlap="1" wp14:anchorId="03EB53CA" wp14:editId="75FA1FA1">
            <wp:simplePos x="0" y="0"/>
            <wp:positionH relativeFrom="margin">
              <wp:align>center</wp:align>
            </wp:positionH>
            <wp:positionV relativeFrom="paragraph">
              <wp:posOffset>300190</wp:posOffset>
            </wp:positionV>
            <wp:extent cx="5335325" cy="333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B291C" w:rsidRPr="00F453D0" w:rsidSect="00BB291C">
      <w:pgSz w:w="12240" w:h="15840"/>
      <w:pgMar w:top="720" w:right="720" w:bottom="72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C"/>
    <w:rsid w:val="001F488A"/>
    <w:rsid w:val="00745A01"/>
    <w:rsid w:val="00862790"/>
    <w:rsid w:val="00BB291C"/>
    <w:rsid w:val="00E72D0C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7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maureen.reid@chicagolighthous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3796-D96C-4DB7-B8DB-AF9B36C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Lighthouse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USER</cp:lastModifiedBy>
  <cp:revision>2</cp:revision>
  <dcterms:created xsi:type="dcterms:W3CDTF">2018-09-07T20:36:00Z</dcterms:created>
  <dcterms:modified xsi:type="dcterms:W3CDTF">2018-09-07T20:36:00Z</dcterms:modified>
</cp:coreProperties>
</file>