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09" w:rsidRPr="00000E8F" w:rsidRDefault="003D4D24" w:rsidP="00000E8F">
      <w:pPr>
        <w:pStyle w:val="Heading1"/>
        <w:spacing w:line="240" w:lineRule="auto"/>
        <w:contextualSpacing/>
        <w:rPr>
          <w:rFonts w:ascii="Arial" w:hAnsi="Arial" w:cs="Arial"/>
          <w:color w:val="auto"/>
        </w:rPr>
      </w:pPr>
      <w:r w:rsidRPr="00000E8F">
        <w:rPr>
          <w:rFonts w:ascii="Arial" w:hAnsi="Arial" w:cs="Arial"/>
          <w:color w:val="auto"/>
        </w:rPr>
        <w:t>How to Acquire the Film for public Screening</w:t>
      </w:r>
    </w:p>
    <w:p w:rsidR="003D4D24" w:rsidRDefault="003D4D24" w:rsidP="00000E8F">
      <w:pPr>
        <w:spacing w:line="240" w:lineRule="auto"/>
        <w:contextualSpacing/>
      </w:pP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important that you avoid simply purchasing the film from Amazon or a streaming service and then screening it publicly. Individual copies of the film purchased from consumer outlets like iTunes, Google Play</w:t>
      </w:r>
      <w:r w:rsidR="00000E8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or Amazon are licensed only for "private exhibit</w:t>
      </w:r>
      <w:r w:rsidR="00000E8F">
        <w:rPr>
          <w:rFonts w:ascii="Arial" w:hAnsi="Arial" w:cs="Arial"/>
          <w:sz w:val="28"/>
          <w:szCs w:val="28"/>
        </w:rPr>
        <w:t xml:space="preserve">ion," such as in your own home. </w:t>
      </w:r>
      <w:proofErr w:type="gramStart"/>
      <w:r>
        <w:rPr>
          <w:rFonts w:ascii="Arial" w:hAnsi="Arial" w:cs="Arial"/>
          <w:sz w:val="28"/>
          <w:szCs w:val="28"/>
        </w:rPr>
        <w:t>Showing such copies to the general public in a public venue, particularly if admission is charged, violates the rights of the filmmakers and distributors</w:t>
      </w:r>
      <w:r w:rsidR="00000E8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 could result in civil or criminal penalties.</w:t>
      </w:r>
      <w:bookmarkStart w:id="0" w:name="_GoBack"/>
      <w:bookmarkEnd w:id="0"/>
      <w:proofErr w:type="gramEnd"/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order to support the filmmakers, respect their legal rights, and help them cover the costs of producing this film, the NFB has negotiated the following pricing structure, which includes a DVD shipped to an address you designate: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 Events with ticket sales - $250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– Free community screening - $100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– Small educational screening/unfunded organizations (fewer than 25 people) $40.00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– NFB affiliate screening/development – Free (If no DVD or additional setup materials required)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final determination of what you will need to pay is subject to agreement by the</w:t>
      </w:r>
      <w:r w:rsidR="00701A72">
        <w:rPr>
          <w:rFonts w:ascii="Arial" w:hAnsi="Arial" w:cs="Arial"/>
          <w:sz w:val="28"/>
          <w:szCs w:val="28"/>
        </w:rPr>
        <w:t xml:space="preserve"> film's distributor, Uncork'd Entertainment</w:t>
      </w:r>
      <w:r>
        <w:rPr>
          <w:rFonts w:ascii="Arial" w:hAnsi="Arial" w:cs="Arial"/>
          <w:sz w:val="28"/>
          <w:szCs w:val="28"/>
        </w:rPr>
        <w:t>. Your invoice, if any, will be included with the DVD that is shipped to you</w:t>
      </w:r>
      <w:r w:rsidR="00701A72">
        <w:rPr>
          <w:rFonts w:ascii="Arial" w:hAnsi="Arial" w:cs="Arial"/>
          <w:sz w:val="28"/>
          <w:szCs w:val="28"/>
        </w:rPr>
        <w:t xml:space="preserve"> from the distributor</w:t>
      </w:r>
      <w:r>
        <w:rPr>
          <w:rFonts w:ascii="Arial" w:hAnsi="Arial" w:cs="Arial"/>
          <w:sz w:val="28"/>
          <w:szCs w:val="28"/>
        </w:rPr>
        <w:t>.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acquire the film for a public screening, contact: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Jenivieve White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Assistant to the Director of Community Relations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200 East Wells Street, Baltimore, MD 21230</w:t>
      </w: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(410) 659-9314, extension 2236 | </w:t>
      </w:r>
      <w:hyperlink r:id="rId7" w:history="1">
        <w:r>
          <w:rPr>
            <w:rStyle w:val="Hyperlink"/>
            <w:rFonts w:ascii="Arial" w:hAnsi="Arial" w:cs="Arial"/>
            <w:sz w:val="28"/>
            <w:szCs w:val="28"/>
          </w:rPr>
          <w:t>jwhite@nfb.org</w:t>
        </w:r>
      </w:hyperlink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</w:p>
    <w:p w:rsidR="003D4D24" w:rsidRDefault="003D4D24" w:rsidP="00000E8F">
      <w:pPr>
        <w:pStyle w:val="Body2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film is also available on </w:t>
      </w:r>
      <w:hyperlink r:id="rId8" w:history="1">
        <w:r>
          <w:rPr>
            <w:rStyle w:val="Hyperlink"/>
            <w:rFonts w:ascii="Arial" w:hAnsi="Arial" w:cs="Arial"/>
            <w:sz w:val="28"/>
            <w:szCs w:val="28"/>
          </w:rPr>
          <w:t>iTunes</w:t>
        </w:r>
      </w:hyperlink>
      <w:r>
        <w:rPr>
          <w:rFonts w:ascii="Arial" w:hAnsi="Arial" w:cs="Arial"/>
          <w:sz w:val="28"/>
          <w:szCs w:val="28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8"/>
            <w:szCs w:val="28"/>
          </w:rPr>
          <w:t>Google Play</w:t>
        </w:r>
      </w:hyperlink>
      <w:r>
        <w:rPr>
          <w:rStyle w:val="Hyperlink"/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 </w:t>
      </w:r>
      <w:hyperlink r:id="rId10" w:history="1">
        <w:r>
          <w:rPr>
            <w:rStyle w:val="Hyperlink"/>
            <w:rFonts w:ascii="Arial" w:hAnsi="Arial" w:cs="Arial"/>
            <w:sz w:val="28"/>
            <w:szCs w:val="28"/>
          </w:rPr>
          <w:t>Amazon Video</w:t>
        </w:r>
      </w:hyperlink>
      <w:r>
        <w:rPr>
          <w:rFonts w:ascii="Arial" w:hAnsi="Arial" w:cs="Arial"/>
          <w:sz w:val="28"/>
          <w:szCs w:val="28"/>
        </w:rPr>
        <w:t>. Again, copies of the film purchased from these retailers do not include public performance licensing.</w:t>
      </w:r>
    </w:p>
    <w:p w:rsidR="003D4D24" w:rsidRDefault="003D4D24" w:rsidP="003D4D24">
      <w:pPr>
        <w:pStyle w:val="Body2"/>
        <w:rPr>
          <w:rFonts w:ascii="Arial" w:hAnsi="Arial" w:cs="Arial"/>
          <w:sz w:val="28"/>
          <w:szCs w:val="28"/>
        </w:rPr>
      </w:pPr>
    </w:p>
    <w:p w:rsidR="003D4D24" w:rsidRDefault="003D4D24"/>
    <w:sectPr w:rsidR="003D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B8" w:rsidRDefault="003262B8" w:rsidP="003D4D24">
      <w:pPr>
        <w:spacing w:after="0" w:line="240" w:lineRule="auto"/>
      </w:pPr>
      <w:r>
        <w:separator/>
      </w:r>
    </w:p>
  </w:endnote>
  <w:endnote w:type="continuationSeparator" w:id="0">
    <w:p w:rsidR="003262B8" w:rsidRDefault="003262B8" w:rsidP="003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B8" w:rsidRDefault="003262B8" w:rsidP="003D4D24">
      <w:pPr>
        <w:spacing w:after="0" w:line="240" w:lineRule="auto"/>
      </w:pPr>
      <w:r>
        <w:separator/>
      </w:r>
    </w:p>
  </w:footnote>
  <w:footnote w:type="continuationSeparator" w:id="0">
    <w:p w:rsidR="003262B8" w:rsidRDefault="003262B8" w:rsidP="003D4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24"/>
    <w:rsid w:val="00000E8F"/>
    <w:rsid w:val="001939F3"/>
    <w:rsid w:val="002E1B17"/>
    <w:rsid w:val="002E3BBE"/>
    <w:rsid w:val="003262B8"/>
    <w:rsid w:val="003D4D24"/>
    <w:rsid w:val="006C3F16"/>
    <w:rsid w:val="00701A72"/>
    <w:rsid w:val="00AC075A"/>
    <w:rsid w:val="00E173E8"/>
    <w:rsid w:val="00E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24"/>
  </w:style>
  <w:style w:type="paragraph" w:styleId="Footer">
    <w:name w:val="footer"/>
    <w:basedOn w:val="Normal"/>
    <w:link w:val="FooterChar"/>
    <w:uiPriority w:val="99"/>
    <w:unhideWhenUsed/>
    <w:rsid w:val="003D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24"/>
  </w:style>
  <w:style w:type="character" w:styleId="Hyperlink">
    <w:name w:val="Hyperlink"/>
    <w:semiHidden/>
    <w:unhideWhenUsed/>
    <w:rsid w:val="003D4D24"/>
    <w:rPr>
      <w:u w:val="single"/>
    </w:rPr>
  </w:style>
  <w:style w:type="paragraph" w:customStyle="1" w:styleId="Body2">
    <w:name w:val="Body 2"/>
    <w:rsid w:val="003D4D24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00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24"/>
  </w:style>
  <w:style w:type="paragraph" w:styleId="Footer">
    <w:name w:val="footer"/>
    <w:basedOn w:val="Normal"/>
    <w:link w:val="FooterChar"/>
    <w:uiPriority w:val="99"/>
    <w:unhideWhenUsed/>
    <w:rsid w:val="003D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24"/>
  </w:style>
  <w:style w:type="character" w:styleId="Hyperlink">
    <w:name w:val="Hyperlink"/>
    <w:semiHidden/>
    <w:unhideWhenUsed/>
    <w:rsid w:val="003D4D24"/>
    <w:rPr>
      <w:u w:val="single"/>
    </w:rPr>
  </w:style>
  <w:style w:type="paragraph" w:customStyle="1" w:styleId="Body2">
    <w:name w:val="Body 2"/>
    <w:rsid w:val="003D4D24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00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movie/do-you-dream-in-color/id11957740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hite@nfb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mazon.com/dp/B01MU5YHM2?ref_=imdbref_tt_wbr_aiv&amp;tag=imdbtag_tt_wbr_aiv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movies/details/Do_You_Dream_in_Color?id=PDhpnMfpf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Danielsen, Chris</dc:creator>
  <cp:lastModifiedBy>Kyle Walls</cp:lastModifiedBy>
  <cp:revision>2</cp:revision>
  <dcterms:created xsi:type="dcterms:W3CDTF">2017-08-31T19:15:00Z</dcterms:created>
  <dcterms:modified xsi:type="dcterms:W3CDTF">2017-08-31T19:15:00Z</dcterms:modified>
</cp:coreProperties>
</file>