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AA32" w14:textId="04F2E3D6" w:rsidR="00E478C1" w:rsidRPr="00E478C1" w:rsidRDefault="00E478C1" w:rsidP="00E478C1">
      <w:pPr>
        <w:spacing w:before="450" w:after="150" w:line="240" w:lineRule="auto"/>
        <w:outlineLvl w:val="1"/>
        <w:rPr>
          <w:rFonts w:ascii="Lato" w:eastAsia="Times New Roman" w:hAnsi="Lato" w:cs="Times New Roman"/>
          <w:color w:val="000000"/>
          <w:kern w:val="0"/>
          <w:sz w:val="42"/>
          <w:szCs w:val="42"/>
          <w14:ligatures w14:val="none"/>
        </w:rPr>
      </w:pPr>
      <w:r w:rsidRPr="00E478C1">
        <w:rPr>
          <w:rFonts w:ascii="Lato" w:eastAsia="Times New Roman" w:hAnsi="Lato" w:cs="Times New Roman"/>
          <w:color w:val="000000"/>
          <w:kern w:val="0"/>
          <w:sz w:val="42"/>
          <w:szCs w:val="42"/>
          <w14:ligatures w14:val="none"/>
        </w:rPr>
        <w:t>Resolution 2025-</w:t>
      </w:r>
      <w:r w:rsidR="008D33BB">
        <w:rPr>
          <w:rFonts w:ascii="Lato" w:eastAsia="Times New Roman" w:hAnsi="Lato" w:cs="Times New Roman"/>
          <w:color w:val="000000"/>
          <w:kern w:val="0"/>
          <w:sz w:val="42"/>
          <w:szCs w:val="42"/>
          <w14:ligatures w14:val="none"/>
        </w:rPr>
        <w:t>03</w:t>
      </w:r>
      <w:r w:rsidRPr="00E478C1">
        <w:rPr>
          <w:rFonts w:ascii="Lato" w:eastAsia="Times New Roman" w:hAnsi="Lato" w:cs="Times New Roman"/>
          <w:color w:val="000000"/>
          <w:kern w:val="0"/>
          <w:sz w:val="42"/>
          <w:szCs w:val="42"/>
          <w14:ligatures w14:val="none"/>
        </w:rPr>
        <w:t> Regarding the Consolidation of Blindness Services Under a General Disability Services Agency</w:t>
      </w:r>
    </w:p>
    <w:p w14:paraId="1B043820" w14:textId="77777777" w:rsidR="00E478C1" w:rsidRPr="00E478C1" w:rsidRDefault="00E478C1" w:rsidP="00E478C1">
      <w:pPr>
        <w:spacing w:after="300" w:line="240" w:lineRule="auto"/>
        <w:rPr>
          <w:rFonts w:ascii="Lato" w:hAnsi="Lato" w:cs="Times New Roman"/>
          <w:color w:val="000000"/>
          <w:kern w:val="0"/>
          <w:sz w:val="27"/>
          <w:szCs w:val="27"/>
          <w14:ligatures w14:val="none"/>
        </w:rPr>
      </w:pPr>
      <w:r w:rsidRPr="00E478C1">
        <w:rPr>
          <w:rFonts w:ascii="Lato" w:hAnsi="Lato" w:cs="Times New Roman"/>
          <w:color w:val="000000"/>
          <w:kern w:val="0"/>
          <w:sz w:val="27"/>
          <w:szCs w:val="27"/>
          <w14:ligatures w14:val="none"/>
        </w:rPr>
        <w:t>WHEREAS, each state in the United States is required to maintain a state rehabilitation agency to address the vocational, educational, and independent living needs of people with disabilities, including those who are blind or have low vision; and</w:t>
      </w:r>
    </w:p>
    <w:p w14:paraId="0BE9F620" w14:textId="77777777" w:rsidR="00E478C1" w:rsidRPr="00E478C1" w:rsidRDefault="00E478C1" w:rsidP="00E478C1">
      <w:pPr>
        <w:spacing w:after="300" w:line="240" w:lineRule="auto"/>
        <w:rPr>
          <w:rFonts w:ascii="Lato" w:hAnsi="Lato" w:cs="Times New Roman"/>
          <w:color w:val="000000"/>
          <w:kern w:val="0"/>
          <w:sz w:val="27"/>
          <w:szCs w:val="27"/>
          <w14:ligatures w14:val="none"/>
        </w:rPr>
      </w:pPr>
      <w:r w:rsidRPr="00E478C1">
        <w:rPr>
          <w:rFonts w:ascii="Lato" w:hAnsi="Lato" w:cs="Times New Roman"/>
          <w:color w:val="000000"/>
          <w:kern w:val="0"/>
          <w:sz w:val="27"/>
          <w:szCs w:val="27"/>
          <w14:ligatures w14:val="none"/>
        </w:rPr>
        <w:t>WHEREAS, the Rehabilitation Services Administration (RSA) currently supports vocational rehabilitation programs, supported employment, and the Independent Living Services for Older Individuals Who Are Blind (OIB) program in all fifty states, the District of Columbia, Puerto Rico, and four United States territories; and</w:t>
      </w:r>
    </w:p>
    <w:p w14:paraId="2993DC94" w14:textId="77777777" w:rsidR="00E478C1" w:rsidRPr="00E478C1" w:rsidRDefault="00E478C1" w:rsidP="00E478C1">
      <w:pPr>
        <w:spacing w:after="300" w:line="240" w:lineRule="auto"/>
        <w:rPr>
          <w:rFonts w:ascii="Lato" w:hAnsi="Lato" w:cs="Times New Roman"/>
          <w:color w:val="000000"/>
          <w:kern w:val="0"/>
          <w:sz w:val="27"/>
          <w:szCs w:val="27"/>
          <w14:ligatures w14:val="none"/>
        </w:rPr>
      </w:pPr>
      <w:r w:rsidRPr="00E478C1">
        <w:rPr>
          <w:rFonts w:ascii="Lato" w:hAnsi="Lato" w:cs="Times New Roman"/>
          <w:color w:val="000000"/>
          <w:kern w:val="0"/>
          <w:sz w:val="27"/>
          <w:szCs w:val="27"/>
          <w14:ligatures w14:val="none"/>
        </w:rPr>
        <w:t>WHEREAS, RSA identifies 34 states and territories with combined vocational rehabilitation agencies that serve all people with disabilities, and 22 states and territories with separate agencies specifically serving those who are blind and have low vision; and</w:t>
      </w:r>
    </w:p>
    <w:p w14:paraId="2881E106" w14:textId="77777777" w:rsidR="00E478C1" w:rsidRPr="00E478C1" w:rsidRDefault="00E478C1" w:rsidP="00E478C1">
      <w:pPr>
        <w:spacing w:after="300" w:line="240" w:lineRule="auto"/>
        <w:rPr>
          <w:rFonts w:ascii="Lato" w:hAnsi="Lato" w:cs="Times New Roman"/>
          <w:color w:val="000000"/>
          <w:kern w:val="0"/>
          <w:sz w:val="27"/>
          <w:szCs w:val="27"/>
          <w14:ligatures w14:val="none"/>
        </w:rPr>
      </w:pPr>
      <w:r w:rsidRPr="00E478C1">
        <w:rPr>
          <w:rFonts w:ascii="Lato" w:hAnsi="Lato" w:cs="Times New Roman"/>
          <w:color w:val="000000"/>
          <w:kern w:val="0"/>
          <w:sz w:val="27"/>
          <w:szCs w:val="27"/>
          <w14:ligatures w14:val="none"/>
        </w:rPr>
        <w:t>WHEREAS, Congress has long recognized the unique and specialized needs of blind people—including training methods, adaptive equipment, and communication tools—through legislation such as 29 U.S.C. § 701(a)(1)(A), as amended in the Rehabilitation Act of 1973; and</w:t>
      </w:r>
    </w:p>
    <w:p w14:paraId="19A2730E" w14:textId="77777777" w:rsidR="00E478C1" w:rsidRPr="00E478C1" w:rsidRDefault="00E478C1" w:rsidP="00E478C1">
      <w:pPr>
        <w:spacing w:after="300" w:line="240" w:lineRule="auto"/>
        <w:rPr>
          <w:rFonts w:ascii="Lato" w:hAnsi="Lato" w:cs="Times New Roman"/>
          <w:color w:val="000000"/>
          <w:kern w:val="0"/>
          <w:sz w:val="27"/>
          <w:szCs w:val="27"/>
          <w14:ligatures w14:val="none"/>
        </w:rPr>
      </w:pPr>
      <w:r w:rsidRPr="00E478C1">
        <w:rPr>
          <w:rFonts w:ascii="Lato" w:hAnsi="Lato" w:cs="Times New Roman"/>
          <w:color w:val="000000"/>
          <w:kern w:val="0"/>
          <w:sz w:val="27"/>
          <w:szCs w:val="27"/>
          <w14:ligatures w14:val="none"/>
        </w:rPr>
        <w:t>WHEREAS, a 2010 study conducted by the National Council of State Agencies for the Blind (NCSAB), through Mississippi State University’s Rehabilitation Research and Training Center (RRTC) on Blindness and Low Vision, found that individuals served by separate blindness agencies were more likely to achieve competitive, integrated employment, earn wages above minimum wage, and participate more fully in the workforce compared to those served by combined agencies; and</w:t>
      </w:r>
    </w:p>
    <w:p w14:paraId="0824ABB1" w14:textId="77777777" w:rsidR="00E478C1" w:rsidRPr="00E478C1" w:rsidRDefault="00E478C1" w:rsidP="00E478C1">
      <w:pPr>
        <w:spacing w:after="300" w:line="240" w:lineRule="auto"/>
        <w:rPr>
          <w:rFonts w:ascii="Lato" w:hAnsi="Lato" w:cs="Times New Roman"/>
          <w:color w:val="000000"/>
          <w:kern w:val="0"/>
          <w:sz w:val="27"/>
          <w:szCs w:val="27"/>
          <w14:ligatures w14:val="none"/>
        </w:rPr>
      </w:pPr>
      <w:r w:rsidRPr="00E478C1">
        <w:rPr>
          <w:rFonts w:ascii="Lato" w:hAnsi="Lato" w:cs="Times New Roman"/>
          <w:color w:val="000000"/>
          <w:kern w:val="0"/>
          <w:sz w:val="27"/>
          <w:szCs w:val="27"/>
          <w14:ligatures w14:val="none"/>
        </w:rPr>
        <w:t>WHEREAS, the study further concluded that blind and low-vision clients of separate agencies were more likely to receive the targeted, specialized services essential for acquiring independent living skills and achieving educational and employment success; and</w:t>
      </w:r>
    </w:p>
    <w:p w14:paraId="01DB6358" w14:textId="77777777" w:rsidR="00E478C1" w:rsidRPr="00E478C1" w:rsidRDefault="00E478C1" w:rsidP="00E478C1">
      <w:pPr>
        <w:spacing w:after="300" w:line="240" w:lineRule="auto"/>
        <w:rPr>
          <w:rFonts w:ascii="Lato" w:hAnsi="Lato" w:cs="Times New Roman"/>
          <w:color w:val="000000"/>
          <w:kern w:val="0"/>
          <w:sz w:val="27"/>
          <w:szCs w:val="27"/>
          <w14:ligatures w14:val="none"/>
        </w:rPr>
      </w:pPr>
      <w:r w:rsidRPr="00E478C1">
        <w:rPr>
          <w:rFonts w:ascii="Lato" w:hAnsi="Lato" w:cs="Times New Roman"/>
          <w:color w:val="000000"/>
          <w:kern w:val="0"/>
          <w:sz w:val="27"/>
          <w:szCs w:val="27"/>
          <w14:ligatures w14:val="none"/>
        </w:rPr>
        <w:t>WHEREAS, the specialized training blind people require—such as orientation and mobility, Braille literacy, access technology, and other tailored supports—are best delivered through a dedicated blindness agency; and</w:t>
      </w:r>
    </w:p>
    <w:p w14:paraId="587EE9BB" w14:textId="77777777" w:rsidR="00E478C1" w:rsidRPr="00E478C1" w:rsidRDefault="00E478C1" w:rsidP="00E478C1">
      <w:pPr>
        <w:spacing w:after="300" w:line="240" w:lineRule="auto"/>
        <w:rPr>
          <w:rFonts w:ascii="Lato" w:hAnsi="Lato" w:cs="Times New Roman"/>
          <w:color w:val="000000"/>
          <w:kern w:val="0"/>
          <w:sz w:val="27"/>
          <w:szCs w:val="27"/>
          <w14:ligatures w14:val="none"/>
        </w:rPr>
      </w:pPr>
      <w:r w:rsidRPr="00E478C1">
        <w:rPr>
          <w:rFonts w:ascii="Lato" w:hAnsi="Lato" w:cs="Times New Roman"/>
          <w:color w:val="000000"/>
          <w:kern w:val="0"/>
          <w:sz w:val="27"/>
          <w:szCs w:val="27"/>
          <w14:ligatures w14:val="none"/>
        </w:rPr>
        <w:t>WHEREAS, consolidating services for the blind into general disability agencies may appear efficient, but in practice, it results in diminished service quality and poorer outcomes; and</w:t>
      </w:r>
    </w:p>
    <w:p w14:paraId="17D97EB5" w14:textId="77777777" w:rsidR="00E478C1" w:rsidRPr="00E478C1" w:rsidRDefault="00E478C1" w:rsidP="00E478C1">
      <w:pPr>
        <w:spacing w:after="300" w:line="240" w:lineRule="auto"/>
        <w:rPr>
          <w:rFonts w:ascii="Lato" w:hAnsi="Lato" w:cs="Times New Roman"/>
          <w:color w:val="000000"/>
          <w:kern w:val="0"/>
          <w:sz w:val="27"/>
          <w:szCs w:val="27"/>
          <w14:ligatures w14:val="none"/>
        </w:rPr>
      </w:pPr>
      <w:r w:rsidRPr="00E478C1">
        <w:rPr>
          <w:rFonts w:ascii="Lato" w:hAnsi="Lato" w:cs="Times New Roman"/>
          <w:color w:val="000000"/>
          <w:kern w:val="0"/>
          <w:sz w:val="27"/>
          <w:szCs w:val="27"/>
          <w14:ligatures w14:val="none"/>
        </w:rPr>
        <w:t>WHEREAS, the diverse needs of people with disabilities—including those who are blind, deaf or hard of hearing, cognitively disabled, or who use wheelchairs—require different approaches and expertise that cannot be met through a “one-size-fits-all” model: Now, therefore,</w:t>
      </w:r>
    </w:p>
    <w:p w14:paraId="0DDEB315" w14:textId="0653A542" w:rsidR="00E478C1" w:rsidRPr="00E478C1" w:rsidRDefault="00E478C1" w:rsidP="00E478C1">
      <w:pPr>
        <w:spacing w:after="300" w:line="240" w:lineRule="auto"/>
        <w:rPr>
          <w:rFonts w:ascii="Lato" w:hAnsi="Lato" w:cs="Times New Roman"/>
          <w:color w:val="000000"/>
          <w:kern w:val="0"/>
          <w:sz w:val="27"/>
          <w:szCs w:val="27"/>
          <w14:ligatures w14:val="none"/>
        </w:rPr>
      </w:pPr>
      <w:r w:rsidRPr="00E478C1">
        <w:rPr>
          <w:rFonts w:ascii="Lato" w:hAnsi="Lato" w:cs="Times New Roman"/>
          <w:color w:val="000000"/>
          <w:kern w:val="0"/>
          <w:sz w:val="27"/>
          <w:szCs w:val="27"/>
          <w14:ligatures w14:val="none"/>
        </w:rPr>
        <w:t xml:space="preserve">BE IT RESOLVED by the National Federation of the </w:t>
      </w:r>
      <w:r w:rsidR="00A04B86">
        <w:rPr>
          <w:rFonts w:ascii="Lato" w:hAnsi="Lato" w:cs="Times New Roman"/>
          <w:color w:val="000000"/>
          <w:kern w:val="0"/>
          <w:sz w:val="27"/>
          <w:szCs w:val="27"/>
          <w14:ligatures w14:val="none"/>
        </w:rPr>
        <w:t xml:space="preserve"> </w:t>
      </w:r>
      <w:r w:rsidRPr="00E478C1">
        <w:rPr>
          <w:rFonts w:ascii="Lato" w:hAnsi="Lato" w:cs="Times New Roman"/>
          <w:color w:val="000000"/>
          <w:kern w:val="0"/>
          <w:sz w:val="27"/>
          <w:szCs w:val="27"/>
          <w14:ligatures w14:val="none"/>
        </w:rPr>
        <w:t xml:space="preserve">Blind </w:t>
      </w:r>
      <w:r w:rsidR="00717BC6">
        <w:rPr>
          <w:rFonts w:ascii="Lato" w:hAnsi="Lato" w:cs="Times New Roman"/>
          <w:color w:val="000000"/>
          <w:kern w:val="0"/>
          <w:sz w:val="27"/>
          <w:szCs w:val="27"/>
          <w14:ligatures w14:val="none"/>
        </w:rPr>
        <w:t xml:space="preserve">of Kansas </w:t>
      </w:r>
      <w:r w:rsidRPr="00E478C1">
        <w:rPr>
          <w:rFonts w:ascii="Lato" w:hAnsi="Lato" w:cs="Times New Roman"/>
          <w:color w:val="000000"/>
          <w:kern w:val="0"/>
          <w:sz w:val="27"/>
          <w:szCs w:val="27"/>
          <w14:ligatures w14:val="none"/>
        </w:rPr>
        <w:t>in Convention assembled this t</w:t>
      </w:r>
      <w:r w:rsidR="006D31E7">
        <w:rPr>
          <w:rFonts w:ascii="Lato" w:hAnsi="Lato" w:cs="Times New Roman"/>
          <w:color w:val="000000"/>
          <w:kern w:val="0"/>
          <w:sz w:val="27"/>
          <w:szCs w:val="27"/>
          <w14:ligatures w14:val="none"/>
        </w:rPr>
        <w:t>second</w:t>
      </w:r>
      <w:r w:rsidRPr="00E478C1">
        <w:rPr>
          <w:rFonts w:ascii="Lato" w:hAnsi="Lato" w:cs="Times New Roman"/>
          <w:color w:val="000000"/>
          <w:kern w:val="0"/>
          <w:sz w:val="27"/>
          <w:szCs w:val="27"/>
          <w14:ligatures w14:val="none"/>
        </w:rPr>
        <w:t xml:space="preserve"> day of </w:t>
      </w:r>
      <w:r w:rsidR="00542A81">
        <w:rPr>
          <w:rFonts w:ascii="Lato" w:hAnsi="Lato" w:cs="Times New Roman"/>
          <w:color w:val="000000"/>
          <w:kern w:val="0"/>
          <w:sz w:val="27"/>
          <w:szCs w:val="27"/>
          <w14:ligatures w14:val="none"/>
        </w:rPr>
        <w:t>November</w:t>
      </w:r>
      <w:r w:rsidRPr="00E478C1">
        <w:rPr>
          <w:rFonts w:ascii="Lato" w:hAnsi="Lato" w:cs="Times New Roman"/>
          <w:color w:val="000000"/>
          <w:kern w:val="0"/>
          <w:sz w:val="27"/>
          <w:szCs w:val="27"/>
          <w14:ligatures w14:val="none"/>
        </w:rPr>
        <w:t xml:space="preserve">, 2025, in the city of </w:t>
      </w:r>
      <w:r w:rsidR="00A55411">
        <w:rPr>
          <w:rFonts w:ascii="Lato" w:hAnsi="Lato" w:cs="Times New Roman"/>
          <w:color w:val="000000"/>
          <w:kern w:val="0"/>
          <w:sz w:val="27"/>
          <w:szCs w:val="27"/>
          <w14:ligatures w14:val="none"/>
        </w:rPr>
        <w:t>Wichita,</w:t>
      </w:r>
      <w:r w:rsidRPr="00E478C1">
        <w:rPr>
          <w:rFonts w:ascii="Lato" w:hAnsi="Lato" w:cs="Times New Roman"/>
          <w:color w:val="000000"/>
          <w:kern w:val="0"/>
          <w:sz w:val="27"/>
          <w:szCs w:val="27"/>
          <w14:ligatures w14:val="none"/>
        </w:rPr>
        <w:t xml:space="preserve"> </w:t>
      </w:r>
      <w:r w:rsidR="00595238">
        <w:rPr>
          <w:rFonts w:ascii="Lato" w:hAnsi="Lato" w:cs="Times New Roman"/>
          <w:color w:val="000000"/>
          <w:kern w:val="0"/>
          <w:sz w:val="27"/>
          <w:szCs w:val="27"/>
          <w14:ligatures w14:val="none"/>
        </w:rPr>
        <w:t>Kansas,</w:t>
      </w:r>
      <w:r w:rsidRPr="00E478C1">
        <w:rPr>
          <w:rFonts w:ascii="Lato" w:hAnsi="Lato" w:cs="Times New Roman"/>
          <w:color w:val="000000"/>
          <w:kern w:val="0"/>
          <w:sz w:val="27"/>
          <w:szCs w:val="27"/>
          <w14:ligatures w14:val="none"/>
        </w:rPr>
        <w:t xml:space="preserve"> that this organization urge </w:t>
      </w:r>
      <w:r w:rsidR="00DE71F2">
        <w:rPr>
          <w:rFonts w:ascii="Lato" w:hAnsi="Lato" w:cs="Times New Roman"/>
          <w:color w:val="000000"/>
          <w:kern w:val="0"/>
          <w:sz w:val="27"/>
          <w:szCs w:val="27"/>
          <w14:ligatures w14:val="none"/>
        </w:rPr>
        <w:t>the Kansas</w:t>
      </w:r>
      <w:r w:rsidRPr="00E478C1">
        <w:rPr>
          <w:rFonts w:ascii="Lato" w:hAnsi="Lato" w:cs="Times New Roman"/>
          <w:color w:val="000000"/>
          <w:kern w:val="0"/>
          <w:sz w:val="27"/>
          <w:szCs w:val="27"/>
          <w14:ligatures w14:val="none"/>
        </w:rPr>
        <w:t xml:space="preserve"> state legislature and </w:t>
      </w:r>
      <w:r w:rsidR="00C56F4E">
        <w:rPr>
          <w:rFonts w:ascii="Lato" w:hAnsi="Lato" w:cs="Times New Roman"/>
          <w:color w:val="000000"/>
          <w:kern w:val="0"/>
          <w:sz w:val="27"/>
          <w:szCs w:val="27"/>
          <w14:ligatures w14:val="none"/>
        </w:rPr>
        <w:t>Kansas</w:t>
      </w:r>
      <w:r w:rsidRPr="00E478C1">
        <w:rPr>
          <w:rFonts w:ascii="Lato" w:hAnsi="Lato" w:cs="Times New Roman"/>
          <w:color w:val="000000"/>
          <w:kern w:val="0"/>
          <w:sz w:val="27"/>
          <w:szCs w:val="27"/>
          <w14:ligatures w14:val="none"/>
        </w:rPr>
        <w:t xml:space="preserve"> </w:t>
      </w:r>
      <w:r w:rsidR="001027AB">
        <w:rPr>
          <w:rFonts w:ascii="Lato" w:hAnsi="Lato" w:cs="Times New Roman"/>
          <w:color w:val="000000"/>
          <w:kern w:val="0"/>
          <w:sz w:val="27"/>
          <w:szCs w:val="27"/>
          <w14:ligatures w14:val="none"/>
        </w:rPr>
        <w:t>R</w:t>
      </w:r>
      <w:r w:rsidRPr="00E478C1">
        <w:rPr>
          <w:rFonts w:ascii="Lato" w:hAnsi="Lato" w:cs="Times New Roman"/>
          <w:color w:val="000000"/>
          <w:kern w:val="0"/>
          <w:sz w:val="27"/>
          <w:szCs w:val="27"/>
          <w14:ligatures w14:val="none"/>
        </w:rPr>
        <w:t xml:space="preserve">ehabilitation </w:t>
      </w:r>
      <w:r w:rsidR="000B1634">
        <w:rPr>
          <w:rFonts w:ascii="Lato" w:hAnsi="Lato" w:cs="Times New Roman"/>
          <w:color w:val="000000"/>
          <w:kern w:val="0"/>
          <w:sz w:val="27"/>
          <w:szCs w:val="27"/>
          <w14:ligatures w14:val="none"/>
        </w:rPr>
        <w:t>Services (KRS)</w:t>
      </w:r>
      <w:r w:rsidRPr="00E478C1">
        <w:rPr>
          <w:rFonts w:ascii="Lato" w:hAnsi="Lato" w:cs="Times New Roman"/>
          <w:color w:val="000000"/>
          <w:kern w:val="0"/>
          <w:sz w:val="27"/>
          <w:szCs w:val="27"/>
          <w14:ligatures w14:val="none"/>
        </w:rPr>
        <w:t xml:space="preserve">  to </w:t>
      </w:r>
      <w:r w:rsidR="00A906B6">
        <w:rPr>
          <w:rFonts w:ascii="Lato" w:hAnsi="Lato" w:cs="Times New Roman"/>
          <w:color w:val="000000"/>
          <w:kern w:val="0"/>
          <w:sz w:val="27"/>
          <w:szCs w:val="27"/>
          <w14:ligatures w14:val="none"/>
        </w:rPr>
        <w:t xml:space="preserve">establish </w:t>
      </w:r>
      <w:r w:rsidR="00020748">
        <w:rPr>
          <w:rFonts w:ascii="Lato" w:hAnsi="Lato" w:cs="Times New Roman"/>
          <w:color w:val="000000"/>
          <w:kern w:val="0"/>
          <w:sz w:val="27"/>
          <w:szCs w:val="27"/>
          <w14:ligatures w14:val="none"/>
        </w:rPr>
        <w:t xml:space="preserve">and </w:t>
      </w:r>
      <w:r w:rsidRPr="00E478C1">
        <w:rPr>
          <w:rFonts w:ascii="Lato" w:hAnsi="Lato" w:cs="Times New Roman"/>
          <w:color w:val="000000"/>
          <w:kern w:val="0"/>
          <w:sz w:val="27"/>
          <w:szCs w:val="27"/>
          <w14:ligatures w14:val="none"/>
        </w:rPr>
        <w:t xml:space="preserve">maintain </w:t>
      </w:r>
      <w:r w:rsidR="00020748">
        <w:rPr>
          <w:rFonts w:ascii="Lato" w:hAnsi="Lato" w:cs="Times New Roman"/>
          <w:color w:val="000000"/>
          <w:kern w:val="0"/>
          <w:sz w:val="27"/>
          <w:szCs w:val="27"/>
          <w14:ligatures w14:val="none"/>
        </w:rPr>
        <w:t xml:space="preserve">a </w:t>
      </w:r>
      <w:r w:rsidRPr="00E478C1">
        <w:rPr>
          <w:rFonts w:ascii="Lato" w:hAnsi="Lato" w:cs="Times New Roman"/>
          <w:color w:val="000000"/>
          <w:kern w:val="0"/>
          <w:sz w:val="27"/>
          <w:szCs w:val="27"/>
          <w14:ligatures w14:val="none"/>
        </w:rPr>
        <w:t>separate agenc</w:t>
      </w:r>
      <w:r w:rsidR="00020748">
        <w:rPr>
          <w:rFonts w:ascii="Lato" w:hAnsi="Lato" w:cs="Times New Roman"/>
          <w:color w:val="000000"/>
          <w:kern w:val="0"/>
          <w:sz w:val="27"/>
          <w:szCs w:val="27"/>
          <w14:ligatures w14:val="none"/>
        </w:rPr>
        <w:t>y</w:t>
      </w:r>
      <w:r w:rsidRPr="00E478C1">
        <w:rPr>
          <w:rFonts w:ascii="Lato" w:hAnsi="Lato" w:cs="Times New Roman"/>
          <w:color w:val="000000"/>
          <w:kern w:val="0"/>
          <w:sz w:val="27"/>
          <w:szCs w:val="27"/>
          <w14:ligatures w14:val="none"/>
        </w:rPr>
        <w:t xml:space="preserve"> serving the blind, independent of general disability service agencies; and</w:t>
      </w:r>
    </w:p>
    <w:p w14:paraId="3388F17D" w14:textId="77777777" w:rsidR="00E478C1" w:rsidRPr="00E478C1" w:rsidRDefault="00E478C1" w:rsidP="00E478C1">
      <w:pPr>
        <w:spacing w:after="300" w:line="240" w:lineRule="auto"/>
        <w:rPr>
          <w:rFonts w:ascii="Lato" w:hAnsi="Lato" w:cs="Times New Roman"/>
          <w:color w:val="000000"/>
          <w:kern w:val="0"/>
          <w:sz w:val="27"/>
          <w:szCs w:val="27"/>
          <w14:ligatures w14:val="none"/>
        </w:rPr>
      </w:pPr>
      <w:r w:rsidRPr="00E478C1">
        <w:rPr>
          <w:rFonts w:ascii="Lato" w:hAnsi="Lato" w:cs="Times New Roman"/>
          <w:color w:val="000000"/>
          <w:kern w:val="0"/>
          <w:sz w:val="27"/>
          <w:szCs w:val="27"/>
          <w14:ligatures w14:val="none"/>
        </w:rPr>
        <w:t>BE IT FURTHER RESOLVED that this organization urge all currently combined agencies to develop a plan to establish separate blindness-specific agencies to ensure the provision of specialized services; and</w:t>
      </w:r>
    </w:p>
    <w:p w14:paraId="27A51F7B" w14:textId="77777777" w:rsidR="00E478C1" w:rsidRPr="00E478C1" w:rsidRDefault="00E478C1" w:rsidP="00E478C1">
      <w:pPr>
        <w:spacing w:after="300" w:line="240" w:lineRule="auto"/>
        <w:rPr>
          <w:rFonts w:ascii="Lato" w:hAnsi="Lato" w:cs="Times New Roman"/>
          <w:color w:val="000000"/>
          <w:kern w:val="0"/>
          <w:sz w:val="27"/>
          <w:szCs w:val="27"/>
          <w14:ligatures w14:val="none"/>
        </w:rPr>
      </w:pPr>
      <w:r w:rsidRPr="00E478C1">
        <w:rPr>
          <w:rFonts w:ascii="Lato" w:hAnsi="Lato" w:cs="Times New Roman"/>
          <w:color w:val="000000"/>
          <w:kern w:val="0"/>
          <w:sz w:val="27"/>
          <w:szCs w:val="27"/>
          <w14:ligatures w14:val="none"/>
        </w:rPr>
        <w:t>BE IT FURTHER RESOLVED that this organization call upon legislatures and agencies serving the blind to collaborate with the National Federation of the Blind to build effective, responsive, and accountable services for blind Americans; and</w:t>
      </w:r>
    </w:p>
    <w:p w14:paraId="04B567B6" w14:textId="77777777" w:rsidR="00E478C1" w:rsidRPr="00E478C1" w:rsidRDefault="00E478C1" w:rsidP="00E478C1">
      <w:pPr>
        <w:spacing w:after="300" w:line="240" w:lineRule="auto"/>
        <w:rPr>
          <w:rFonts w:ascii="Lato" w:hAnsi="Lato" w:cs="Times New Roman"/>
          <w:color w:val="000000"/>
          <w:kern w:val="0"/>
          <w:sz w:val="27"/>
          <w:szCs w:val="27"/>
          <w14:ligatures w14:val="none"/>
        </w:rPr>
      </w:pPr>
      <w:r w:rsidRPr="00E478C1">
        <w:rPr>
          <w:rFonts w:ascii="Lato" w:hAnsi="Lato" w:cs="Times New Roman"/>
          <w:color w:val="000000"/>
          <w:kern w:val="0"/>
          <w:sz w:val="27"/>
          <w:szCs w:val="27"/>
          <w14:ligatures w14:val="none"/>
        </w:rPr>
        <w:t>BE IT FURTHER RESOLVED that this organization urge all blindness service agencies to include substantial representation—at least 50 percent—of blind people on their governing boards.</w:t>
      </w:r>
    </w:p>
    <w:p w14:paraId="3E58632B" w14:textId="77777777" w:rsidR="00E478C1" w:rsidRPr="00E478C1" w:rsidRDefault="00E478C1" w:rsidP="00E478C1">
      <w:pPr>
        <w:spacing w:after="0" w:line="240" w:lineRule="auto"/>
        <w:rPr>
          <w:rFonts w:ascii="Times New Roman" w:eastAsia="Times New Roman" w:hAnsi="Times New Roman" w:cs="Times New Roman"/>
          <w:kern w:val="0"/>
          <w14:ligatures w14:val="none"/>
        </w:rPr>
      </w:pPr>
    </w:p>
    <w:p w14:paraId="0D1C9747" w14:textId="77777777" w:rsidR="008B0575" w:rsidRDefault="008B0575"/>
    <w:p w14:paraId="1C476F49" w14:textId="77777777" w:rsidR="008B0575" w:rsidRDefault="008B0575"/>
    <w:p w14:paraId="3BD86EB3" w14:textId="77777777" w:rsidR="008B0575" w:rsidRDefault="008B0575"/>
    <w:sectPr w:rsidR="008B0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75"/>
    <w:rsid w:val="00020748"/>
    <w:rsid w:val="00030F9B"/>
    <w:rsid w:val="00054910"/>
    <w:rsid w:val="000B1634"/>
    <w:rsid w:val="000C1309"/>
    <w:rsid w:val="001027AB"/>
    <w:rsid w:val="00242239"/>
    <w:rsid w:val="00461EB1"/>
    <w:rsid w:val="00474DB6"/>
    <w:rsid w:val="004863E5"/>
    <w:rsid w:val="004E201D"/>
    <w:rsid w:val="00525041"/>
    <w:rsid w:val="00542A81"/>
    <w:rsid w:val="00551EEA"/>
    <w:rsid w:val="00595238"/>
    <w:rsid w:val="005F487F"/>
    <w:rsid w:val="006D03F1"/>
    <w:rsid w:val="006D31E7"/>
    <w:rsid w:val="00717BC6"/>
    <w:rsid w:val="008349FF"/>
    <w:rsid w:val="008B0575"/>
    <w:rsid w:val="008D33BB"/>
    <w:rsid w:val="00A04B86"/>
    <w:rsid w:val="00A55411"/>
    <w:rsid w:val="00A906B6"/>
    <w:rsid w:val="00C56F4E"/>
    <w:rsid w:val="00C65094"/>
    <w:rsid w:val="00C93AF9"/>
    <w:rsid w:val="00DE71F2"/>
    <w:rsid w:val="00E478C1"/>
    <w:rsid w:val="00E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9E0ABB"/>
  <w15:chartTrackingRefBased/>
  <w15:docId w15:val="{A5E1BA24-0716-B943-AE68-B7B6242B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575"/>
    <w:rPr>
      <w:rFonts w:eastAsiaTheme="majorEastAsia" w:cstheme="majorBidi"/>
      <w:color w:val="272727" w:themeColor="text1" w:themeTint="D8"/>
    </w:rPr>
  </w:style>
  <w:style w:type="paragraph" w:styleId="Title">
    <w:name w:val="Title"/>
    <w:basedOn w:val="Normal"/>
    <w:next w:val="Normal"/>
    <w:link w:val="TitleChar"/>
    <w:uiPriority w:val="10"/>
    <w:qFormat/>
    <w:rsid w:val="008B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575"/>
    <w:pPr>
      <w:spacing w:before="160"/>
      <w:jc w:val="center"/>
    </w:pPr>
    <w:rPr>
      <w:i/>
      <w:iCs/>
      <w:color w:val="404040" w:themeColor="text1" w:themeTint="BF"/>
    </w:rPr>
  </w:style>
  <w:style w:type="character" w:customStyle="1" w:styleId="QuoteChar">
    <w:name w:val="Quote Char"/>
    <w:basedOn w:val="DefaultParagraphFont"/>
    <w:link w:val="Quote"/>
    <w:uiPriority w:val="29"/>
    <w:rsid w:val="008B0575"/>
    <w:rPr>
      <w:i/>
      <w:iCs/>
      <w:color w:val="404040" w:themeColor="text1" w:themeTint="BF"/>
    </w:rPr>
  </w:style>
  <w:style w:type="paragraph" w:styleId="ListParagraph">
    <w:name w:val="List Paragraph"/>
    <w:basedOn w:val="Normal"/>
    <w:uiPriority w:val="34"/>
    <w:qFormat/>
    <w:rsid w:val="008B0575"/>
    <w:pPr>
      <w:ind w:left="720"/>
      <w:contextualSpacing/>
    </w:pPr>
  </w:style>
  <w:style w:type="character" w:styleId="IntenseEmphasis">
    <w:name w:val="Intense Emphasis"/>
    <w:basedOn w:val="DefaultParagraphFont"/>
    <w:uiPriority w:val="21"/>
    <w:qFormat/>
    <w:rsid w:val="008B0575"/>
    <w:rPr>
      <w:i/>
      <w:iCs/>
      <w:color w:val="0F4761" w:themeColor="accent1" w:themeShade="BF"/>
    </w:rPr>
  </w:style>
  <w:style w:type="paragraph" w:styleId="IntenseQuote">
    <w:name w:val="Intense Quote"/>
    <w:basedOn w:val="Normal"/>
    <w:next w:val="Normal"/>
    <w:link w:val="IntenseQuoteChar"/>
    <w:uiPriority w:val="30"/>
    <w:qFormat/>
    <w:rsid w:val="008B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575"/>
    <w:rPr>
      <w:i/>
      <w:iCs/>
      <w:color w:val="0F4761" w:themeColor="accent1" w:themeShade="BF"/>
    </w:rPr>
  </w:style>
  <w:style w:type="character" w:styleId="IntenseReference">
    <w:name w:val="Intense Reference"/>
    <w:basedOn w:val="DefaultParagraphFont"/>
    <w:uiPriority w:val="32"/>
    <w:qFormat/>
    <w:rsid w:val="008B0575"/>
    <w:rPr>
      <w:b/>
      <w:bCs/>
      <w:smallCaps/>
      <w:color w:val="0F4761" w:themeColor="accent1" w:themeShade="BF"/>
      <w:spacing w:val="5"/>
    </w:rPr>
  </w:style>
  <w:style w:type="paragraph" w:styleId="NormalWeb">
    <w:name w:val="Normal (Web)"/>
    <w:basedOn w:val="Normal"/>
    <w:uiPriority w:val="99"/>
    <w:semiHidden/>
    <w:unhideWhenUsed/>
    <w:rsid w:val="00E478C1"/>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Tabor</dc:creator>
  <cp:keywords/>
  <dc:description/>
  <cp:lastModifiedBy>Robert Tabor</cp:lastModifiedBy>
  <cp:revision>2</cp:revision>
  <dcterms:created xsi:type="dcterms:W3CDTF">2025-10-28T02:12:00Z</dcterms:created>
  <dcterms:modified xsi:type="dcterms:W3CDTF">2025-10-28T02:12:00Z</dcterms:modified>
</cp:coreProperties>
</file>