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Directions to the Tech Lab from the Main entrance at 82 Main Street.</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The main entrance is set back from the sidewalk. There is an iron fence with an opening and a short pathway with steps up to the front door.</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Walk straight through the opening until you reach a few steps. After clearing those, there is one additional step before the front door which features a glass window.</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Once inside, walk straight for a while until you reach the end of the hall, and turn left to find a doorway. Note that you’re essentially walking from one end of the building to the other during this step.</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Walk straight through the doorway, continue through the narrow hallway, then through the next doorway. The elevator is straight ahead. </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Press the up button to get to the second floor.</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Walk straight out of the elevator (a railing will be on your right). </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Continue straight through the doorway.</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Straight ahead is a table, after locating it, take an immediate right to enter the stairwell.</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Take an immediate left (avoiding the stairs straight ahead).</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Go through the doorway straight ahead. Continue forward, bearing slightly to the right to walk through the last doorway. Continue forward, and the Tech Lab will be an open area on your left.</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If you continue straight and reach the very end of the hallway, there is a door to a single bathroom straight ahead and there is also one to your right.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