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Comparison of NFB of North Dakota Constitution (2009 vs. 2025)</w:t>
      </w:r>
    </w:p>
    <w:p>
      <w:pPr>
        <w:pStyle w:val="Heading2"/>
      </w:pPr>
      <w:r>
        <w:t>Purpose</w:t>
      </w:r>
    </w:p>
    <w:p>
      <w:r>
        <w:t>2009: Very detailed with many categories (parents, students, cultural/social, etc.).</w:t>
        <w:br/>
        <w:t>2025: Restored detailed language from 2009 to match national model.</w:t>
      </w:r>
    </w:p>
    <w:p>
      <w:pPr>
        <w:pStyle w:val="Heading2"/>
      </w:pPr>
      <w:r>
        <w:t>Membership</w:t>
      </w:r>
    </w:p>
    <w:p>
      <w:r>
        <w:t>2009: Active and supporting members defined, supporting members had no dues.</w:t>
        <w:br/>
        <w:t>2025: Keeps same but allows supporting members to pay dues. Restored full discipline/appeal process.</w:t>
      </w:r>
    </w:p>
    <w:p>
      <w:pPr>
        <w:pStyle w:val="Heading2"/>
      </w:pPr>
      <w:r>
        <w:t>Officers &amp; Elections</w:t>
      </w:r>
    </w:p>
    <w:p>
      <w:r>
        <w:t>2009: All officers elected every two years; duties vague.</w:t>
        <w:br/>
        <w:t>2025: Staggered elections (2 at a time). Officer duties spelled out clearly.</w:t>
      </w:r>
    </w:p>
    <w:p>
      <w:pPr>
        <w:pStyle w:val="Heading2"/>
      </w:pPr>
      <w:r>
        <w:t>Board of Directors</w:t>
      </w:r>
    </w:p>
    <w:p>
      <w:r>
        <w:t>2009: Board = only 4 officers.</w:t>
        <w:br/>
        <w:t>2025: Board = 4 officers + up to 2 at-large members for flexibility.</w:t>
      </w:r>
    </w:p>
    <w:p>
      <w:pPr>
        <w:pStyle w:val="Heading2"/>
      </w:pPr>
      <w:r>
        <w:t>Meetings &amp; Quorum</w:t>
      </w:r>
    </w:p>
    <w:p>
      <w:r>
        <w:t>2009: Quorum fixed at 10 members (impossible for small affiliate).</w:t>
        <w:br/>
        <w:t>2025: Quorum = 5 members or one-third of registered, never fewer than 3.</w:t>
      </w:r>
    </w:p>
    <w:p>
      <w:pPr>
        <w:pStyle w:val="Heading2"/>
      </w:pPr>
      <w:r>
        <w:t>Committees</w:t>
      </w:r>
    </w:p>
    <w:p>
      <w:r>
        <w:t>2009: President appoints, ex officio.</w:t>
        <w:br/>
        <w:t>2025: Same, but added option of Nominating Committee while guaranteeing floor nominations.</w:t>
      </w:r>
    </w:p>
    <w:p>
      <w:pPr>
        <w:pStyle w:val="Heading2"/>
      </w:pPr>
      <w:r>
        <w:t>Affiliation</w:t>
      </w:r>
    </w:p>
    <w:p>
      <w:r>
        <w:t>2009: Strong language binding affiliate to national, including reorganization and assets.</w:t>
        <w:br/>
        <w:t>2025: Kept the strong 2009 language to remain compliant with national.</w:t>
      </w:r>
    </w:p>
    <w:p>
      <w:pPr>
        <w:pStyle w:val="Heading2"/>
      </w:pPr>
      <w:r>
        <w:t>Dues</w:t>
      </w:r>
    </w:p>
    <w:p>
      <w:r>
        <w:t>2009: $5 annual / $100 lifetime.</w:t>
        <w:br/>
        <w:t>2025: Same dues, clarified non-voting if unpaid.</w:t>
      </w:r>
    </w:p>
    <w:p>
      <w:pPr>
        <w:pStyle w:val="Heading2"/>
      </w:pPr>
      <w:r>
        <w:t>Finance</w:t>
      </w:r>
    </w:p>
    <w:p>
      <w:r>
        <w:t>2009: Treasurer bonded; disbursements by Treasurer with President’s order.</w:t>
        <w:br/>
        <w:t>2025: Treasurer bonded; disbursements require Treasurer signature and President authorization; Board approves bank.</w:t>
      </w:r>
    </w:p>
    <w:p>
      <w:pPr>
        <w:pStyle w:val="Heading2"/>
      </w:pPr>
      <w:r>
        <w:t>Dissolution</w:t>
      </w:r>
    </w:p>
    <w:p>
      <w:r>
        <w:t>2009: Assets revert to NFB, includes IRS clause.</w:t>
        <w:br/>
        <w:t>2025: Same, kept IRS clause for legal protection.</w:t>
      </w:r>
    </w:p>
    <w:p>
      <w:pPr>
        <w:pStyle w:val="Heading2"/>
      </w:pPr>
      <w:r>
        <w:t>Amendments</w:t>
      </w:r>
    </w:p>
    <w:p>
      <w:r>
        <w:t>2009: Two-thirds vote, proposed amendment must be submitted in writing at prior session.</w:t>
        <w:br/>
        <w:t>2025: Same rule, kept advance notice requirement to prevent surprise amendments.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