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A7" w:rsidRPr="004F3882" w:rsidRDefault="00226FA7">
      <w:pPr>
        <w:rPr>
          <w:rFonts w:ascii="Arial" w:hAnsi="Arial" w:cs="Arial"/>
          <w:sz w:val="26"/>
          <w:szCs w:val="26"/>
        </w:rPr>
      </w:pPr>
      <w:bookmarkStart w:id="0" w:name="_GoBack"/>
      <w:bookmarkEnd w:id="0"/>
    </w:p>
    <w:p w:rsidR="001912EB" w:rsidRPr="004F3882" w:rsidRDefault="001912EB">
      <w:pPr>
        <w:rPr>
          <w:rFonts w:ascii="Arial" w:hAnsi="Arial" w:cs="Arial"/>
          <w:sz w:val="26"/>
          <w:szCs w:val="26"/>
        </w:rPr>
      </w:pPr>
    </w:p>
    <w:p w:rsidR="001912EB" w:rsidRPr="004F3882" w:rsidRDefault="001912EB">
      <w:pPr>
        <w:rPr>
          <w:rFonts w:ascii="Arial" w:hAnsi="Arial" w:cs="Arial"/>
          <w:sz w:val="26"/>
          <w:szCs w:val="26"/>
        </w:rPr>
      </w:pPr>
    </w:p>
    <w:p w:rsidR="00C00279" w:rsidRPr="00C00279" w:rsidRDefault="00C00279" w:rsidP="00C00279">
      <w:pPr>
        <w:pStyle w:val="Heading1"/>
        <w:contextualSpacing/>
        <w:jc w:val="center"/>
        <w:rPr>
          <w:rFonts w:ascii="Perpetua" w:hAnsi="Perpetua"/>
          <w:b/>
          <w:color w:val="17365D" w:themeColor="text2" w:themeShade="BF"/>
          <w:sz w:val="44"/>
          <w:szCs w:val="44"/>
        </w:rPr>
      </w:pPr>
      <w:r w:rsidRPr="00C00279">
        <w:rPr>
          <w:rFonts w:ascii="Perpetua" w:hAnsi="Perpetua"/>
          <w:b/>
          <w:color w:val="17365D" w:themeColor="text2" w:themeShade="BF"/>
          <w:sz w:val="44"/>
          <w:szCs w:val="44"/>
        </w:rPr>
        <w:t>LEGISLATIVE AGENDA OF BLIND AMERICANS</w:t>
      </w:r>
    </w:p>
    <w:p w:rsidR="00C00279" w:rsidRPr="00C00279" w:rsidRDefault="00C00279" w:rsidP="009674F4">
      <w:pPr>
        <w:pStyle w:val="Heading1"/>
        <w:contextualSpacing/>
        <w:jc w:val="center"/>
        <w:rPr>
          <w:rFonts w:ascii="Perpetua" w:hAnsi="Perpetua"/>
          <w:b/>
          <w:color w:val="17365D" w:themeColor="text2" w:themeShade="BF"/>
          <w:sz w:val="44"/>
          <w:szCs w:val="44"/>
        </w:rPr>
      </w:pPr>
      <w:r w:rsidRPr="00C00279">
        <w:rPr>
          <w:rFonts w:ascii="Perpetua" w:hAnsi="Perpetua"/>
          <w:b/>
          <w:color w:val="17365D" w:themeColor="text2" w:themeShade="BF"/>
          <w:sz w:val="44"/>
          <w:szCs w:val="44"/>
        </w:rPr>
        <w:t>PRIORITIES FOR THE</w:t>
      </w:r>
      <w:r w:rsidR="009674F4">
        <w:rPr>
          <w:rFonts w:ascii="Perpetua" w:hAnsi="Perpetua"/>
          <w:b/>
          <w:color w:val="17365D" w:themeColor="text2" w:themeShade="BF"/>
          <w:sz w:val="44"/>
          <w:szCs w:val="44"/>
        </w:rPr>
        <w:t xml:space="preserve"> </w:t>
      </w:r>
      <w:r w:rsidRPr="00C00279">
        <w:rPr>
          <w:rFonts w:ascii="Perpetua" w:hAnsi="Perpetua"/>
          <w:b/>
          <w:color w:val="17365D" w:themeColor="text2" w:themeShade="BF"/>
          <w:sz w:val="44"/>
          <w:szCs w:val="44"/>
        </w:rPr>
        <w:t>116TH CONGRESS,</w:t>
      </w:r>
    </w:p>
    <w:p w:rsidR="00C00279" w:rsidRPr="00C00279" w:rsidRDefault="00C00279" w:rsidP="00C00279">
      <w:pPr>
        <w:pStyle w:val="Heading1"/>
        <w:contextualSpacing/>
        <w:jc w:val="center"/>
        <w:rPr>
          <w:rFonts w:ascii="Perpetua" w:hAnsi="Perpetua"/>
          <w:b/>
          <w:color w:val="17365D" w:themeColor="text2" w:themeShade="BF"/>
          <w:sz w:val="44"/>
          <w:szCs w:val="44"/>
        </w:rPr>
      </w:pPr>
      <w:r w:rsidRPr="00C00279">
        <w:rPr>
          <w:rFonts w:ascii="Perpetua" w:hAnsi="Perpetua"/>
          <w:b/>
          <w:color w:val="17365D" w:themeColor="text2" w:themeShade="BF"/>
          <w:sz w:val="44"/>
          <w:szCs w:val="44"/>
        </w:rPr>
        <w:t>SECOND SESSION</w:t>
      </w:r>
    </w:p>
    <w:p w:rsidR="00C00279" w:rsidRPr="00C00279" w:rsidRDefault="00C00279" w:rsidP="00C00279">
      <w:pPr>
        <w:rPr>
          <w:sz w:val="20"/>
          <w:szCs w:val="20"/>
        </w:rPr>
      </w:pPr>
    </w:p>
    <w:p w:rsidR="00C00279" w:rsidRDefault="00C00279" w:rsidP="00C00279">
      <w:pPr>
        <w:contextualSpacing/>
        <w:jc w:val="center"/>
        <w:rPr>
          <w:rFonts w:ascii="Arial" w:hAnsi="Arial" w:cs="Arial"/>
          <w:b/>
          <w:sz w:val="24"/>
        </w:rPr>
      </w:pPr>
      <w:r w:rsidRPr="00C00279">
        <w:rPr>
          <w:rFonts w:ascii="Arial" w:hAnsi="Arial" w:cs="Arial"/>
          <w:b/>
          <w:sz w:val="24"/>
        </w:rPr>
        <w:t>The National Federation of the Blind is a community of members and friends who believe in the hopes and dreams of the nation’s blind. Every day we work together to help blind people live the lives we want.</w:t>
      </w:r>
    </w:p>
    <w:p w:rsidR="00C00279" w:rsidRPr="00C00279" w:rsidRDefault="00C00279" w:rsidP="00C00279">
      <w:pPr>
        <w:contextualSpacing/>
        <w:jc w:val="center"/>
        <w:rPr>
          <w:rFonts w:ascii="Arial" w:hAnsi="Arial" w:cs="Arial"/>
          <w:b/>
          <w:sz w:val="24"/>
        </w:rPr>
      </w:pPr>
    </w:p>
    <w:p w:rsidR="004F3882" w:rsidRDefault="004F3882" w:rsidP="00C00279">
      <w:pPr>
        <w:jc w:val="center"/>
        <w:rPr>
          <w:rFonts w:ascii="Arial" w:hAnsi="Arial" w:cs="Arial"/>
          <w:sz w:val="24"/>
        </w:rPr>
      </w:pPr>
    </w:p>
    <w:p w:rsidR="00C00279" w:rsidRPr="00C00279" w:rsidRDefault="00C00279" w:rsidP="00C00279">
      <w:pPr>
        <w:widowControl w:val="0"/>
        <w:numPr>
          <w:ilvl w:val="0"/>
          <w:numId w:val="1"/>
        </w:numPr>
        <w:tabs>
          <w:tab w:val="left" w:pos="620"/>
        </w:tabs>
        <w:autoSpaceDE w:val="0"/>
        <w:autoSpaceDN w:val="0"/>
        <w:jc w:val="both"/>
        <w:rPr>
          <w:rFonts w:ascii="Arial" w:eastAsia="Arial" w:hAnsi="Arial" w:cs="Arial"/>
          <w:b/>
          <w:sz w:val="24"/>
          <w:szCs w:val="22"/>
        </w:rPr>
      </w:pPr>
      <w:r w:rsidRPr="00C00279">
        <w:rPr>
          <w:rFonts w:ascii="Arial" w:eastAsia="Arial" w:hAnsi="Arial" w:cs="Arial"/>
          <w:b/>
          <w:color w:val="005F95"/>
          <w:sz w:val="24"/>
          <w:szCs w:val="22"/>
        </w:rPr>
        <w:t>The Access Technology Affordability Act</w:t>
      </w:r>
      <w:r w:rsidRPr="00C00279">
        <w:rPr>
          <w:rFonts w:ascii="Arial" w:eastAsia="Arial" w:hAnsi="Arial" w:cs="Arial"/>
          <w:b/>
          <w:color w:val="005F95"/>
          <w:spacing w:val="3"/>
          <w:sz w:val="24"/>
          <w:szCs w:val="22"/>
        </w:rPr>
        <w:t xml:space="preserve"> </w:t>
      </w:r>
      <w:r w:rsidRPr="00C00279">
        <w:rPr>
          <w:rFonts w:ascii="Arial" w:eastAsia="Arial" w:hAnsi="Arial" w:cs="Arial"/>
          <w:b/>
          <w:color w:val="005F95"/>
          <w:sz w:val="24"/>
          <w:szCs w:val="22"/>
        </w:rPr>
        <w:t>(ATAA)</w:t>
      </w:r>
      <w:r>
        <w:rPr>
          <w:rFonts w:ascii="Arial" w:eastAsia="Arial" w:hAnsi="Arial" w:cs="Arial"/>
          <w:b/>
          <w:color w:val="005F95"/>
          <w:sz w:val="24"/>
          <w:szCs w:val="22"/>
        </w:rPr>
        <w:t xml:space="preserve"> (H.R. 2086/S. 815)</w:t>
      </w:r>
    </w:p>
    <w:p w:rsidR="00C00279" w:rsidRPr="00C00279" w:rsidRDefault="00C00279" w:rsidP="00C00279">
      <w:pPr>
        <w:widowControl w:val="0"/>
        <w:autoSpaceDE w:val="0"/>
        <w:autoSpaceDN w:val="0"/>
        <w:spacing w:before="115"/>
        <w:ind w:left="620" w:right="825"/>
        <w:jc w:val="both"/>
        <w:rPr>
          <w:rFonts w:ascii="Arial" w:eastAsia="Arial" w:hAnsi="Arial" w:cs="Arial"/>
          <w:sz w:val="24"/>
        </w:rPr>
      </w:pPr>
      <w:r w:rsidRPr="00C00279">
        <w:rPr>
          <w:rFonts w:ascii="Arial" w:eastAsia="Arial" w:hAnsi="Arial" w:cs="Arial"/>
          <w:sz w:val="24"/>
        </w:rPr>
        <w:t>The cost of critically needed access technology is out of reach for most blind Americans. By providing a refundable tax credit for qualifying purchases, Congress will stimulate individual procurement of this technology and promote affordability of these tools.</w:t>
      </w:r>
    </w:p>
    <w:p w:rsidR="00C00279" w:rsidRPr="00C00279" w:rsidRDefault="00C00279" w:rsidP="00C00279">
      <w:pPr>
        <w:widowControl w:val="0"/>
        <w:numPr>
          <w:ilvl w:val="0"/>
          <w:numId w:val="1"/>
        </w:numPr>
        <w:tabs>
          <w:tab w:val="left" w:pos="620"/>
        </w:tabs>
        <w:autoSpaceDE w:val="0"/>
        <w:autoSpaceDN w:val="0"/>
        <w:spacing w:before="121"/>
        <w:ind w:right="150"/>
        <w:jc w:val="both"/>
        <w:outlineLvl w:val="1"/>
        <w:rPr>
          <w:rFonts w:ascii="Arial" w:eastAsia="Arial" w:hAnsi="Arial" w:cs="Arial"/>
          <w:b/>
          <w:bCs/>
          <w:sz w:val="24"/>
        </w:rPr>
      </w:pPr>
      <w:r w:rsidRPr="00C00279">
        <w:rPr>
          <w:rFonts w:ascii="Arial" w:eastAsia="Arial" w:hAnsi="Arial" w:cs="Arial"/>
          <w:b/>
          <w:bCs/>
          <w:color w:val="005F95"/>
          <w:sz w:val="24"/>
        </w:rPr>
        <w:t>The Greater Access and Independence through Nonvisual Access Technology</w:t>
      </w:r>
      <w:r w:rsidRPr="00C00279">
        <w:rPr>
          <w:rFonts w:ascii="Arial" w:eastAsia="Arial" w:hAnsi="Arial" w:cs="Arial"/>
          <w:b/>
          <w:bCs/>
          <w:color w:val="005F95"/>
          <w:spacing w:val="-46"/>
          <w:sz w:val="24"/>
        </w:rPr>
        <w:t xml:space="preserve"> </w:t>
      </w:r>
      <w:r w:rsidRPr="00C00279">
        <w:rPr>
          <w:rFonts w:ascii="Arial" w:eastAsia="Arial" w:hAnsi="Arial" w:cs="Arial"/>
          <w:b/>
          <w:bCs/>
          <w:color w:val="005F95"/>
          <w:sz w:val="24"/>
        </w:rPr>
        <w:t>(GAIN) Act</w:t>
      </w:r>
      <w:r>
        <w:rPr>
          <w:rFonts w:ascii="Arial" w:eastAsia="Arial" w:hAnsi="Arial" w:cs="Arial"/>
          <w:b/>
          <w:bCs/>
          <w:color w:val="005F95"/>
          <w:sz w:val="24"/>
        </w:rPr>
        <w:t xml:space="preserve"> (H.R. 3929)</w:t>
      </w:r>
    </w:p>
    <w:p w:rsidR="00C00279" w:rsidRPr="00C00279" w:rsidRDefault="00C00279" w:rsidP="00C00279">
      <w:pPr>
        <w:widowControl w:val="0"/>
        <w:autoSpaceDE w:val="0"/>
        <w:autoSpaceDN w:val="0"/>
        <w:spacing w:before="118"/>
        <w:ind w:left="619" w:right="102"/>
        <w:rPr>
          <w:rFonts w:ascii="Arial" w:eastAsia="Arial" w:hAnsi="Arial" w:cs="Arial"/>
          <w:sz w:val="24"/>
        </w:rPr>
      </w:pPr>
      <w:r w:rsidRPr="00C00279">
        <w:rPr>
          <w:rFonts w:ascii="Arial" w:eastAsia="Arial" w:hAnsi="Arial" w:cs="Arial"/>
          <w:sz w:val="24"/>
        </w:rPr>
        <w:t>Advanced digital interfaces create barriers that prevent blind individuals from independently operating essential devices that enhance quality of life. Congress must end the digital divide that threatens the independence of blind Americans by developing minimum accessibility requirements for such devices.</w:t>
      </w:r>
    </w:p>
    <w:p w:rsidR="00C00279" w:rsidRPr="00C00279" w:rsidRDefault="00C00279" w:rsidP="00C00279">
      <w:pPr>
        <w:widowControl w:val="0"/>
        <w:numPr>
          <w:ilvl w:val="0"/>
          <w:numId w:val="1"/>
        </w:numPr>
        <w:tabs>
          <w:tab w:val="left" w:pos="619"/>
          <w:tab w:val="left" w:pos="620"/>
        </w:tabs>
        <w:autoSpaceDE w:val="0"/>
        <w:autoSpaceDN w:val="0"/>
        <w:spacing w:before="121"/>
        <w:outlineLvl w:val="1"/>
        <w:rPr>
          <w:rFonts w:ascii="Arial" w:eastAsia="Arial" w:hAnsi="Arial" w:cs="Arial"/>
          <w:b/>
          <w:bCs/>
          <w:sz w:val="24"/>
        </w:rPr>
      </w:pPr>
      <w:r>
        <w:rPr>
          <w:rFonts w:ascii="Arial" w:eastAsia="Arial" w:hAnsi="Arial" w:cs="Arial"/>
          <w:b/>
          <w:bCs/>
          <w:color w:val="005F95"/>
          <w:sz w:val="24"/>
        </w:rPr>
        <w:t>The Accessible Instructional Materials in Higher Education (AIM HIGH) Act (H.R. 5312/S. 3095)</w:t>
      </w:r>
    </w:p>
    <w:p w:rsidR="00C00279" w:rsidRPr="00C00279" w:rsidRDefault="00C00279" w:rsidP="00C00279">
      <w:pPr>
        <w:widowControl w:val="0"/>
        <w:autoSpaceDE w:val="0"/>
        <w:autoSpaceDN w:val="0"/>
        <w:spacing w:before="118"/>
        <w:ind w:left="620" w:right="275"/>
        <w:rPr>
          <w:rFonts w:ascii="Arial" w:eastAsia="Arial" w:hAnsi="Arial" w:cs="Arial"/>
          <w:sz w:val="24"/>
        </w:rPr>
      </w:pPr>
      <w:r w:rsidRPr="00C00279">
        <w:rPr>
          <w:rFonts w:ascii="Arial" w:eastAsia="Arial" w:hAnsi="Arial" w:cs="Arial"/>
          <w:sz w:val="24"/>
        </w:rPr>
        <w:t xml:space="preserve">Until a market-driven solution for accessible instructional materials </w:t>
      </w:r>
      <w:proofErr w:type="gramStart"/>
      <w:r w:rsidRPr="00C00279">
        <w:rPr>
          <w:rFonts w:ascii="Arial" w:eastAsia="Arial" w:hAnsi="Arial" w:cs="Arial"/>
          <w:sz w:val="24"/>
        </w:rPr>
        <w:t>is achieved</w:t>
      </w:r>
      <w:proofErr w:type="gramEnd"/>
      <w:r w:rsidRPr="00C00279">
        <w:rPr>
          <w:rFonts w:ascii="Arial" w:eastAsia="Arial" w:hAnsi="Arial" w:cs="Arial"/>
          <w:sz w:val="24"/>
        </w:rPr>
        <w:t xml:space="preserve">, blind college students </w:t>
      </w:r>
      <w:r w:rsidR="00BC366A">
        <w:rPr>
          <w:rFonts w:ascii="Arial" w:eastAsia="Arial" w:hAnsi="Arial" w:cs="Arial"/>
          <w:sz w:val="24"/>
        </w:rPr>
        <w:t>are</w:t>
      </w:r>
      <w:r w:rsidRPr="00C00279">
        <w:rPr>
          <w:rFonts w:ascii="Arial" w:eastAsia="Arial" w:hAnsi="Arial" w:cs="Arial"/>
          <w:sz w:val="24"/>
        </w:rPr>
        <w:t xml:space="preserve"> denied access to critical course content. </w:t>
      </w:r>
      <w:r>
        <w:rPr>
          <w:rFonts w:ascii="Arial" w:eastAsia="Arial" w:hAnsi="Arial" w:cs="Arial"/>
          <w:sz w:val="24"/>
        </w:rPr>
        <w:t>The AIM HIGH Act will remove these barriers to equality in the classroom by creating a set of guidelines that clearly define accessible instructional materials</w:t>
      </w:r>
      <w:r w:rsidRPr="00C00279">
        <w:rPr>
          <w:rFonts w:ascii="Arial" w:eastAsia="Arial" w:hAnsi="Arial" w:cs="Arial"/>
          <w:sz w:val="24"/>
        </w:rPr>
        <w:t>.</w:t>
      </w:r>
    </w:p>
    <w:p w:rsidR="00C00279" w:rsidRDefault="00C00279" w:rsidP="00C00279">
      <w:pPr>
        <w:rPr>
          <w:rFonts w:ascii="Arial" w:hAnsi="Arial" w:cs="Arial"/>
          <w:sz w:val="24"/>
        </w:rPr>
      </w:pPr>
    </w:p>
    <w:p w:rsidR="00C00279" w:rsidRPr="00C00279" w:rsidRDefault="00C00279" w:rsidP="00C00279">
      <w:pPr>
        <w:widowControl w:val="0"/>
        <w:autoSpaceDE w:val="0"/>
        <w:autoSpaceDN w:val="0"/>
        <w:ind w:left="922" w:right="763" w:hanging="2"/>
        <w:jc w:val="center"/>
        <w:rPr>
          <w:rFonts w:ascii="Arial" w:eastAsia="Arial" w:hAnsi="Arial" w:cs="Arial"/>
          <w:b/>
          <w:szCs w:val="22"/>
        </w:rPr>
      </w:pPr>
      <w:r w:rsidRPr="00C00279">
        <w:rPr>
          <w:rFonts w:ascii="Arial" w:eastAsia="Arial" w:hAnsi="Arial" w:cs="Arial"/>
          <w:b/>
          <w:szCs w:val="22"/>
        </w:rPr>
        <w:t>THESE PRIORITIES WILL REMOVE OBSTACLES TO EDUCATION, EMPLOYMENT, AND INDEPENDENT LIVING. WE URGE CONGRESS TO SUPPORT OUR LEGISLATIVE INITIATIVES.</w:t>
      </w:r>
    </w:p>
    <w:p w:rsidR="00C00279" w:rsidRPr="00C00279" w:rsidRDefault="00C00279" w:rsidP="00C00279">
      <w:pPr>
        <w:widowControl w:val="0"/>
        <w:autoSpaceDE w:val="0"/>
        <w:autoSpaceDN w:val="0"/>
        <w:rPr>
          <w:rFonts w:ascii="Arial" w:eastAsia="Arial" w:hAnsi="Arial" w:cs="Arial"/>
          <w:b/>
          <w:sz w:val="30"/>
        </w:rPr>
      </w:pPr>
    </w:p>
    <w:p w:rsidR="00C00279" w:rsidRPr="00C00279" w:rsidRDefault="00C00279" w:rsidP="00C00279">
      <w:pPr>
        <w:widowControl w:val="0"/>
        <w:autoSpaceDE w:val="0"/>
        <w:autoSpaceDN w:val="0"/>
        <w:spacing w:before="251"/>
        <w:ind w:left="260"/>
        <w:rPr>
          <w:rFonts w:ascii="Arial" w:eastAsia="Arial" w:hAnsi="Arial" w:cs="Arial"/>
          <w:sz w:val="24"/>
        </w:rPr>
      </w:pPr>
      <w:r w:rsidRPr="00C00279">
        <w:rPr>
          <w:rFonts w:ascii="Arial" w:eastAsia="Arial" w:hAnsi="Arial" w:cs="Arial"/>
          <w:sz w:val="24"/>
        </w:rPr>
        <w:t>Find us on social media:</w:t>
      </w:r>
    </w:p>
    <w:p w:rsidR="00C00279" w:rsidRPr="00C00279" w:rsidRDefault="00C00279" w:rsidP="00C00279">
      <w:pPr>
        <w:widowControl w:val="0"/>
        <w:tabs>
          <w:tab w:val="left" w:pos="6610"/>
        </w:tabs>
        <w:autoSpaceDE w:val="0"/>
        <w:autoSpaceDN w:val="0"/>
        <w:spacing w:before="4"/>
        <w:ind w:left="159"/>
        <w:jc w:val="center"/>
        <w:rPr>
          <w:rFonts w:ascii="Arial" w:hAnsi="Arial" w:cs="Arial"/>
          <w:sz w:val="24"/>
        </w:rPr>
      </w:pPr>
      <w:r w:rsidRPr="00C00279">
        <w:rPr>
          <w:rFonts w:ascii="Arial" w:eastAsia="Arial" w:hAnsi="Arial" w:cs="Arial"/>
          <w:noProof/>
          <w:sz w:val="24"/>
        </w:rPr>
        <w:drawing>
          <wp:inline distT="0" distB="0" distL="0" distR="0" wp14:anchorId="5BD53B20" wp14:editId="1E4A1032">
            <wp:extent cx="284987" cy="292607"/>
            <wp:effectExtent l="0" t="0" r="0" b="0"/>
            <wp:docPr id="4" name="image2.jpeg"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4987" cy="292607"/>
                    </a:xfrm>
                    <a:prstGeom prst="rect">
                      <a:avLst/>
                    </a:prstGeom>
                  </pic:spPr>
                </pic:pic>
              </a:graphicData>
            </a:graphic>
          </wp:inline>
        </w:drawing>
      </w:r>
      <w:r w:rsidRPr="00C00279">
        <w:rPr>
          <w:rFonts w:ascii="Times New Roman" w:eastAsia="Arial" w:hAnsi="Arial" w:cs="Arial"/>
          <w:spacing w:val="17"/>
          <w:sz w:val="20"/>
        </w:rPr>
        <w:t xml:space="preserve"> </w:t>
      </w:r>
      <w:r w:rsidRPr="00C00279">
        <w:rPr>
          <w:rFonts w:ascii="Arial" w:eastAsia="Arial" w:hAnsi="Arial" w:cs="Arial"/>
          <w:sz w:val="24"/>
        </w:rPr>
        <w:t xml:space="preserve">National Federation of the </w:t>
      </w:r>
      <w:proofErr w:type="gramStart"/>
      <w:r w:rsidRPr="00C00279">
        <w:rPr>
          <w:rFonts w:ascii="Arial" w:eastAsia="Arial" w:hAnsi="Arial" w:cs="Arial"/>
          <w:sz w:val="24"/>
        </w:rPr>
        <w:t xml:space="preserve">Blind </w:t>
      </w:r>
      <w:r w:rsidRPr="00C00279">
        <w:rPr>
          <w:rFonts w:ascii="Arial" w:eastAsia="Arial" w:hAnsi="Arial" w:cs="Arial"/>
          <w:spacing w:val="51"/>
          <w:sz w:val="24"/>
        </w:rPr>
        <w:t xml:space="preserve"> </w:t>
      </w:r>
      <w:r w:rsidRPr="00C00279">
        <w:rPr>
          <w:rFonts w:ascii="Arial" w:eastAsia="Arial" w:hAnsi="Arial" w:cs="Arial"/>
          <w:sz w:val="24"/>
        </w:rPr>
        <w:t>|</w:t>
      </w:r>
      <w:proofErr w:type="gramEnd"/>
      <w:r w:rsidRPr="00C00279">
        <w:rPr>
          <w:rFonts w:ascii="Arial" w:eastAsia="Arial" w:hAnsi="Arial" w:cs="Arial"/>
          <w:spacing w:val="66"/>
          <w:sz w:val="24"/>
        </w:rPr>
        <w:t xml:space="preserve"> </w:t>
      </w:r>
      <w:r w:rsidRPr="00C00279">
        <w:rPr>
          <w:rFonts w:ascii="Arial" w:eastAsia="Arial" w:hAnsi="Arial" w:cs="Arial"/>
          <w:noProof/>
          <w:spacing w:val="-1"/>
          <w:sz w:val="24"/>
        </w:rPr>
        <w:drawing>
          <wp:inline distT="0" distB="0" distL="0" distR="0" wp14:anchorId="1A5C1247" wp14:editId="5935E58A">
            <wp:extent cx="284987" cy="294131"/>
            <wp:effectExtent l="0" t="0" r="0" b="0"/>
            <wp:docPr id="5" name="image3.jpeg"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84987" cy="294131"/>
                    </a:xfrm>
                    <a:prstGeom prst="rect">
                      <a:avLst/>
                    </a:prstGeom>
                  </pic:spPr>
                </pic:pic>
              </a:graphicData>
            </a:graphic>
          </wp:inline>
        </w:drawing>
      </w:r>
      <w:r w:rsidRPr="00C00279">
        <w:rPr>
          <w:rFonts w:ascii="Times New Roman" w:eastAsia="Arial" w:hAnsi="Arial" w:cs="Arial"/>
          <w:spacing w:val="8"/>
          <w:sz w:val="24"/>
        </w:rPr>
        <w:t xml:space="preserve"> </w:t>
      </w:r>
      <w:r w:rsidRPr="00C00279">
        <w:rPr>
          <w:rFonts w:ascii="Arial" w:eastAsia="Arial" w:hAnsi="Arial" w:cs="Arial"/>
          <w:sz w:val="24"/>
        </w:rPr>
        <w:t>@</w:t>
      </w:r>
      <w:proofErr w:type="spellStart"/>
      <w:r w:rsidRPr="00C00279">
        <w:rPr>
          <w:rFonts w:ascii="Arial" w:eastAsia="Arial" w:hAnsi="Arial" w:cs="Arial"/>
          <w:sz w:val="24"/>
        </w:rPr>
        <w:t>NFB_Voice</w:t>
      </w:r>
      <w:proofErr w:type="spellEnd"/>
      <w:r w:rsidRPr="00C00279">
        <w:rPr>
          <w:rFonts w:ascii="Arial" w:eastAsia="Arial" w:hAnsi="Arial" w:cs="Arial"/>
          <w:sz w:val="24"/>
        </w:rPr>
        <w:tab/>
        <w:t>|</w:t>
      </w:r>
      <w:r w:rsidRPr="00C00279">
        <w:rPr>
          <w:rFonts w:ascii="Arial" w:eastAsia="Arial" w:hAnsi="Arial" w:cs="Arial"/>
          <w:spacing w:val="63"/>
          <w:sz w:val="24"/>
        </w:rPr>
        <w:t xml:space="preserve"> </w:t>
      </w:r>
      <w:r w:rsidRPr="00C00279">
        <w:rPr>
          <w:rFonts w:ascii="Arial" w:eastAsia="Arial" w:hAnsi="Arial" w:cs="Arial"/>
          <w:noProof/>
          <w:spacing w:val="-4"/>
          <w:position w:val="1"/>
          <w:sz w:val="24"/>
        </w:rPr>
        <w:drawing>
          <wp:inline distT="0" distB="0" distL="0" distR="0" wp14:anchorId="03B3BE5F" wp14:editId="219AF0D2">
            <wp:extent cx="315467" cy="320039"/>
            <wp:effectExtent l="0" t="0" r="0" b="0"/>
            <wp:docPr id="7" name="image4.jpeg"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15467" cy="320039"/>
                    </a:xfrm>
                    <a:prstGeom prst="rect">
                      <a:avLst/>
                    </a:prstGeom>
                  </pic:spPr>
                </pic:pic>
              </a:graphicData>
            </a:graphic>
          </wp:inline>
        </w:drawing>
      </w:r>
      <w:r w:rsidRPr="00C00279">
        <w:rPr>
          <w:rFonts w:ascii="Times New Roman" w:eastAsia="Arial" w:hAnsi="Arial" w:cs="Arial"/>
          <w:spacing w:val="8"/>
          <w:sz w:val="24"/>
        </w:rPr>
        <w:t xml:space="preserve"> </w:t>
      </w:r>
      <w:r w:rsidRPr="00C00279">
        <w:rPr>
          <w:rFonts w:ascii="Arial" w:eastAsia="Arial" w:hAnsi="Arial" w:cs="Arial"/>
          <w:sz w:val="24"/>
        </w:rPr>
        <w:t>@</w:t>
      </w:r>
      <w:proofErr w:type="spellStart"/>
      <w:r w:rsidRPr="00C00279">
        <w:rPr>
          <w:rFonts w:ascii="Arial" w:eastAsia="Arial" w:hAnsi="Arial" w:cs="Arial"/>
          <w:sz w:val="24"/>
        </w:rPr>
        <w:t>nfb_voice</w:t>
      </w:r>
      <w:proofErr w:type="spellEnd"/>
    </w:p>
    <w:sectPr w:rsidR="00C00279" w:rsidRPr="00C00279" w:rsidSect="009F0608">
      <w:footerReference w:type="default" r:id="rId11"/>
      <w:headerReference w:type="first" r:id="rId12"/>
      <w:footerReference w:type="first" r:id="rId13"/>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F6" w:rsidRDefault="006666F6">
      <w:r>
        <w:separator/>
      </w:r>
    </w:p>
  </w:endnote>
  <w:endnote w:type="continuationSeparator" w:id="0">
    <w:p w:rsidR="006666F6" w:rsidRDefault="0066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4FA02B" wp14:editId="6BC0675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02B"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 xml:space="preserve">Mark </w:t>
                    </w:r>
                    <w:proofErr w:type="spellStart"/>
                    <w:r>
                      <w:rPr>
                        <w:rFonts w:ascii="Arial" w:hAnsi="Arial" w:cs="Arial"/>
                        <w:b/>
                        <w:color w:val="4F81BD" w:themeColor="accent1"/>
                        <w:sz w:val="19"/>
                        <w:szCs w:val="19"/>
                      </w:rPr>
                      <w:t>Riccobono</w:t>
                    </w:r>
                    <w:proofErr w:type="spellEnd"/>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3A0FCDA" wp14:editId="32111A2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FCD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 xml:space="preserve">Mark </w:t>
                    </w:r>
                    <w:proofErr w:type="spellStart"/>
                    <w:r>
                      <w:rPr>
                        <w:rFonts w:ascii="Arial" w:hAnsi="Arial" w:cs="Arial"/>
                        <w:b/>
                        <w:color w:val="4F81BD" w:themeColor="accent1"/>
                        <w:sz w:val="19"/>
                        <w:szCs w:val="19"/>
                      </w:rPr>
                      <w:t>Riccobono</w:t>
                    </w:r>
                    <w:proofErr w:type="spellEnd"/>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F6" w:rsidRDefault="006666F6">
      <w:r>
        <w:separator/>
      </w:r>
    </w:p>
  </w:footnote>
  <w:footnote w:type="continuationSeparator" w:id="0">
    <w:p w:rsidR="006666F6" w:rsidRDefault="0066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301930">
    <w:pPr>
      <w:pStyle w:val="Header"/>
    </w:pPr>
    <w:r>
      <w:rPr>
        <w:noProof/>
      </w:rPr>
      <w:drawing>
        <wp:anchor distT="0" distB="0" distL="114300" distR="114300" simplePos="0" relativeHeight="251664384" behindDoc="0" locked="0" layoutInCell="1" allowOverlap="1">
          <wp:simplePos x="0" y="0"/>
          <wp:positionH relativeFrom="column">
            <wp:posOffset>1493520</wp:posOffset>
          </wp:positionH>
          <wp:positionV relativeFrom="paragraph">
            <wp:posOffset>-106680</wp:posOffset>
          </wp:positionV>
          <wp:extent cx="3442995" cy="1255395"/>
          <wp:effectExtent l="0" t="0" r="5080" b="1905"/>
          <wp:wrapNone/>
          <wp:docPr id="3" name="Picture 3"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B7E0C"/>
    <w:multiLevelType w:val="hybridMultilevel"/>
    <w:tmpl w:val="D66A3344"/>
    <w:lvl w:ilvl="0" w:tplc="2040A10C">
      <w:numFmt w:val="bullet"/>
      <w:lvlText w:val=""/>
      <w:lvlJc w:val="left"/>
      <w:pPr>
        <w:ind w:left="620" w:hanging="360"/>
      </w:pPr>
      <w:rPr>
        <w:rFonts w:ascii="Symbol" w:eastAsia="Symbol" w:hAnsi="Symbol" w:cs="Symbol" w:hint="default"/>
        <w:w w:val="100"/>
        <w:sz w:val="24"/>
        <w:szCs w:val="24"/>
      </w:rPr>
    </w:lvl>
    <w:lvl w:ilvl="1" w:tplc="B504E6A0">
      <w:numFmt w:val="bullet"/>
      <w:lvlText w:val="•"/>
      <w:lvlJc w:val="left"/>
      <w:pPr>
        <w:ind w:left="1674" w:hanging="360"/>
      </w:pPr>
      <w:rPr>
        <w:rFonts w:hint="default"/>
      </w:rPr>
    </w:lvl>
    <w:lvl w:ilvl="2" w:tplc="42D8C55A">
      <w:numFmt w:val="bullet"/>
      <w:lvlText w:val="•"/>
      <w:lvlJc w:val="left"/>
      <w:pPr>
        <w:ind w:left="2728" w:hanging="360"/>
      </w:pPr>
      <w:rPr>
        <w:rFonts w:hint="default"/>
      </w:rPr>
    </w:lvl>
    <w:lvl w:ilvl="3" w:tplc="98F8E642">
      <w:numFmt w:val="bullet"/>
      <w:lvlText w:val="•"/>
      <w:lvlJc w:val="left"/>
      <w:pPr>
        <w:ind w:left="3782" w:hanging="360"/>
      </w:pPr>
      <w:rPr>
        <w:rFonts w:hint="default"/>
      </w:rPr>
    </w:lvl>
    <w:lvl w:ilvl="4" w:tplc="29061998">
      <w:numFmt w:val="bullet"/>
      <w:lvlText w:val="•"/>
      <w:lvlJc w:val="left"/>
      <w:pPr>
        <w:ind w:left="4836" w:hanging="360"/>
      </w:pPr>
      <w:rPr>
        <w:rFonts w:hint="default"/>
      </w:rPr>
    </w:lvl>
    <w:lvl w:ilvl="5" w:tplc="567438A4">
      <w:numFmt w:val="bullet"/>
      <w:lvlText w:val="•"/>
      <w:lvlJc w:val="left"/>
      <w:pPr>
        <w:ind w:left="5890" w:hanging="360"/>
      </w:pPr>
      <w:rPr>
        <w:rFonts w:hint="default"/>
      </w:rPr>
    </w:lvl>
    <w:lvl w:ilvl="6" w:tplc="778820CC">
      <w:numFmt w:val="bullet"/>
      <w:lvlText w:val="•"/>
      <w:lvlJc w:val="left"/>
      <w:pPr>
        <w:ind w:left="6944" w:hanging="360"/>
      </w:pPr>
      <w:rPr>
        <w:rFonts w:hint="default"/>
      </w:rPr>
    </w:lvl>
    <w:lvl w:ilvl="7" w:tplc="A2D42922">
      <w:numFmt w:val="bullet"/>
      <w:lvlText w:val="•"/>
      <w:lvlJc w:val="left"/>
      <w:pPr>
        <w:ind w:left="7998" w:hanging="360"/>
      </w:pPr>
      <w:rPr>
        <w:rFonts w:hint="default"/>
      </w:rPr>
    </w:lvl>
    <w:lvl w:ilvl="8" w:tplc="432EA416">
      <w:numFmt w:val="bullet"/>
      <w:lvlText w:val="•"/>
      <w:lvlJc w:val="left"/>
      <w:pPr>
        <w:ind w:left="90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30"/>
    <w:rsid w:val="000047AE"/>
    <w:rsid w:val="0000720F"/>
    <w:rsid w:val="00046A4F"/>
    <w:rsid w:val="001912EB"/>
    <w:rsid w:val="00221611"/>
    <w:rsid w:val="00226FA7"/>
    <w:rsid w:val="0024227C"/>
    <w:rsid w:val="002A6B4D"/>
    <w:rsid w:val="00301930"/>
    <w:rsid w:val="0032488D"/>
    <w:rsid w:val="003F265C"/>
    <w:rsid w:val="004F3882"/>
    <w:rsid w:val="00584CF9"/>
    <w:rsid w:val="005F6D84"/>
    <w:rsid w:val="006357D0"/>
    <w:rsid w:val="006666F6"/>
    <w:rsid w:val="00723068"/>
    <w:rsid w:val="007C056B"/>
    <w:rsid w:val="00824F7F"/>
    <w:rsid w:val="00830537"/>
    <w:rsid w:val="00870902"/>
    <w:rsid w:val="009674F4"/>
    <w:rsid w:val="009D1D64"/>
    <w:rsid w:val="009F0608"/>
    <w:rsid w:val="00A10D47"/>
    <w:rsid w:val="00B179B5"/>
    <w:rsid w:val="00B403AC"/>
    <w:rsid w:val="00BA1499"/>
    <w:rsid w:val="00BC26C3"/>
    <w:rsid w:val="00BC366A"/>
    <w:rsid w:val="00BE2C5A"/>
    <w:rsid w:val="00C00279"/>
    <w:rsid w:val="00D535B1"/>
    <w:rsid w:val="00D7780A"/>
    <w:rsid w:val="00DA487D"/>
    <w:rsid w:val="00E5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C002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002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semiHidden/>
    <w:unhideWhenUsed/>
    <w:rsid w:val="004F3882"/>
    <w:rPr>
      <w:sz w:val="20"/>
      <w:szCs w:val="20"/>
    </w:rPr>
  </w:style>
  <w:style w:type="character" w:customStyle="1" w:styleId="FootnoteTextChar">
    <w:name w:val="Footnote Text Char"/>
    <w:basedOn w:val="DefaultParagraphFont"/>
    <w:link w:val="FootnoteText"/>
    <w:semiHidden/>
    <w:rsid w:val="004F3882"/>
    <w:rPr>
      <w:rFonts w:ascii="Helvetica" w:hAnsi="Helvetica"/>
    </w:rPr>
  </w:style>
  <w:style w:type="character" w:styleId="FootnoteReference">
    <w:name w:val="footnote reference"/>
    <w:basedOn w:val="DefaultParagraphFont"/>
    <w:semiHidden/>
    <w:unhideWhenUsed/>
    <w:rsid w:val="004F3882"/>
    <w:rPr>
      <w:vertAlign w:val="superscript"/>
    </w:rPr>
  </w:style>
  <w:style w:type="character" w:customStyle="1" w:styleId="Heading1Char">
    <w:name w:val="Heading 1 Char"/>
    <w:basedOn w:val="DefaultParagraphFont"/>
    <w:link w:val="Heading1"/>
    <w:rsid w:val="00C002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C002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DACB-649D-4D10-A3E3-42F67C1F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Walls, Kyle</cp:lastModifiedBy>
  <cp:revision>3</cp:revision>
  <cp:lastPrinted>2014-05-12T18:17:00Z</cp:lastPrinted>
  <dcterms:created xsi:type="dcterms:W3CDTF">2019-12-26T16:04:00Z</dcterms:created>
  <dcterms:modified xsi:type="dcterms:W3CDTF">2019-12-26T16:10:00Z</dcterms:modified>
</cp:coreProperties>
</file>