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National Federation of the Blind of Delaware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Resolution 2024-01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Regarding Equal Access to the Web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equal access to websites, mobile apps, and other information technology is imperative to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living in today's world, impacting every area of daily life, including education, shopping, employment,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entertainment, public health and safety information, and much, much more;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assistive technology used by the blind such as screen readers, screen magnification software,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and refreshable Braille displays, allows the blind to gain access to information as efficiently, comfortably,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and easily as the sighted;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many websites, mobile apps, and other information technology are either entirely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inaccessible using assistive technology or possess significant access barriers;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existing civil rights laws such as the Americans with Disabilities Act broadly mandate equally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effective communication with those who are disabled, but generally, there are no clear regulations and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laws regarding how websites, mobile apps, and other information technology can comply with these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civil rights laws;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global standards such as the World Wide Web Consortium’s Web Content Accessibility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Guidelines (WCAG) and the regulations promulgated pursuant to Section 508 of the Rehabilitation Act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exist and inform owners and operators of websites, mobile apps, and other information technology how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to provide their information in an accessible manner;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to ensure equal access for those who are blind, it is necessary to adopt such standards into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law;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WHEREAS, The Websites and Software Applications Accessibility Act was introduced in the U.S. Senate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and House of Representatives (S. 4998/H.R. 9021) on September 28, 2022, to address these issues on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the Federal level; now therefore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RESOLVED by the National Federation of the Blind of Delaware in Convention assembled this 26th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day of October in the city of Middletown, that we urge our U.S. Senators and U.S. Representative to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support the Senate (S. 4998) and House (H.R. 9012) bills, and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FURTHER Resolved that we strongly urge the Delaware General Assembly to pass into law an Equal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 Access to the Web, Mobile Apps, and Other Information Technology Act which would incorporate into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law the most recent WCAG and Section 508 standards; and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BE IT FURTHER RESOLVED that we insist that any web accessibility Act include the full measure of relief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and remedies available under law including but not limited to all economic and non-economic damages, </w:t>
      </w:r>
      <w:r>
        <w:rPr>
          <w:position w:val="0"/>
          <w:sz w:val="20"/>
          <w:szCs w:val="20"/>
          <w:rFonts w:ascii="나눔고딕" w:eastAsia="나눔고딕" w:hAnsi="나눔고딕" w:hint="default"/>
        </w:rPr>
        <w:t xml:space="preserve">injunctive relief, and attorney fees and costs.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0"/>
          <w:szCs w:val="20"/>
          <w:rFonts w:ascii="나눔고딕" w:eastAsia="나눔고딕" w:hAnsi="나눔고딕" w:hint="default"/>
        </w:rPr>
      </w:pPr>
    </w:p>
    <w:sectPr>
      <w:pgSz w:w="11906" w:h="16838"/>
      <w:pgMar w:top="1701" w:left="1111" w:bottom="1440" w:right="1111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나눔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장 기훈</cp:lastModifiedBy>
  <dcterms:modified xsi:type="dcterms:W3CDTF">2018-09-15T01:40:00Z</dcterms:modified>
</cp:coreProperties>
</file>