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outset" w:sz="6" w:space="0" w:color="auto"/>
          <w:left w:val="outset" w:sz="6" w:space="0" w:color="auto"/>
          <w:bottom w:val="outset" w:sz="6" w:space="0" w:color="auto"/>
          <w:right w:val="outset" w:sz="6" w:space="0" w:color="auto"/>
        </w:tblBorders>
        <w:shd w:val="clear" w:color="auto" w:fill="4373BA"/>
        <w:tblCellMar>
          <w:top w:w="15" w:type="dxa"/>
          <w:left w:w="15" w:type="dxa"/>
          <w:bottom w:w="15" w:type="dxa"/>
          <w:right w:w="15" w:type="dxa"/>
        </w:tblCellMar>
        <w:tblLook w:val="04A0" w:firstRow="1" w:lastRow="0" w:firstColumn="1" w:lastColumn="0" w:noHBand="0" w:noVBand="1"/>
      </w:tblPr>
      <w:tblGrid>
        <w:gridCol w:w="10784"/>
      </w:tblGrid>
      <w:tr w:rsidR="007B7D0D" w:rsidRPr="007B7D0D" w14:paraId="587394BB" w14:textId="77777777" w:rsidTr="007B7D0D">
        <w:trPr>
          <w:trHeight w:val="255"/>
        </w:trPr>
        <w:tc>
          <w:tcPr>
            <w:tcW w:w="5000" w:type="pct"/>
            <w:tcBorders>
              <w:top w:val="outset" w:sz="6" w:space="0" w:color="auto"/>
              <w:left w:val="outset" w:sz="6" w:space="0" w:color="auto"/>
              <w:bottom w:val="outset" w:sz="6" w:space="0" w:color="auto"/>
              <w:right w:val="outset" w:sz="6" w:space="0" w:color="auto"/>
            </w:tcBorders>
            <w:shd w:val="clear" w:color="auto" w:fill="4373BA"/>
            <w:vAlign w:val="center"/>
            <w:hideMark/>
          </w:tcPr>
          <w:p w14:paraId="6ADE527B" w14:textId="77777777" w:rsidR="007B7D0D" w:rsidRPr="007B7D0D" w:rsidRDefault="007B7D0D" w:rsidP="007B7D0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7B7D0D">
              <w:rPr>
                <w:rFonts w:ascii="Times New Roman" w:eastAsia="Times New Roman" w:hAnsi="Times New Roman" w:cs="Times New Roman"/>
                <w:b/>
                <w:bCs/>
                <w:color w:val="FFFFFF"/>
                <w:kern w:val="36"/>
                <w:sz w:val="48"/>
                <w:szCs w:val="48"/>
              </w:rPr>
              <w:t>DEPARTMENT OF ECONOMIC SECURITY</w:t>
            </w:r>
          </w:p>
          <w:p w14:paraId="6E0F3510" w14:textId="77777777" w:rsidR="007B7D0D" w:rsidRPr="007B7D0D" w:rsidRDefault="007B7D0D" w:rsidP="007B7D0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B7D0D">
              <w:rPr>
                <w:rFonts w:ascii="Times New Roman" w:eastAsia="Times New Roman" w:hAnsi="Times New Roman" w:cs="Times New Roman"/>
                <w:b/>
                <w:bCs/>
                <w:i/>
                <w:iCs/>
                <w:color w:val="FFFFFF"/>
                <w:sz w:val="36"/>
                <w:szCs w:val="36"/>
              </w:rPr>
              <w:t xml:space="preserve">Your Partner </w:t>
            </w:r>
            <w:proofErr w:type="gramStart"/>
            <w:r w:rsidRPr="007B7D0D">
              <w:rPr>
                <w:rFonts w:ascii="Times New Roman" w:eastAsia="Times New Roman" w:hAnsi="Times New Roman" w:cs="Times New Roman"/>
                <w:b/>
                <w:bCs/>
                <w:i/>
                <w:iCs/>
                <w:color w:val="FFFFFF"/>
                <w:sz w:val="36"/>
                <w:szCs w:val="36"/>
              </w:rPr>
              <w:t>For</w:t>
            </w:r>
            <w:proofErr w:type="gramEnd"/>
            <w:r w:rsidRPr="007B7D0D">
              <w:rPr>
                <w:rFonts w:ascii="Times New Roman" w:eastAsia="Times New Roman" w:hAnsi="Times New Roman" w:cs="Times New Roman"/>
                <w:b/>
                <w:bCs/>
                <w:i/>
                <w:iCs/>
                <w:color w:val="FFFFFF"/>
                <w:sz w:val="36"/>
                <w:szCs w:val="36"/>
              </w:rPr>
              <w:t xml:space="preserve"> A Stronger Arizona. </w:t>
            </w:r>
            <w:r w:rsidRPr="007B7D0D">
              <w:rPr>
                <w:rFonts w:ascii="Times New Roman" w:eastAsia="Times New Roman" w:hAnsi="Times New Roman" w:cs="Times New Roman"/>
                <w:b/>
                <w:bCs/>
                <w:i/>
                <w:iCs/>
                <w:color w:val="FFFFFF"/>
                <w:sz w:val="24"/>
                <w:szCs w:val="24"/>
              </w:rPr>
              <w:br/>
            </w:r>
            <w:r w:rsidRPr="007B7D0D">
              <w:rPr>
                <w:rFonts w:ascii="Times New Roman" w:eastAsia="Times New Roman" w:hAnsi="Times New Roman" w:cs="Times New Roman"/>
                <w:b/>
                <w:bCs/>
                <w:i/>
                <w:iCs/>
                <w:color w:val="FFFFFF"/>
                <w:sz w:val="24"/>
                <w:szCs w:val="24"/>
              </w:rPr>
              <w:br/>
            </w:r>
            <w:r w:rsidRPr="007B7D0D">
              <w:rPr>
                <w:rFonts w:ascii="Times New Roman" w:eastAsia="Times New Roman" w:hAnsi="Times New Roman" w:cs="Times New Roman"/>
                <w:b/>
                <w:bCs/>
                <w:i/>
                <w:iCs/>
                <w:color w:val="FFFFFF"/>
                <w:sz w:val="36"/>
                <w:szCs w:val="36"/>
              </w:rPr>
              <w:t>DES works with families, community organizations, advocates and state and federal partners to realize our collective vision that every child, adult, and family in Arizona will be safe and economically secure.</w:t>
            </w:r>
            <w:r w:rsidRPr="007B7D0D">
              <w:rPr>
                <w:rFonts w:ascii="Times New Roman" w:eastAsia="Times New Roman" w:hAnsi="Times New Roman" w:cs="Times New Roman"/>
                <w:b/>
                <w:bCs/>
                <w:i/>
                <w:iCs/>
                <w:color w:val="FFFFFF"/>
                <w:sz w:val="24"/>
                <w:szCs w:val="24"/>
              </w:rPr>
              <w:br/>
            </w:r>
            <w:r w:rsidRPr="007B7D0D">
              <w:rPr>
                <w:rFonts w:ascii="Times New Roman" w:eastAsia="Times New Roman" w:hAnsi="Times New Roman" w:cs="Times New Roman"/>
                <w:b/>
                <w:bCs/>
                <w:i/>
                <w:iCs/>
                <w:color w:val="FFFFFF"/>
                <w:sz w:val="24"/>
                <w:szCs w:val="24"/>
              </w:rPr>
              <w:br/>
            </w:r>
            <w:r w:rsidRPr="007B7D0D">
              <w:rPr>
                <w:rFonts w:ascii="Times New Roman" w:eastAsia="Times New Roman" w:hAnsi="Times New Roman" w:cs="Times New Roman"/>
                <w:b/>
                <w:bCs/>
                <w:i/>
                <w:iCs/>
                <w:color w:val="FFFFFF"/>
                <w:sz w:val="36"/>
                <w:szCs w:val="36"/>
              </w:rPr>
              <w:t>DES serves more than 3 million Arizonans. Our Mission is to make Arizona stronger by helping Arizonans reach their full potential through temporary assistance for those in need, and care for the vulnerable.</w:t>
            </w:r>
          </w:p>
        </w:tc>
      </w:tr>
    </w:tbl>
    <w:p w14:paraId="651DB5C1" w14:textId="77777777" w:rsidR="007B7D0D" w:rsidRPr="007B7D0D" w:rsidRDefault="007B7D0D" w:rsidP="007B7D0D">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7B7D0D">
        <w:rPr>
          <w:rFonts w:ascii="Times New Roman" w:eastAsia="Times New Roman" w:hAnsi="Times New Roman" w:cs="Times New Roman"/>
          <w:b/>
          <w:bCs/>
          <w:sz w:val="48"/>
          <w:szCs w:val="48"/>
        </w:rPr>
        <w:t xml:space="preserve">REHABILITATION SERVICES TECHNICIAN </w:t>
      </w:r>
      <w:r w:rsidRPr="007B7D0D">
        <w:rPr>
          <w:rFonts w:ascii="Times New Roman" w:eastAsia="Times New Roman" w:hAnsi="Times New Roman" w:cs="Times New Roman"/>
          <w:b/>
          <w:bCs/>
          <w:sz w:val="48"/>
          <w:szCs w:val="48"/>
        </w:rPr>
        <w:br/>
        <w:t>Division of Employment and Rehabilitation Services (DERS)</w:t>
      </w:r>
      <w:r w:rsidRPr="007B7D0D">
        <w:rPr>
          <w:rFonts w:ascii="Times New Roman" w:eastAsia="Times New Roman" w:hAnsi="Times New Roman" w:cs="Times New Roman"/>
          <w:b/>
          <w:bCs/>
          <w:sz w:val="48"/>
          <w:szCs w:val="48"/>
        </w:rPr>
        <w:br/>
        <w:t>Rehabilitation Services Administration (RSA)</w:t>
      </w:r>
    </w:p>
    <w:tbl>
      <w:tblPr>
        <w:tblW w:w="5000" w:type="pct"/>
        <w:tblBorders>
          <w:top w:val="outset" w:sz="6" w:space="0" w:color="auto"/>
          <w:left w:val="outset" w:sz="6" w:space="0" w:color="auto"/>
          <w:bottom w:val="outset" w:sz="6" w:space="0" w:color="auto"/>
          <w:right w:val="outset" w:sz="6" w:space="0" w:color="auto"/>
        </w:tblBorders>
        <w:shd w:val="clear" w:color="auto" w:fill="D4D4D4"/>
        <w:tblCellMar>
          <w:top w:w="15" w:type="dxa"/>
          <w:left w:w="15" w:type="dxa"/>
          <w:bottom w:w="15" w:type="dxa"/>
          <w:right w:w="15" w:type="dxa"/>
        </w:tblCellMar>
        <w:tblLook w:val="04A0" w:firstRow="1" w:lastRow="0" w:firstColumn="1" w:lastColumn="0" w:noHBand="0" w:noVBand="1"/>
      </w:tblPr>
      <w:tblGrid>
        <w:gridCol w:w="10784"/>
      </w:tblGrid>
      <w:tr w:rsidR="007B7D0D" w:rsidRPr="007B7D0D" w14:paraId="0CC09719" w14:textId="77777777" w:rsidTr="007B7D0D">
        <w:tc>
          <w:tcPr>
            <w:tcW w:w="5000" w:type="pct"/>
            <w:tcBorders>
              <w:top w:val="outset" w:sz="6" w:space="0" w:color="auto"/>
              <w:left w:val="outset" w:sz="6" w:space="0" w:color="auto"/>
              <w:bottom w:val="outset" w:sz="6" w:space="0" w:color="auto"/>
              <w:right w:val="outset" w:sz="6" w:space="0" w:color="auto"/>
            </w:tcBorders>
            <w:shd w:val="clear" w:color="auto" w:fill="D4D4D4"/>
            <w:vAlign w:val="center"/>
            <w:hideMark/>
          </w:tcPr>
          <w:p w14:paraId="3FD29590" w14:textId="77777777" w:rsidR="007B7D0D" w:rsidRPr="007B7D0D" w:rsidRDefault="007B7D0D" w:rsidP="007B7D0D">
            <w:pPr>
              <w:spacing w:after="0" w:line="240" w:lineRule="auto"/>
              <w:rPr>
                <w:rFonts w:ascii="Times New Roman" w:eastAsia="Times New Roman" w:hAnsi="Times New Roman" w:cs="Times New Roman"/>
                <w:sz w:val="24"/>
                <w:szCs w:val="24"/>
              </w:rPr>
            </w:pPr>
            <w:r w:rsidRPr="007B7D0D">
              <w:rPr>
                <w:rFonts w:ascii="Times New Roman" w:eastAsia="Times New Roman" w:hAnsi="Times New Roman" w:cs="Times New Roman"/>
                <w:sz w:val="24"/>
                <w:szCs w:val="24"/>
              </w:rPr>
              <w:t>Job Location:</w:t>
            </w:r>
          </w:p>
        </w:tc>
      </w:tr>
    </w:tbl>
    <w:p w14:paraId="53714F21" w14:textId="77777777" w:rsidR="007B7D0D" w:rsidRPr="007B7D0D" w:rsidRDefault="007B7D0D" w:rsidP="007B7D0D">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B7D0D">
        <w:rPr>
          <w:rFonts w:ascii="Times New Roman" w:eastAsia="Times New Roman" w:hAnsi="Times New Roman" w:cs="Times New Roman"/>
          <w:b/>
          <w:bCs/>
          <w:sz w:val="24"/>
          <w:szCs w:val="24"/>
        </w:rPr>
        <w:t>3443 North Central Avenue, Phoenix, Arizona 85012</w:t>
      </w:r>
      <w:r w:rsidRPr="007B7D0D">
        <w:rPr>
          <w:rFonts w:ascii="Times New Roman" w:eastAsia="Times New Roman" w:hAnsi="Times New Roman" w:cs="Times New Roman"/>
          <w:b/>
          <w:bCs/>
          <w:sz w:val="24"/>
          <w:szCs w:val="24"/>
        </w:rPr>
        <w:br/>
        <w:t>www.azdes.gov</w:t>
      </w:r>
    </w:p>
    <w:tbl>
      <w:tblPr>
        <w:tblW w:w="5000" w:type="pct"/>
        <w:tblBorders>
          <w:top w:val="outset" w:sz="6" w:space="0" w:color="auto"/>
          <w:left w:val="outset" w:sz="6" w:space="0" w:color="auto"/>
          <w:bottom w:val="outset" w:sz="6" w:space="0" w:color="auto"/>
          <w:right w:val="outset" w:sz="6" w:space="0" w:color="auto"/>
        </w:tblBorders>
        <w:shd w:val="clear" w:color="auto" w:fill="D4D4D4"/>
        <w:tblCellMar>
          <w:top w:w="15" w:type="dxa"/>
          <w:left w:w="15" w:type="dxa"/>
          <w:bottom w:w="15" w:type="dxa"/>
          <w:right w:w="15" w:type="dxa"/>
        </w:tblCellMar>
        <w:tblLook w:val="04A0" w:firstRow="1" w:lastRow="0" w:firstColumn="1" w:lastColumn="0" w:noHBand="0" w:noVBand="1"/>
      </w:tblPr>
      <w:tblGrid>
        <w:gridCol w:w="10784"/>
      </w:tblGrid>
      <w:tr w:rsidR="007B7D0D" w:rsidRPr="007B7D0D" w14:paraId="3484B4DB" w14:textId="77777777" w:rsidTr="007B7D0D">
        <w:tc>
          <w:tcPr>
            <w:tcW w:w="5000" w:type="pct"/>
            <w:tcBorders>
              <w:top w:val="outset" w:sz="6" w:space="0" w:color="auto"/>
              <w:left w:val="outset" w:sz="6" w:space="0" w:color="auto"/>
              <w:bottom w:val="outset" w:sz="6" w:space="0" w:color="auto"/>
              <w:right w:val="outset" w:sz="6" w:space="0" w:color="auto"/>
            </w:tcBorders>
            <w:shd w:val="clear" w:color="auto" w:fill="D4D4D4"/>
            <w:vAlign w:val="center"/>
            <w:hideMark/>
          </w:tcPr>
          <w:p w14:paraId="3CF595E8" w14:textId="77777777" w:rsidR="007B7D0D" w:rsidRPr="007B7D0D" w:rsidRDefault="007B7D0D" w:rsidP="007B7D0D">
            <w:pPr>
              <w:spacing w:after="0" w:line="240" w:lineRule="auto"/>
              <w:rPr>
                <w:rFonts w:ascii="Times New Roman" w:eastAsia="Times New Roman" w:hAnsi="Times New Roman" w:cs="Times New Roman"/>
                <w:sz w:val="24"/>
                <w:szCs w:val="24"/>
              </w:rPr>
            </w:pPr>
            <w:r w:rsidRPr="007B7D0D">
              <w:rPr>
                <w:rFonts w:ascii="Times New Roman" w:eastAsia="Times New Roman" w:hAnsi="Times New Roman" w:cs="Times New Roman"/>
                <w:sz w:val="24"/>
                <w:szCs w:val="24"/>
              </w:rPr>
              <w:t>Posting Details:</w:t>
            </w:r>
          </w:p>
        </w:tc>
      </w:tr>
    </w:tbl>
    <w:p w14:paraId="621B0BA6" w14:textId="77777777" w:rsidR="007B7D0D" w:rsidRPr="007B7D0D" w:rsidRDefault="007B7D0D" w:rsidP="007B7D0D">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B7D0D">
        <w:rPr>
          <w:rFonts w:ascii="Times New Roman" w:eastAsia="Times New Roman" w:hAnsi="Times New Roman" w:cs="Times New Roman"/>
          <w:b/>
          <w:bCs/>
          <w:sz w:val="24"/>
          <w:szCs w:val="24"/>
        </w:rPr>
        <w:t>Salary: $13.5160/ hourly ($28,113.28 annually) </w:t>
      </w:r>
    </w:p>
    <w:p w14:paraId="429AD431" w14:textId="77777777" w:rsidR="007B7D0D" w:rsidRPr="007B7D0D" w:rsidRDefault="007B7D0D" w:rsidP="007B7D0D">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B7D0D">
        <w:rPr>
          <w:rFonts w:ascii="Times New Roman" w:eastAsia="Times New Roman" w:hAnsi="Times New Roman" w:cs="Times New Roman"/>
          <w:b/>
          <w:bCs/>
          <w:sz w:val="24"/>
          <w:szCs w:val="24"/>
        </w:rPr>
        <w:t>Grade: 13</w:t>
      </w:r>
    </w:p>
    <w:p w14:paraId="48CB436D" w14:textId="77777777" w:rsidR="007B7D0D" w:rsidRPr="007B7D0D" w:rsidRDefault="007B7D0D" w:rsidP="007B7D0D">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7B7D0D">
        <w:rPr>
          <w:rFonts w:ascii="Times New Roman" w:eastAsia="Times New Roman" w:hAnsi="Times New Roman" w:cs="Times New Roman"/>
          <w:b/>
          <w:bCs/>
          <w:sz w:val="24"/>
          <w:szCs w:val="24"/>
        </w:rPr>
        <w:t>Closing Date: Open until sufficient resumes are received</w:t>
      </w:r>
    </w:p>
    <w:tbl>
      <w:tblPr>
        <w:tblW w:w="5000" w:type="pct"/>
        <w:tblBorders>
          <w:top w:val="outset" w:sz="6" w:space="0" w:color="auto"/>
          <w:left w:val="outset" w:sz="6" w:space="0" w:color="auto"/>
          <w:bottom w:val="outset" w:sz="6" w:space="0" w:color="auto"/>
          <w:right w:val="outset" w:sz="6" w:space="0" w:color="auto"/>
        </w:tblBorders>
        <w:shd w:val="clear" w:color="auto" w:fill="D4D4D4"/>
        <w:tblCellMar>
          <w:top w:w="15" w:type="dxa"/>
          <w:left w:w="15" w:type="dxa"/>
          <w:bottom w:w="15" w:type="dxa"/>
          <w:right w:w="15" w:type="dxa"/>
        </w:tblCellMar>
        <w:tblLook w:val="04A0" w:firstRow="1" w:lastRow="0" w:firstColumn="1" w:lastColumn="0" w:noHBand="0" w:noVBand="1"/>
      </w:tblPr>
      <w:tblGrid>
        <w:gridCol w:w="10784"/>
      </w:tblGrid>
      <w:tr w:rsidR="007B7D0D" w:rsidRPr="007B7D0D" w14:paraId="7FF3DA85" w14:textId="77777777" w:rsidTr="007B7D0D">
        <w:tc>
          <w:tcPr>
            <w:tcW w:w="5000" w:type="pct"/>
            <w:tcBorders>
              <w:top w:val="outset" w:sz="6" w:space="0" w:color="auto"/>
              <w:left w:val="outset" w:sz="6" w:space="0" w:color="auto"/>
              <w:bottom w:val="outset" w:sz="6" w:space="0" w:color="auto"/>
              <w:right w:val="outset" w:sz="6" w:space="0" w:color="auto"/>
            </w:tcBorders>
            <w:shd w:val="clear" w:color="auto" w:fill="D4D4D4"/>
            <w:vAlign w:val="center"/>
            <w:hideMark/>
          </w:tcPr>
          <w:p w14:paraId="38E68E74" w14:textId="77777777" w:rsidR="007B7D0D" w:rsidRPr="007B7D0D" w:rsidRDefault="007B7D0D" w:rsidP="007B7D0D">
            <w:pPr>
              <w:spacing w:after="0" w:line="240" w:lineRule="auto"/>
              <w:rPr>
                <w:rFonts w:ascii="Times New Roman" w:eastAsia="Times New Roman" w:hAnsi="Times New Roman" w:cs="Times New Roman"/>
                <w:sz w:val="24"/>
                <w:szCs w:val="24"/>
              </w:rPr>
            </w:pPr>
            <w:r w:rsidRPr="007B7D0D">
              <w:rPr>
                <w:rFonts w:ascii="Times New Roman" w:eastAsia="Times New Roman" w:hAnsi="Times New Roman" w:cs="Times New Roman"/>
                <w:sz w:val="24"/>
                <w:szCs w:val="24"/>
              </w:rPr>
              <w:t>Job Summary:</w:t>
            </w:r>
          </w:p>
        </w:tc>
      </w:tr>
    </w:tbl>
    <w:p w14:paraId="49130D1D" w14:textId="77777777" w:rsidR="007B7D0D" w:rsidRPr="007B7D0D" w:rsidRDefault="007B7D0D" w:rsidP="007B7D0D">
      <w:pPr>
        <w:spacing w:before="100" w:beforeAutospacing="1" w:after="100" w:afterAutospacing="1" w:line="240" w:lineRule="auto"/>
        <w:rPr>
          <w:rFonts w:ascii="Times New Roman" w:eastAsia="Times New Roman" w:hAnsi="Times New Roman" w:cs="Times New Roman"/>
          <w:sz w:val="24"/>
          <w:szCs w:val="24"/>
        </w:rPr>
      </w:pPr>
      <w:r w:rsidRPr="007B7D0D">
        <w:rPr>
          <w:rFonts w:ascii="Times New Roman" w:eastAsia="Times New Roman" w:hAnsi="Times New Roman" w:cs="Times New Roman"/>
          <w:sz w:val="24"/>
          <w:szCs w:val="24"/>
        </w:rPr>
        <w:t>Would you like to be part of an amazing culture that helps Arizonans reach their full potential through temporary assistance? The Arizona Department of Economic Security (DES) is looking for individuals that are committed to service, community, and teamwork.</w:t>
      </w:r>
      <w:r w:rsidRPr="007B7D0D">
        <w:rPr>
          <w:rFonts w:ascii="Times New Roman" w:eastAsia="Times New Roman" w:hAnsi="Times New Roman" w:cs="Times New Roman"/>
          <w:sz w:val="24"/>
          <w:szCs w:val="24"/>
        </w:rPr>
        <w:br/>
      </w:r>
      <w:r w:rsidRPr="007B7D0D">
        <w:rPr>
          <w:rFonts w:ascii="Times New Roman" w:eastAsia="Times New Roman" w:hAnsi="Times New Roman" w:cs="Times New Roman"/>
          <w:sz w:val="24"/>
          <w:szCs w:val="24"/>
        </w:rPr>
        <w:br/>
        <w:t>The Department of Economic Security, Division of Employment and Rehabilitation Services (DERS) performs an integral role in improving Arizona’s workforce by assisting individuals who are unemployed or underemployed, and those with barriers, to prepare for and obtain meaningful employment. DERS supports Arizona employers with recruitment assistance by connecting them to a skilled workforce.</w:t>
      </w:r>
      <w:r w:rsidRPr="007B7D0D">
        <w:rPr>
          <w:rFonts w:ascii="Times New Roman" w:eastAsia="Times New Roman" w:hAnsi="Times New Roman" w:cs="Times New Roman"/>
          <w:sz w:val="24"/>
          <w:szCs w:val="24"/>
        </w:rPr>
        <w:br/>
      </w:r>
      <w:r w:rsidRPr="007B7D0D">
        <w:rPr>
          <w:rFonts w:ascii="Times New Roman" w:eastAsia="Times New Roman" w:hAnsi="Times New Roman" w:cs="Times New Roman"/>
          <w:sz w:val="24"/>
          <w:szCs w:val="24"/>
        </w:rPr>
        <w:br/>
      </w:r>
      <w:r w:rsidRPr="007B7D0D">
        <w:rPr>
          <w:rFonts w:ascii="Times New Roman" w:eastAsia="Times New Roman" w:hAnsi="Times New Roman" w:cs="Times New Roman"/>
          <w:sz w:val="24"/>
          <w:szCs w:val="24"/>
        </w:rPr>
        <w:lastRenderedPageBreak/>
        <w:t>We are seeking an experienced and highly motivated individual to join our team as a Rehabilitation Services Technician with the Rehabilitation Services Administration (RSA). This position is responsible for providing potential applicants with a basic overview of the Vocation Rehabilitation services, arranging office orientation sessions, and completing initial interviews. This position works closely with clients to inform them of appointments, assist them in contacting and working with vendors and showing clients how to utilize community services.</w:t>
      </w:r>
    </w:p>
    <w:tbl>
      <w:tblPr>
        <w:tblW w:w="5000" w:type="pct"/>
        <w:tblBorders>
          <w:top w:val="outset" w:sz="6" w:space="0" w:color="auto"/>
          <w:left w:val="outset" w:sz="6" w:space="0" w:color="auto"/>
          <w:bottom w:val="outset" w:sz="6" w:space="0" w:color="auto"/>
          <w:right w:val="outset" w:sz="6" w:space="0" w:color="auto"/>
        </w:tblBorders>
        <w:shd w:val="clear" w:color="auto" w:fill="D4D4D4"/>
        <w:tblCellMar>
          <w:top w:w="15" w:type="dxa"/>
          <w:left w:w="15" w:type="dxa"/>
          <w:bottom w:w="15" w:type="dxa"/>
          <w:right w:w="15" w:type="dxa"/>
        </w:tblCellMar>
        <w:tblLook w:val="04A0" w:firstRow="1" w:lastRow="0" w:firstColumn="1" w:lastColumn="0" w:noHBand="0" w:noVBand="1"/>
      </w:tblPr>
      <w:tblGrid>
        <w:gridCol w:w="10784"/>
      </w:tblGrid>
      <w:tr w:rsidR="007B7D0D" w:rsidRPr="007B7D0D" w14:paraId="1FD9249F" w14:textId="77777777" w:rsidTr="007B7D0D">
        <w:tc>
          <w:tcPr>
            <w:tcW w:w="5000" w:type="pct"/>
            <w:tcBorders>
              <w:top w:val="outset" w:sz="6" w:space="0" w:color="auto"/>
              <w:left w:val="outset" w:sz="6" w:space="0" w:color="auto"/>
              <w:bottom w:val="outset" w:sz="6" w:space="0" w:color="auto"/>
              <w:right w:val="outset" w:sz="6" w:space="0" w:color="auto"/>
            </w:tcBorders>
            <w:shd w:val="clear" w:color="auto" w:fill="D4D4D4"/>
            <w:vAlign w:val="center"/>
            <w:hideMark/>
          </w:tcPr>
          <w:p w14:paraId="7AEAE17B" w14:textId="77777777" w:rsidR="007B7D0D" w:rsidRPr="007B7D0D" w:rsidRDefault="007B7D0D" w:rsidP="007B7D0D">
            <w:pPr>
              <w:spacing w:after="0" w:line="240" w:lineRule="auto"/>
              <w:rPr>
                <w:rFonts w:ascii="Times New Roman" w:eastAsia="Times New Roman" w:hAnsi="Times New Roman" w:cs="Times New Roman"/>
                <w:sz w:val="24"/>
                <w:szCs w:val="24"/>
              </w:rPr>
            </w:pPr>
            <w:r w:rsidRPr="007B7D0D">
              <w:rPr>
                <w:rFonts w:ascii="Times New Roman" w:eastAsia="Times New Roman" w:hAnsi="Times New Roman" w:cs="Times New Roman"/>
                <w:sz w:val="24"/>
                <w:szCs w:val="24"/>
              </w:rPr>
              <w:t>Job Duties:</w:t>
            </w:r>
          </w:p>
        </w:tc>
      </w:tr>
    </w:tbl>
    <w:p w14:paraId="685EA1D4" w14:textId="77777777" w:rsidR="007B7D0D" w:rsidRPr="007B7D0D" w:rsidRDefault="007B7D0D" w:rsidP="007B7D0D">
      <w:pPr>
        <w:spacing w:before="100" w:beforeAutospacing="1" w:after="100" w:afterAutospacing="1" w:line="240" w:lineRule="auto"/>
        <w:rPr>
          <w:rFonts w:ascii="Times New Roman" w:eastAsia="Times New Roman" w:hAnsi="Times New Roman" w:cs="Times New Roman"/>
          <w:sz w:val="24"/>
          <w:szCs w:val="24"/>
        </w:rPr>
      </w:pPr>
      <w:r w:rsidRPr="007B7D0D">
        <w:rPr>
          <w:rFonts w:ascii="Times New Roman" w:eastAsia="Times New Roman" w:hAnsi="Times New Roman" w:cs="Times New Roman"/>
          <w:sz w:val="24"/>
          <w:szCs w:val="24"/>
        </w:rPr>
        <w:t>• Interview applicants for intake and provide case notes with general client information, socio-economic information, medical/psychological issues, and general disability related issues.</w:t>
      </w:r>
      <w:r w:rsidRPr="007B7D0D">
        <w:rPr>
          <w:rFonts w:ascii="Times New Roman" w:eastAsia="Times New Roman" w:hAnsi="Times New Roman" w:cs="Times New Roman"/>
          <w:sz w:val="24"/>
          <w:szCs w:val="24"/>
        </w:rPr>
        <w:br/>
        <w:t>• Enter client information into LIBERA and scheduled office orientation sessions.</w:t>
      </w:r>
      <w:r w:rsidRPr="007B7D0D">
        <w:rPr>
          <w:rFonts w:ascii="Times New Roman" w:eastAsia="Times New Roman" w:hAnsi="Times New Roman" w:cs="Times New Roman"/>
          <w:sz w:val="24"/>
          <w:szCs w:val="24"/>
        </w:rPr>
        <w:br/>
        <w:t>• Maintain client case files by ensuring all information is up to date.</w:t>
      </w:r>
      <w:r w:rsidRPr="007B7D0D">
        <w:rPr>
          <w:rFonts w:ascii="Times New Roman" w:eastAsia="Times New Roman" w:hAnsi="Times New Roman" w:cs="Times New Roman"/>
          <w:sz w:val="24"/>
          <w:szCs w:val="24"/>
        </w:rPr>
        <w:br/>
        <w:t>• Gather client signatures on required documents.</w:t>
      </w:r>
      <w:r w:rsidRPr="007B7D0D">
        <w:rPr>
          <w:rFonts w:ascii="Times New Roman" w:eastAsia="Times New Roman" w:hAnsi="Times New Roman" w:cs="Times New Roman"/>
          <w:sz w:val="24"/>
          <w:szCs w:val="24"/>
        </w:rPr>
        <w:br/>
        <w:t>• Aid clients by identifying and clarifying issues, understanding the available services, and working with the client to bring their issues to the counselor’s attention.</w:t>
      </w:r>
      <w:r w:rsidRPr="007B7D0D">
        <w:rPr>
          <w:rFonts w:ascii="Times New Roman" w:eastAsia="Times New Roman" w:hAnsi="Times New Roman" w:cs="Times New Roman"/>
          <w:sz w:val="24"/>
          <w:szCs w:val="24"/>
        </w:rPr>
        <w:br/>
        <w:t>• Provide support to the counselor for case management by gathering information, scanning necessary documents, monitoring client progress, and recording client/counselor activities.</w:t>
      </w:r>
      <w:r w:rsidRPr="007B7D0D">
        <w:rPr>
          <w:rFonts w:ascii="Times New Roman" w:eastAsia="Times New Roman" w:hAnsi="Times New Roman" w:cs="Times New Roman"/>
          <w:sz w:val="24"/>
          <w:szCs w:val="24"/>
        </w:rPr>
        <w:br/>
        <w:t>• Direct clients to community organizations and other social services to assist the client to achieve successful outcomes related to disability needs.</w:t>
      </w:r>
      <w:r w:rsidRPr="007B7D0D">
        <w:rPr>
          <w:rFonts w:ascii="Times New Roman" w:eastAsia="Times New Roman" w:hAnsi="Times New Roman" w:cs="Times New Roman"/>
          <w:sz w:val="24"/>
          <w:szCs w:val="24"/>
        </w:rPr>
        <w:br/>
        <w:t>• Correspond with clients to inform them of appointments, request documents and answering any questions they may have.</w:t>
      </w:r>
      <w:r w:rsidRPr="007B7D0D">
        <w:rPr>
          <w:rFonts w:ascii="Times New Roman" w:eastAsia="Times New Roman" w:hAnsi="Times New Roman" w:cs="Times New Roman"/>
          <w:sz w:val="24"/>
          <w:szCs w:val="24"/>
        </w:rPr>
        <w:br/>
        <w:t>• Provide orientations to new referrals to the RSA program.</w:t>
      </w:r>
      <w:r w:rsidRPr="007B7D0D">
        <w:rPr>
          <w:rFonts w:ascii="Times New Roman" w:eastAsia="Times New Roman" w:hAnsi="Times New Roman" w:cs="Times New Roman"/>
          <w:sz w:val="24"/>
          <w:szCs w:val="24"/>
        </w:rPr>
        <w:br/>
        <w:t>• Other duties as assigned.</w:t>
      </w:r>
    </w:p>
    <w:tbl>
      <w:tblPr>
        <w:tblW w:w="5000" w:type="pct"/>
        <w:tblBorders>
          <w:top w:val="outset" w:sz="6" w:space="0" w:color="auto"/>
          <w:left w:val="outset" w:sz="6" w:space="0" w:color="auto"/>
          <w:bottom w:val="outset" w:sz="6" w:space="0" w:color="auto"/>
          <w:right w:val="outset" w:sz="6" w:space="0" w:color="auto"/>
        </w:tblBorders>
        <w:shd w:val="clear" w:color="auto" w:fill="D4D4D4"/>
        <w:tblCellMar>
          <w:top w:w="15" w:type="dxa"/>
          <w:left w:w="15" w:type="dxa"/>
          <w:bottom w:w="15" w:type="dxa"/>
          <w:right w:w="15" w:type="dxa"/>
        </w:tblCellMar>
        <w:tblLook w:val="04A0" w:firstRow="1" w:lastRow="0" w:firstColumn="1" w:lastColumn="0" w:noHBand="0" w:noVBand="1"/>
      </w:tblPr>
      <w:tblGrid>
        <w:gridCol w:w="10784"/>
      </w:tblGrid>
      <w:tr w:rsidR="007B7D0D" w:rsidRPr="007B7D0D" w14:paraId="0C6FDF26" w14:textId="77777777" w:rsidTr="007B7D0D">
        <w:tc>
          <w:tcPr>
            <w:tcW w:w="5000" w:type="pct"/>
            <w:tcBorders>
              <w:top w:val="outset" w:sz="6" w:space="0" w:color="auto"/>
              <w:left w:val="outset" w:sz="6" w:space="0" w:color="auto"/>
              <w:bottom w:val="outset" w:sz="6" w:space="0" w:color="auto"/>
              <w:right w:val="outset" w:sz="6" w:space="0" w:color="auto"/>
            </w:tcBorders>
            <w:shd w:val="clear" w:color="auto" w:fill="D4D4D4"/>
            <w:vAlign w:val="center"/>
            <w:hideMark/>
          </w:tcPr>
          <w:p w14:paraId="11733974" w14:textId="77777777" w:rsidR="007B7D0D" w:rsidRPr="007B7D0D" w:rsidRDefault="007B7D0D" w:rsidP="007B7D0D">
            <w:pPr>
              <w:spacing w:after="0" w:line="240" w:lineRule="auto"/>
              <w:rPr>
                <w:rFonts w:ascii="Times New Roman" w:eastAsia="Times New Roman" w:hAnsi="Times New Roman" w:cs="Times New Roman"/>
                <w:sz w:val="24"/>
                <w:szCs w:val="24"/>
              </w:rPr>
            </w:pPr>
            <w:r w:rsidRPr="007B7D0D">
              <w:rPr>
                <w:rFonts w:ascii="Times New Roman" w:eastAsia="Times New Roman" w:hAnsi="Times New Roman" w:cs="Times New Roman"/>
                <w:sz w:val="24"/>
                <w:szCs w:val="24"/>
              </w:rPr>
              <w:t>Knowledge, Skills &amp; Abilities (KSAs):</w:t>
            </w:r>
          </w:p>
        </w:tc>
      </w:tr>
    </w:tbl>
    <w:p w14:paraId="3AD07DA3" w14:textId="77777777" w:rsidR="007B7D0D" w:rsidRPr="007B7D0D" w:rsidRDefault="007B7D0D" w:rsidP="007B7D0D">
      <w:pPr>
        <w:spacing w:before="100" w:beforeAutospacing="1" w:after="100" w:afterAutospacing="1" w:line="240" w:lineRule="auto"/>
        <w:rPr>
          <w:rFonts w:ascii="Times New Roman" w:eastAsia="Times New Roman" w:hAnsi="Times New Roman" w:cs="Times New Roman"/>
          <w:sz w:val="24"/>
          <w:szCs w:val="24"/>
        </w:rPr>
      </w:pPr>
      <w:r w:rsidRPr="007B7D0D">
        <w:rPr>
          <w:rFonts w:ascii="Times New Roman" w:eastAsia="Times New Roman" w:hAnsi="Times New Roman" w:cs="Times New Roman"/>
          <w:sz w:val="24"/>
          <w:szCs w:val="24"/>
        </w:rPr>
        <w:t>• Knowledge of Federal and State laws.</w:t>
      </w:r>
      <w:r w:rsidRPr="007B7D0D">
        <w:rPr>
          <w:rFonts w:ascii="Times New Roman" w:eastAsia="Times New Roman" w:hAnsi="Times New Roman" w:cs="Times New Roman"/>
          <w:sz w:val="24"/>
          <w:szCs w:val="24"/>
        </w:rPr>
        <w:br/>
        <w:t>• Knowledge of regulations regarding provisions of rehabilitation services to individuals with disabilities, guidelines and best practices of the Vocation Rehabilitation program.</w:t>
      </w:r>
      <w:r w:rsidRPr="007B7D0D">
        <w:rPr>
          <w:rFonts w:ascii="Times New Roman" w:eastAsia="Times New Roman" w:hAnsi="Times New Roman" w:cs="Times New Roman"/>
          <w:sz w:val="24"/>
          <w:szCs w:val="24"/>
        </w:rPr>
        <w:br/>
        <w:t>• Knowledge of disabling medical conditions and available community resources.</w:t>
      </w:r>
      <w:r w:rsidRPr="007B7D0D">
        <w:rPr>
          <w:rFonts w:ascii="Times New Roman" w:eastAsia="Times New Roman" w:hAnsi="Times New Roman" w:cs="Times New Roman"/>
          <w:sz w:val="24"/>
          <w:szCs w:val="24"/>
        </w:rPr>
        <w:br/>
        <w:t>• Skills in observing behaviors regarding possible employment and employment expectations.</w:t>
      </w:r>
      <w:r w:rsidRPr="007B7D0D">
        <w:rPr>
          <w:rFonts w:ascii="Times New Roman" w:eastAsia="Times New Roman" w:hAnsi="Times New Roman" w:cs="Times New Roman"/>
          <w:sz w:val="24"/>
          <w:szCs w:val="24"/>
        </w:rPr>
        <w:br/>
        <w:t>• Skills in case load management, data entry, maintaining files, problem solving and decision-making skills, written and verbal communication skills.</w:t>
      </w:r>
      <w:r w:rsidRPr="007B7D0D">
        <w:rPr>
          <w:rFonts w:ascii="Times New Roman" w:eastAsia="Times New Roman" w:hAnsi="Times New Roman" w:cs="Times New Roman"/>
          <w:sz w:val="24"/>
          <w:szCs w:val="24"/>
        </w:rPr>
        <w:br/>
        <w:t>• Ability to prioritize, assign and review work.</w:t>
      </w:r>
      <w:r w:rsidRPr="007B7D0D">
        <w:rPr>
          <w:rFonts w:ascii="Times New Roman" w:eastAsia="Times New Roman" w:hAnsi="Times New Roman" w:cs="Times New Roman"/>
          <w:sz w:val="24"/>
          <w:szCs w:val="24"/>
        </w:rPr>
        <w:br/>
        <w:t>• Ability to utilize resources, resolve issues, provide information to customers, community organizations and agencies.</w:t>
      </w:r>
      <w:r w:rsidRPr="007B7D0D">
        <w:rPr>
          <w:rFonts w:ascii="Times New Roman" w:eastAsia="Times New Roman" w:hAnsi="Times New Roman" w:cs="Times New Roman"/>
          <w:sz w:val="24"/>
          <w:szCs w:val="24"/>
        </w:rPr>
        <w:br/>
        <w:t>• Ability to assist the VR Counselor in managing their caseload and establish working relationships.</w:t>
      </w:r>
      <w:r w:rsidRPr="007B7D0D">
        <w:rPr>
          <w:rFonts w:ascii="Times New Roman" w:eastAsia="Times New Roman" w:hAnsi="Times New Roman" w:cs="Times New Roman"/>
          <w:sz w:val="24"/>
          <w:szCs w:val="24"/>
        </w:rPr>
        <w:br/>
        <w:t>• Ability to collect assessment information needed for the VR Counselor, monitor client progress and input data into LIBERA automated system.</w:t>
      </w:r>
      <w:r w:rsidRPr="007B7D0D">
        <w:rPr>
          <w:rFonts w:ascii="Times New Roman" w:eastAsia="Times New Roman" w:hAnsi="Times New Roman" w:cs="Times New Roman"/>
          <w:sz w:val="24"/>
          <w:szCs w:val="24"/>
        </w:rPr>
        <w:br/>
        <w:t>• Ability to conduct research.</w:t>
      </w:r>
    </w:p>
    <w:tbl>
      <w:tblPr>
        <w:tblW w:w="5000" w:type="pct"/>
        <w:tblBorders>
          <w:top w:val="outset" w:sz="6" w:space="0" w:color="auto"/>
          <w:left w:val="outset" w:sz="6" w:space="0" w:color="auto"/>
          <w:bottom w:val="outset" w:sz="6" w:space="0" w:color="auto"/>
          <w:right w:val="outset" w:sz="6" w:space="0" w:color="auto"/>
        </w:tblBorders>
        <w:shd w:val="clear" w:color="auto" w:fill="D4D4D4"/>
        <w:tblCellMar>
          <w:top w:w="15" w:type="dxa"/>
          <w:left w:w="15" w:type="dxa"/>
          <w:bottom w:w="15" w:type="dxa"/>
          <w:right w:w="15" w:type="dxa"/>
        </w:tblCellMar>
        <w:tblLook w:val="04A0" w:firstRow="1" w:lastRow="0" w:firstColumn="1" w:lastColumn="0" w:noHBand="0" w:noVBand="1"/>
      </w:tblPr>
      <w:tblGrid>
        <w:gridCol w:w="10784"/>
      </w:tblGrid>
      <w:tr w:rsidR="007B7D0D" w:rsidRPr="007B7D0D" w14:paraId="5A8F783E" w14:textId="77777777" w:rsidTr="007B7D0D">
        <w:tc>
          <w:tcPr>
            <w:tcW w:w="5000" w:type="pct"/>
            <w:tcBorders>
              <w:top w:val="outset" w:sz="6" w:space="0" w:color="auto"/>
              <w:left w:val="outset" w:sz="6" w:space="0" w:color="auto"/>
              <w:bottom w:val="outset" w:sz="6" w:space="0" w:color="auto"/>
              <w:right w:val="outset" w:sz="6" w:space="0" w:color="auto"/>
            </w:tcBorders>
            <w:shd w:val="clear" w:color="auto" w:fill="D4D4D4"/>
            <w:vAlign w:val="center"/>
            <w:hideMark/>
          </w:tcPr>
          <w:p w14:paraId="6B709EF8" w14:textId="77777777" w:rsidR="007B7D0D" w:rsidRPr="007B7D0D" w:rsidRDefault="007B7D0D" w:rsidP="007B7D0D">
            <w:pPr>
              <w:spacing w:after="0" w:line="240" w:lineRule="auto"/>
              <w:rPr>
                <w:rFonts w:ascii="Times New Roman" w:eastAsia="Times New Roman" w:hAnsi="Times New Roman" w:cs="Times New Roman"/>
                <w:sz w:val="24"/>
                <w:szCs w:val="24"/>
              </w:rPr>
            </w:pPr>
            <w:r w:rsidRPr="007B7D0D">
              <w:rPr>
                <w:rFonts w:ascii="Times New Roman" w:eastAsia="Times New Roman" w:hAnsi="Times New Roman" w:cs="Times New Roman"/>
                <w:sz w:val="24"/>
                <w:szCs w:val="24"/>
              </w:rPr>
              <w:t>Selective Preference(s):</w:t>
            </w:r>
          </w:p>
        </w:tc>
      </w:tr>
    </w:tbl>
    <w:p w14:paraId="4D04CEF2" w14:textId="77777777" w:rsidR="007B7D0D" w:rsidRPr="007B7D0D" w:rsidRDefault="007B7D0D" w:rsidP="007B7D0D">
      <w:pPr>
        <w:spacing w:before="100" w:beforeAutospacing="1" w:after="100" w:afterAutospacing="1" w:line="240" w:lineRule="auto"/>
        <w:rPr>
          <w:rFonts w:ascii="Times New Roman" w:eastAsia="Times New Roman" w:hAnsi="Times New Roman" w:cs="Times New Roman"/>
          <w:sz w:val="24"/>
          <w:szCs w:val="24"/>
        </w:rPr>
      </w:pPr>
      <w:r w:rsidRPr="007B7D0D">
        <w:rPr>
          <w:rFonts w:ascii="Times New Roman" w:eastAsia="Times New Roman" w:hAnsi="Times New Roman" w:cs="Times New Roman"/>
          <w:sz w:val="24"/>
          <w:szCs w:val="24"/>
        </w:rPr>
        <w:t>• Experience in working with persons with disabilities.</w:t>
      </w:r>
      <w:r w:rsidRPr="007B7D0D">
        <w:rPr>
          <w:rFonts w:ascii="Times New Roman" w:eastAsia="Times New Roman" w:hAnsi="Times New Roman" w:cs="Times New Roman"/>
          <w:sz w:val="24"/>
          <w:szCs w:val="24"/>
        </w:rPr>
        <w:br/>
        <w:t>• An Associate of Arts/Sciences or Applied Sciences in a discipline related to human services; or 21 semester hours in a discipline related to human services and one year experience in a vocational rehabilitation or independent living program; or a High School diploma or GED and two years’ experience in a vocational rehabilitation or independent living program; or three years’ experience in an organized program providing services to individuals with disabilities.</w:t>
      </w:r>
    </w:p>
    <w:tbl>
      <w:tblPr>
        <w:tblW w:w="5000" w:type="pct"/>
        <w:tblBorders>
          <w:top w:val="outset" w:sz="6" w:space="0" w:color="auto"/>
          <w:left w:val="outset" w:sz="6" w:space="0" w:color="auto"/>
          <w:bottom w:val="outset" w:sz="6" w:space="0" w:color="auto"/>
          <w:right w:val="outset" w:sz="6" w:space="0" w:color="auto"/>
        </w:tblBorders>
        <w:shd w:val="clear" w:color="auto" w:fill="D4D4D4"/>
        <w:tblCellMar>
          <w:top w:w="15" w:type="dxa"/>
          <w:left w:w="15" w:type="dxa"/>
          <w:bottom w:w="15" w:type="dxa"/>
          <w:right w:w="15" w:type="dxa"/>
        </w:tblCellMar>
        <w:tblLook w:val="04A0" w:firstRow="1" w:lastRow="0" w:firstColumn="1" w:lastColumn="0" w:noHBand="0" w:noVBand="1"/>
      </w:tblPr>
      <w:tblGrid>
        <w:gridCol w:w="10784"/>
      </w:tblGrid>
      <w:tr w:rsidR="007B7D0D" w:rsidRPr="007B7D0D" w14:paraId="7C36AFC6" w14:textId="77777777" w:rsidTr="007B7D0D">
        <w:tc>
          <w:tcPr>
            <w:tcW w:w="5000" w:type="pct"/>
            <w:tcBorders>
              <w:top w:val="outset" w:sz="6" w:space="0" w:color="auto"/>
              <w:left w:val="outset" w:sz="6" w:space="0" w:color="auto"/>
              <w:bottom w:val="outset" w:sz="6" w:space="0" w:color="auto"/>
              <w:right w:val="outset" w:sz="6" w:space="0" w:color="auto"/>
            </w:tcBorders>
            <w:shd w:val="clear" w:color="auto" w:fill="D4D4D4"/>
            <w:vAlign w:val="center"/>
            <w:hideMark/>
          </w:tcPr>
          <w:p w14:paraId="4C83ED62" w14:textId="77777777" w:rsidR="007B7D0D" w:rsidRPr="007B7D0D" w:rsidRDefault="007B7D0D" w:rsidP="007B7D0D">
            <w:pPr>
              <w:spacing w:after="0" w:line="240" w:lineRule="auto"/>
              <w:rPr>
                <w:rFonts w:ascii="Times New Roman" w:eastAsia="Times New Roman" w:hAnsi="Times New Roman" w:cs="Times New Roman"/>
                <w:sz w:val="24"/>
                <w:szCs w:val="24"/>
              </w:rPr>
            </w:pPr>
            <w:r w:rsidRPr="007B7D0D">
              <w:rPr>
                <w:rFonts w:ascii="Times New Roman" w:eastAsia="Times New Roman" w:hAnsi="Times New Roman" w:cs="Times New Roman"/>
                <w:sz w:val="24"/>
                <w:szCs w:val="24"/>
              </w:rPr>
              <w:lastRenderedPageBreak/>
              <w:t>Pre-Employment Requirements:</w:t>
            </w:r>
          </w:p>
        </w:tc>
      </w:tr>
    </w:tbl>
    <w:p w14:paraId="590243B4" w14:textId="77777777" w:rsidR="007B7D0D" w:rsidRPr="007B7D0D" w:rsidRDefault="007B7D0D" w:rsidP="007B7D0D">
      <w:pPr>
        <w:spacing w:before="100" w:beforeAutospacing="1" w:after="100" w:afterAutospacing="1" w:line="240" w:lineRule="auto"/>
        <w:rPr>
          <w:rFonts w:ascii="Times New Roman" w:eastAsia="Times New Roman" w:hAnsi="Times New Roman" w:cs="Times New Roman"/>
          <w:sz w:val="24"/>
          <w:szCs w:val="24"/>
        </w:rPr>
      </w:pPr>
      <w:r w:rsidRPr="007B7D0D">
        <w:rPr>
          <w:rFonts w:ascii="Times New Roman" w:eastAsia="Times New Roman" w:hAnsi="Times New Roman" w:cs="Times New Roman"/>
          <w:sz w:val="24"/>
          <w:szCs w:val="24"/>
        </w:rPr>
        <w:t>• Successfully complete the Electronic Employment Eligibility Verification Program (E-Verify), applicable to all newly hired State employees.</w:t>
      </w:r>
      <w:r w:rsidRPr="007B7D0D">
        <w:rPr>
          <w:rFonts w:ascii="Times New Roman" w:eastAsia="Times New Roman" w:hAnsi="Times New Roman" w:cs="Times New Roman"/>
          <w:sz w:val="24"/>
          <w:szCs w:val="24"/>
        </w:rPr>
        <w:br/>
        <w:t>• Successfully pass background and reference checks; employment is contingent upon completion of the above-mentioned process and the agency’s ability to reasonably accommodate any restrictions.</w:t>
      </w:r>
      <w:r w:rsidRPr="007B7D0D">
        <w:rPr>
          <w:rFonts w:ascii="Times New Roman" w:eastAsia="Times New Roman" w:hAnsi="Times New Roman" w:cs="Times New Roman"/>
          <w:sz w:val="24"/>
          <w:szCs w:val="24"/>
        </w:rPr>
        <w:br/>
        <w:t>• Candidates for this position shall be subject to a search of both the Child Protective Services Central Registry pursuant to A.R.S. 8-804 and the Adult Protective Services Registry pursuant to A.R.S. 46-459.</w:t>
      </w:r>
      <w:r w:rsidRPr="007B7D0D">
        <w:rPr>
          <w:rFonts w:ascii="Times New Roman" w:eastAsia="Times New Roman" w:hAnsi="Times New Roman" w:cs="Times New Roman"/>
          <w:sz w:val="24"/>
          <w:szCs w:val="24"/>
        </w:rPr>
        <w:br/>
        <w:t>• Candidate shall have a valid Level One Arizona fingerprint clearance card issued pursuant to Arizona Revised Statute 41-1758.07 in order to work with children and vulnerable adults.</w:t>
      </w:r>
    </w:p>
    <w:tbl>
      <w:tblPr>
        <w:tblW w:w="5000" w:type="pct"/>
        <w:tblBorders>
          <w:top w:val="outset" w:sz="6" w:space="0" w:color="auto"/>
          <w:left w:val="outset" w:sz="6" w:space="0" w:color="auto"/>
          <w:bottom w:val="outset" w:sz="6" w:space="0" w:color="auto"/>
          <w:right w:val="outset" w:sz="6" w:space="0" w:color="auto"/>
        </w:tblBorders>
        <w:shd w:val="clear" w:color="auto" w:fill="D4D4D4"/>
        <w:tblCellMar>
          <w:top w:w="15" w:type="dxa"/>
          <w:left w:w="15" w:type="dxa"/>
          <w:bottom w:w="15" w:type="dxa"/>
          <w:right w:w="15" w:type="dxa"/>
        </w:tblCellMar>
        <w:tblLook w:val="04A0" w:firstRow="1" w:lastRow="0" w:firstColumn="1" w:lastColumn="0" w:noHBand="0" w:noVBand="1"/>
      </w:tblPr>
      <w:tblGrid>
        <w:gridCol w:w="10784"/>
      </w:tblGrid>
      <w:tr w:rsidR="007B7D0D" w:rsidRPr="007B7D0D" w14:paraId="6C5973E6" w14:textId="77777777" w:rsidTr="007B7D0D">
        <w:trPr>
          <w:trHeight w:val="255"/>
        </w:trPr>
        <w:tc>
          <w:tcPr>
            <w:tcW w:w="5000" w:type="pct"/>
            <w:tcBorders>
              <w:top w:val="outset" w:sz="6" w:space="0" w:color="auto"/>
              <w:left w:val="outset" w:sz="6" w:space="0" w:color="auto"/>
              <w:bottom w:val="outset" w:sz="6" w:space="0" w:color="auto"/>
              <w:right w:val="outset" w:sz="6" w:space="0" w:color="auto"/>
            </w:tcBorders>
            <w:shd w:val="clear" w:color="auto" w:fill="D4D4D4"/>
            <w:vAlign w:val="center"/>
            <w:hideMark/>
          </w:tcPr>
          <w:p w14:paraId="46EC2522" w14:textId="77777777" w:rsidR="007B7D0D" w:rsidRPr="007B7D0D" w:rsidRDefault="007B7D0D" w:rsidP="007B7D0D">
            <w:pPr>
              <w:spacing w:after="0" w:line="240" w:lineRule="auto"/>
              <w:rPr>
                <w:rFonts w:ascii="Times New Roman" w:eastAsia="Times New Roman" w:hAnsi="Times New Roman" w:cs="Times New Roman"/>
                <w:sz w:val="24"/>
                <w:szCs w:val="24"/>
              </w:rPr>
            </w:pPr>
            <w:r w:rsidRPr="007B7D0D">
              <w:rPr>
                <w:rFonts w:ascii="Times New Roman" w:eastAsia="Times New Roman" w:hAnsi="Times New Roman" w:cs="Times New Roman"/>
                <w:sz w:val="24"/>
                <w:szCs w:val="24"/>
              </w:rPr>
              <w:t>Benefits:</w:t>
            </w:r>
          </w:p>
        </w:tc>
      </w:tr>
    </w:tbl>
    <w:p w14:paraId="3EC023A2" w14:textId="77777777" w:rsidR="007B7D0D" w:rsidRPr="007B7D0D" w:rsidRDefault="007B7D0D" w:rsidP="007B7D0D">
      <w:pPr>
        <w:spacing w:before="100" w:beforeAutospacing="1" w:after="100" w:afterAutospacing="1" w:line="240" w:lineRule="auto"/>
        <w:rPr>
          <w:rFonts w:ascii="Times New Roman" w:eastAsia="Times New Roman" w:hAnsi="Times New Roman" w:cs="Times New Roman"/>
          <w:sz w:val="24"/>
          <w:szCs w:val="24"/>
        </w:rPr>
      </w:pPr>
      <w:r w:rsidRPr="007B7D0D">
        <w:rPr>
          <w:rFonts w:ascii="Times New Roman" w:eastAsia="Times New Roman" w:hAnsi="Times New Roman" w:cs="Times New Roman"/>
          <w:sz w:val="24"/>
          <w:szCs w:val="24"/>
        </w:rPr>
        <w:t>We offer a competitive benefits package that is unmatched by the private sector and a culture that encourages team success and advocates for personal advancement.</w:t>
      </w:r>
      <w:r w:rsidRPr="007B7D0D">
        <w:rPr>
          <w:rFonts w:ascii="Times New Roman" w:eastAsia="Times New Roman" w:hAnsi="Times New Roman" w:cs="Times New Roman"/>
          <w:sz w:val="24"/>
          <w:szCs w:val="24"/>
        </w:rPr>
        <w:br/>
        <w:t>-Affordable Health, Dental, Vision and Life and Disability Insurance</w:t>
      </w:r>
      <w:r w:rsidRPr="007B7D0D">
        <w:rPr>
          <w:rFonts w:ascii="Times New Roman" w:eastAsia="Times New Roman" w:hAnsi="Times New Roman" w:cs="Times New Roman"/>
          <w:sz w:val="24"/>
          <w:szCs w:val="24"/>
        </w:rPr>
        <w:br/>
        <w:t>-10 holidays per year</w:t>
      </w:r>
      <w:r w:rsidRPr="007B7D0D">
        <w:rPr>
          <w:rFonts w:ascii="Times New Roman" w:eastAsia="Times New Roman" w:hAnsi="Times New Roman" w:cs="Times New Roman"/>
          <w:sz w:val="24"/>
          <w:szCs w:val="24"/>
        </w:rPr>
        <w:br/>
        <w:t>-Paid Vacation and Sick time off - start earning it your 1st day</w:t>
      </w:r>
      <w:r w:rsidRPr="007B7D0D">
        <w:rPr>
          <w:rFonts w:ascii="Times New Roman" w:eastAsia="Times New Roman" w:hAnsi="Times New Roman" w:cs="Times New Roman"/>
          <w:sz w:val="24"/>
          <w:szCs w:val="24"/>
        </w:rPr>
        <w:br/>
        <w:t>-Eligible to participate in the Public Service Loan Forgiveness Program (must meet qualifications)</w:t>
      </w:r>
      <w:r w:rsidRPr="007B7D0D">
        <w:rPr>
          <w:rFonts w:ascii="Times New Roman" w:eastAsia="Times New Roman" w:hAnsi="Times New Roman" w:cs="Times New Roman"/>
          <w:sz w:val="24"/>
          <w:szCs w:val="24"/>
        </w:rPr>
        <w:br/>
        <w:t>-Contribute to, and participate in the Arizona State Retirement System</w:t>
      </w:r>
      <w:r w:rsidRPr="007B7D0D">
        <w:rPr>
          <w:rFonts w:ascii="Times New Roman" w:eastAsia="Times New Roman" w:hAnsi="Times New Roman" w:cs="Times New Roman"/>
          <w:sz w:val="24"/>
          <w:szCs w:val="24"/>
        </w:rPr>
        <w:br/>
        <w:t>-Ride Share and Public Transit Subsidy</w:t>
      </w:r>
      <w:r w:rsidRPr="007B7D0D">
        <w:rPr>
          <w:rFonts w:ascii="Times New Roman" w:eastAsia="Times New Roman" w:hAnsi="Times New Roman" w:cs="Times New Roman"/>
          <w:sz w:val="24"/>
          <w:szCs w:val="24"/>
        </w:rPr>
        <w:br/>
        <w:t>-Career Advancement Opportunities</w:t>
      </w:r>
      <w:r w:rsidRPr="007B7D0D">
        <w:rPr>
          <w:rFonts w:ascii="Times New Roman" w:eastAsia="Times New Roman" w:hAnsi="Times New Roman" w:cs="Times New Roman"/>
          <w:sz w:val="24"/>
          <w:szCs w:val="24"/>
        </w:rPr>
        <w:br/>
        <w:t>-Tuition reimbursement</w:t>
      </w:r>
    </w:p>
    <w:p w14:paraId="6C23D909" w14:textId="77777777" w:rsidR="007B7D0D" w:rsidRPr="007B7D0D" w:rsidRDefault="007B7D0D" w:rsidP="007B7D0D">
      <w:pPr>
        <w:spacing w:before="100" w:beforeAutospacing="1" w:after="100" w:afterAutospacing="1" w:line="240" w:lineRule="auto"/>
        <w:rPr>
          <w:rFonts w:ascii="Times New Roman" w:eastAsia="Times New Roman" w:hAnsi="Times New Roman" w:cs="Times New Roman"/>
          <w:sz w:val="24"/>
          <w:szCs w:val="24"/>
        </w:rPr>
      </w:pPr>
      <w:r w:rsidRPr="007B7D0D">
        <w:rPr>
          <w:rFonts w:ascii="Times New Roman" w:eastAsia="Times New Roman" w:hAnsi="Times New Roman" w:cs="Times New Roman"/>
          <w:i/>
          <w:iCs/>
          <w:sz w:val="24"/>
          <w:szCs w:val="24"/>
        </w:rPr>
        <w:t xml:space="preserve">For a complete list of benefits provided by The State of Arizona, please visit our </w:t>
      </w:r>
      <w:hyperlink r:id="rId4" w:history="1">
        <w:r w:rsidRPr="007B7D0D">
          <w:rPr>
            <w:rFonts w:ascii="Times New Roman" w:eastAsia="Times New Roman" w:hAnsi="Times New Roman" w:cs="Times New Roman"/>
            <w:i/>
            <w:iCs/>
            <w:color w:val="0000FF"/>
            <w:sz w:val="24"/>
            <w:szCs w:val="24"/>
            <w:u w:val="single"/>
          </w:rPr>
          <w:t>benefits page</w:t>
        </w:r>
      </w:hyperlink>
    </w:p>
    <w:tbl>
      <w:tblPr>
        <w:tblW w:w="5000" w:type="pct"/>
        <w:tblBorders>
          <w:top w:val="outset" w:sz="6" w:space="0" w:color="auto"/>
          <w:left w:val="outset" w:sz="6" w:space="0" w:color="auto"/>
          <w:bottom w:val="outset" w:sz="6" w:space="0" w:color="auto"/>
          <w:right w:val="outset" w:sz="6" w:space="0" w:color="auto"/>
        </w:tblBorders>
        <w:shd w:val="clear" w:color="auto" w:fill="D4D4D4"/>
        <w:tblCellMar>
          <w:top w:w="15" w:type="dxa"/>
          <w:left w:w="15" w:type="dxa"/>
          <w:bottom w:w="15" w:type="dxa"/>
          <w:right w:w="15" w:type="dxa"/>
        </w:tblCellMar>
        <w:tblLook w:val="04A0" w:firstRow="1" w:lastRow="0" w:firstColumn="1" w:lastColumn="0" w:noHBand="0" w:noVBand="1"/>
      </w:tblPr>
      <w:tblGrid>
        <w:gridCol w:w="10784"/>
      </w:tblGrid>
      <w:tr w:rsidR="007B7D0D" w:rsidRPr="007B7D0D" w14:paraId="573905E1" w14:textId="77777777" w:rsidTr="007B7D0D">
        <w:tc>
          <w:tcPr>
            <w:tcW w:w="5000" w:type="pct"/>
            <w:tcBorders>
              <w:top w:val="outset" w:sz="6" w:space="0" w:color="auto"/>
              <w:left w:val="outset" w:sz="6" w:space="0" w:color="auto"/>
              <w:bottom w:val="outset" w:sz="6" w:space="0" w:color="auto"/>
              <w:right w:val="outset" w:sz="6" w:space="0" w:color="auto"/>
            </w:tcBorders>
            <w:shd w:val="clear" w:color="auto" w:fill="D4D4D4"/>
            <w:vAlign w:val="center"/>
            <w:hideMark/>
          </w:tcPr>
          <w:p w14:paraId="364A30A5" w14:textId="77777777" w:rsidR="007B7D0D" w:rsidRPr="007B7D0D" w:rsidRDefault="007B7D0D" w:rsidP="007B7D0D">
            <w:pPr>
              <w:spacing w:after="0" w:line="240" w:lineRule="auto"/>
              <w:rPr>
                <w:rFonts w:ascii="Times New Roman" w:eastAsia="Times New Roman" w:hAnsi="Times New Roman" w:cs="Times New Roman"/>
                <w:sz w:val="24"/>
                <w:szCs w:val="24"/>
              </w:rPr>
            </w:pPr>
            <w:r w:rsidRPr="007B7D0D">
              <w:rPr>
                <w:rFonts w:ascii="Times New Roman" w:eastAsia="Times New Roman" w:hAnsi="Times New Roman" w:cs="Times New Roman"/>
                <w:sz w:val="24"/>
                <w:szCs w:val="24"/>
              </w:rPr>
              <w:t>Retirement:</w:t>
            </w:r>
          </w:p>
        </w:tc>
      </w:tr>
    </w:tbl>
    <w:p w14:paraId="41A35DB5" w14:textId="77777777" w:rsidR="007B7D0D" w:rsidRPr="007B7D0D" w:rsidRDefault="007B7D0D" w:rsidP="007B7D0D">
      <w:pPr>
        <w:spacing w:before="100" w:beforeAutospacing="1" w:after="100" w:afterAutospacing="1" w:line="240" w:lineRule="auto"/>
        <w:rPr>
          <w:rFonts w:ascii="Times New Roman" w:eastAsia="Times New Roman" w:hAnsi="Times New Roman" w:cs="Times New Roman"/>
          <w:sz w:val="24"/>
          <w:szCs w:val="24"/>
        </w:rPr>
      </w:pPr>
      <w:r w:rsidRPr="007B7D0D">
        <w:rPr>
          <w:rFonts w:ascii="Times New Roman" w:eastAsia="Times New Roman" w:hAnsi="Times New Roman" w:cs="Times New Roman"/>
          <w:sz w:val="24"/>
          <w:szCs w:val="24"/>
        </w:rPr>
        <w:t>State employees are required to participate in the Arizona State Retirement System (ASRS), the State sponsored retirement contribution plan and the Long-Term Disability (LTD) program after a 27-week waiting period. The ASRS defined benefit plan provides for life-long income upon retirement. You will also have the option to participate in a voluntary deferred compensation program to take advantage of tax-deferred retirement investments.</w:t>
      </w:r>
      <w:r w:rsidRPr="007B7D0D">
        <w:rPr>
          <w:rFonts w:ascii="Times New Roman" w:eastAsia="Times New Roman" w:hAnsi="Times New Roman" w:cs="Times New Roman"/>
          <w:sz w:val="24"/>
          <w:szCs w:val="24"/>
        </w:rPr>
        <w:br/>
      </w:r>
      <w:r w:rsidRPr="007B7D0D">
        <w:rPr>
          <w:rFonts w:ascii="Times New Roman" w:eastAsia="Times New Roman" w:hAnsi="Times New Roman" w:cs="Times New Roman"/>
          <w:sz w:val="24"/>
          <w:szCs w:val="24"/>
        </w:rPr>
        <w:br/>
        <w:t>On, or shortly after, your first day of work, you will be provided with additional information about the available insurance plans, enrollment instructions, submission deadlines and effective dates.</w:t>
      </w:r>
    </w:p>
    <w:tbl>
      <w:tblPr>
        <w:tblW w:w="5000" w:type="pct"/>
        <w:tblBorders>
          <w:top w:val="outset" w:sz="6" w:space="0" w:color="auto"/>
          <w:left w:val="outset" w:sz="6" w:space="0" w:color="auto"/>
          <w:bottom w:val="outset" w:sz="6" w:space="0" w:color="auto"/>
          <w:right w:val="outset" w:sz="6" w:space="0" w:color="auto"/>
        </w:tblBorders>
        <w:shd w:val="clear" w:color="auto" w:fill="D4D4D4"/>
        <w:tblCellMar>
          <w:top w:w="15" w:type="dxa"/>
          <w:left w:w="15" w:type="dxa"/>
          <w:bottom w:w="15" w:type="dxa"/>
          <w:right w:w="15" w:type="dxa"/>
        </w:tblCellMar>
        <w:tblLook w:val="04A0" w:firstRow="1" w:lastRow="0" w:firstColumn="1" w:lastColumn="0" w:noHBand="0" w:noVBand="1"/>
      </w:tblPr>
      <w:tblGrid>
        <w:gridCol w:w="10784"/>
      </w:tblGrid>
      <w:tr w:rsidR="007B7D0D" w:rsidRPr="007B7D0D" w14:paraId="6F6F542E" w14:textId="77777777" w:rsidTr="007B7D0D">
        <w:tc>
          <w:tcPr>
            <w:tcW w:w="5000" w:type="pct"/>
            <w:tcBorders>
              <w:top w:val="outset" w:sz="6" w:space="0" w:color="auto"/>
              <w:left w:val="outset" w:sz="6" w:space="0" w:color="auto"/>
              <w:bottom w:val="outset" w:sz="6" w:space="0" w:color="auto"/>
              <w:right w:val="outset" w:sz="6" w:space="0" w:color="auto"/>
            </w:tcBorders>
            <w:shd w:val="clear" w:color="auto" w:fill="D4D4D4"/>
            <w:vAlign w:val="center"/>
            <w:hideMark/>
          </w:tcPr>
          <w:p w14:paraId="334EC1D8" w14:textId="77777777" w:rsidR="007B7D0D" w:rsidRPr="007B7D0D" w:rsidRDefault="007B7D0D" w:rsidP="007B7D0D">
            <w:pPr>
              <w:spacing w:after="0" w:line="240" w:lineRule="auto"/>
              <w:rPr>
                <w:rFonts w:ascii="Times New Roman" w:eastAsia="Times New Roman" w:hAnsi="Times New Roman" w:cs="Times New Roman"/>
                <w:sz w:val="24"/>
                <w:szCs w:val="24"/>
              </w:rPr>
            </w:pPr>
            <w:r w:rsidRPr="007B7D0D">
              <w:rPr>
                <w:rFonts w:ascii="Times New Roman" w:eastAsia="Times New Roman" w:hAnsi="Times New Roman" w:cs="Times New Roman"/>
                <w:sz w:val="24"/>
                <w:szCs w:val="24"/>
              </w:rPr>
              <w:t>Contact Us:</w:t>
            </w:r>
          </w:p>
        </w:tc>
      </w:tr>
    </w:tbl>
    <w:p w14:paraId="1CFD6B50" w14:textId="77777777" w:rsidR="007B7D0D" w:rsidRPr="007B7D0D" w:rsidRDefault="007B7D0D" w:rsidP="007B7D0D">
      <w:pPr>
        <w:spacing w:before="100" w:beforeAutospacing="1" w:after="100" w:afterAutospacing="1" w:line="240" w:lineRule="auto"/>
        <w:rPr>
          <w:rFonts w:ascii="Times New Roman" w:eastAsia="Times New Roman" w:hAnsi="Times New Roman" w:cs="Times New Roman"/>
          <w:sz w:val="24"/>
          <w:szCs w:val="24"/>
        </w:rPr>
      </w:pPr>
      <w:r w:rsidRPr="007B7D0D">
        <w:rPr>
          <w:rFonts w:ascii="Times New Roman" w:eastAsia="Times New Roman" w:hAnsi="Times New Roman" w:cs="Times New Roman"/>
          <w:sz w:val="24"/>
          <w:szCs w:val="24"/>
        </w:rPr>
        <w:t>For questions about this career opportunity, please call (480) 737-7516 or email vsapp@azdes.gov.</w:t>
      </w:r>
      <w:r w:rsidRPr="007B7D0D">
        <w:rPr>
          <w:rFonts w:ascii="Times New Roman" w:eastAsia="Times New Roman" w:hAnsi="Times New Roman" w:cs="Times New Roman"/>
          <w:sz w:val="24"/>
          <w:szCs w:val="24"/>
        </w:rPr>
        <w:br/>
      </w:r>
      <w:r w:rsidRPr="007B7D0D">
        <w:rPr>
          <w:rFonts w:ascii="Times New Roman" w:eastAsia="Times New Roman" w:hAnsi="Times New Roman" w:cs="Times New Roman"/>
          <w:sz w:val="24"/>
          <w:szCs w:val="24"/>
        </w:rPr>
        <w:br/>
        <w:t>Persons with a disability may request a reasonable accommodation such as a sign language interpreter or an alternative format by contacting (480) 737-7516 or email vsapp@azdes.gov. Requests should be made as early as possible to allow time to arrange the accommodation. Arizona State Government is an AA/EOE/ADA Reasonable Accommodation Employer.</w:t>
      </w:r>
    </w:p>
    <w:p w14:paraId="381FE46C" w14:textId="77777777" w:rsidR="00211D47" w:rsidRDefault="00211D47"/>
    <w:sectPr w:rsidR="00211D47" w:rsidSect="007B7D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0D"/>
    <w:rsid w:val="00211D47"/>
    <w:rsid w:val="007B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1BEC"/>
  <w15:chartTrackingRefBased/>
  <w15:docId w15:val="{D2CA4A54-DF54-48B4-9720-03D6C6E2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7D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7D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B7D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7D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D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7D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B7D0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7D0D"/>
    <w:rPr>
      <w:rFonts w:ascii="Times New Roman" w:eastAsia="Times New Roman" w:hAnsi="Times New Roman" w:cs="Times New Roman"/>
      <w:b/>
      <w:bCs/>
      <w:sz w:val="24"/>
      <w:szCs w:val="24"/>
    </w:rPr>
  </w:style>
  <w:style w:type="character" w:styleId="Emphasis">
    <w:name w:val="Emphasis"/>
    <w:basedOn w:val="DefaultParagraphFont"/>
    <w:uiPriority w:val="20"/>
    <w:qFormat/>
    <w:rsid w:val="007B7D0D"/>
    <w:rPr>
      <w:i/>
      <w:iCs/>
    </w:rPr>
  </w:style>
  <w:style w:type="character" w:styleId="Strong">
    <w:name w:val="Strong"/>
    <w:basedOn w:val="DefaultParagraphFont"/>
    <w:uiPriority w:val="22"/>
    <w:qFormat/>
    <w:rsid w:val="007B7D0D"/>
    <w:rPr>
      <w:b/>
      <w:bCs/>
    </w:rPr>
  </w:style>
  <w:style w:type="paragraph" w:styleId="NormalWeb">
    <w:name w:val="Normal (Web)"/>
    <w:basedOn w:val="Normal"/>
    <w:uiPriority w:val="99"/>
    <w:semiHidden/>
    <w:unhideWhenUsed/>
    <w:rsid w:val="007B7D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7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254483">
      <w:bodyDiv w:val="1"/>
      <w:marLeft w:val="0"/>
      <w:marRight w:val="0"/>
      <w:marTop w:val="0"/>
      <w:marBottom w:val="0"/>
      <w:divBdr>
        <w:top w:val="none" w:sz="0" w:space="0" w:color="auto"/>
        <w:left w:val="none" w:sz="0" w:space="0" w:color="auto"/>
        <w:bottom w:val="none" w:sz="0" w:space="0" w:color="auto"/>
        <w:right w:val="none" w:sz="0" w:space="0" w:color="auto"/>
      </w:divBdr>
      <w:divsChild>
        <w:div w:id="713118163">
          <w:marLeft w:val="0"/>
          <w:marRight w:val="0"/>
          <w:marTop w:val="0"/>
          <w:marBottom w:val="0"/>
          <w:divBdr>
            <w:top w:val="none" w:sz="0" w:space="0" w:color="auto"/>
            <w:left w:val="none" w:sz="0" w:space="0" w:color="auto"/>
            <w:bottom w:val="none" w:sz="0" w:space="0" w:color="auto"/>
            <w:right w:val="none" w:sz="0" w:space="0" w:color="auto"/>
          </w:divBdr>
        </w:div>
        <w:div w:id="699402101">
          <w:marLeft w:val="0"/>
          <w:marRight w:val="0"/>
          <w:marTop w:val="0"/>
          <w:marBottom w:val="0"/>
          <w:divBdr>
            <w:top w:val="none" w:sz="0" w:space="0" w:color="auto"/>
            <w:left w:val="none" w:sz="0" w:space="0" w:color="auto"/>
            <w:bottom w:val="none" w:sz="0" w:space="0" w:color="auto"/>
            <w:right w:val="none" w:sz="0" w:space="0" w:color="auto"/>
          </w:divBdr>
        </w:div>
        <w:div w:id="204753326">
          <w:marLeft w:val="0"/>
          <w:marRight w:val="0"/>
          <w:marTop w:val="0"/>
          <w:marBottom w:val="0"/>
          <w:divBdr>
            <w:top w:val="none" w:sz="0" w:space="0" w:color="auto"/>
            <w:left w:val="none" w:sz="0" w:space="0" w:color="auto"/>
            <w:bottom w:val="none" w:sz="0" w:space="0" w:color="auto"/>
            <w:right w:val="none" w:sz="0" w:space="0" w:color="auto"/>
          </w:divBdr>
        </w:div>
        <w:div w:id="1800340115">
          <w:marLeft w:val="0"/>
          <w:marRight w:val="0"/>
          <w:marTop w:val="0"/>
          <w:marBottom w:val="0"/>
          <w:divBdr>
            <w:top w:val="none" w:sz="0" w:space="0" w:color="auto"/>
            <w:left w:val="none" w:sz="0" w:space="0" w:color="auto"/>
            <w:bottom w:val="none" w:sz="0" w:space="0" w:color="auto"/>
            <w:right w:val="none" w:sz="0" w:space="0" w:color="auto"/>
          </w:divBdr>
        </w:div>
        <w:div w:id="930967896">
          <w:marLeft w:val="0"/>
          <w:marRight w:val="0"/>
          <w:marTop w:val="0"/>
          <w:marBottom w:val="0"/>
          <w:divBdr>
            <w:top w:val="none" w:sz="0" w:space="0" w:color="auto"/>
            <w:left w:val="none" w:sz="0" w:space="0" w:color="auto"/>
            <w:bottom w:val="none" w:sz="0" w:space="0" w:color="auto"/>
            <w:right w:val="none" w:sz="0" w:space="0" w:color="auto"/>
          </w:divBdr>
        </w:div>
        <w:div w:id="104926089">
          <w:marLeft w:val="0"/>
          <w:marRight w:val="0"/>
          <w:marTop w:val="0"/>
          <w:marBottom w:val="0"/>
          <w:divBdr>
            <w:top w:val="none" w:sz="0" w:space="0" w:color="auto"/>
            <w:left w:val="none" w:sz="0" w:space="0" w:color="auto"/>
            <w:bottom w:val="none" w:sz="0" w:space="0" w:color="auto"/>
            <w:right w:val="none" w:sz="0" w:space="0" w:color="auto"/>
          </w:divBdr>
        </w:div>
        <w:div w:id="11686586">
          <w:marLeft w:val="0"/>
          <w:marRight w:val="0"/>
          <w:marTop w:val="0"/>
          <w:marBottom w:val="0"/>
          <w:divBdr>
            <w:top w:val="none" w:sz="0" w:space="0" w:color="auto"/>
            <w:left w:val="none" w:sz="0" w:space="0" w:color="auto"/>
            <w:bottom w:val="none" w:sz="0" w:space="0" w:color="auto"/>
            <w:right w:val="none" w:sz="0" w:space="0" w:color="auto"/>
          </w:divBdr>
        </w:div>
        <w:div w:id="1319502673">
          <w:marLeft w:val="0"/>
          <w:marRight w:val="0"/>
          <w:marTop w:val="0"/>
          <w:marBottom w:val="0"/>
          <w:divBdr>
            <w:top w:val="none" w:sz="0" w:space="0" w:color="auto"/>
            <w:left w:val="none" w:sz="0" w:space="0" w:color="auto"/>
            <w:bottom w:val="none" w:sz="0" w:space="0" w:color="auto"/>
            <w:right w:val="none" w:sz="0" w:space="0" w:color="auto"/>
          </w:divBdr>
        </w:div>
        <w:div w:id="972104247">
          <w:marLeft w:val="0"/>
          <w:marRight w:val="0"/>
          <w:marTop w:val="0"/>
          <w:marBottom w:val="0"/>
          <w:divBdr>
            <w:top w:val="none" w:sz="0" w:space="0" w:color="auto"/>
            <w:left w:val="none" w:sz="0" w:space="0" w:color="auto"/>
            <w:bottom w:val="none" w:sz="0" w:space="0" w:color="auto"/>
            <w:right w:val="none" w:sz="0" w:space="0" w:color="auto"/>
          </w:divBdr>
        </w:div>
        <w:div w:id="1141846260">
          <w:marLeft w:val="0"/>
          <w:marRight w:val="0"/>
          <w:marTop w:val="0"/>
          <w:marBottom w:val="0"/>
          <w:divBdr>
            <w:top w:val="none" w:sz="0" w:space="0" w:color="auto"/>
            <w:left w:val="none" w:sz="0" w:space="0" w:color="auto"/>
            <w:bottom w:val="none" w:sz="0" w:space="0" w:color="auto"/>
            <w:right w:val="none" w:sz="0" w:space="0" w:color="auto"/>
          </w:divBdr>
        </w:div>
        <w:div w:id="385758378">
          <w:marLeft w:val="0"/>
          <w:marRight w:val="0"/>
          <w:marTop w:val="0"/>
          <w:marBottom w:val="0"/>
          <w:divBdr>
            <w:top w:val="none" w:sz="0" w:space="0" w:color="auto"/>
            <w:left w:val="none" w:sz="0" w:space="0" w:color="auto"/>
            <w:bottom w:val="none" w:sz="0" w:space="0" w:color="auto"/>
            <w:right w:val="none" w:sz="0" w:space="0" w:color="auto"/>
          </w:divBdr>
        </w:div>
        <w:div w:id="437915321">
          <w:marLeft w:val="0"/>
          <w:marRight w:val="0"/>
          <w:marTop w:val="0"/>
          <w:marBottom w:val="0"/>
          <w:divBdr>
            <w:top w:val="none" w:sz="0" w:space="0" w:color="auto"/>
            <w:left w:val="none" w:sz="0" w:space="0" w:color="auto"/>
            <w:bottom w:val="none" w:sz="0" w:space="0" w:color="auto"/>
            <w:right w:val="none" w:sz="0" w:space="0" w:color="auto"/>
          </w:divBdr>
        </w:div>
        <w:div w:id="1543515125">
          <w:marLeft w:val="0"/>
          <w:marRight w:val="0"/>
          <w:marTop w:val="0"/>
          <w:marBottom w:val="0"/>
          <w:divBdr>
            <w:top w:val="none" w:sz="0" w:space="0" w:color="auto"/>
            <w:left w:val="none" w:sz="0" w:space="0" w:color="auto"/>
            <w:bottom w:val="none" w:sz="0" w:space="0" w:color="auto"/>
            <w:right w:val="none" w:sz="0" w:space="0" w:color="auto"/>
          </w:divBdr>
        </w:div>
        <w:div w:id="1245912828">
          <w:marLeft w:val="0"/>
          <w:marRight w:val="0"/>
          <w:marTop w:val="0"/>
          <w:marBottom w:val="0"/>
          <w:divBdr>
            <w:top w:val="none" w:sz="0" w:space="0" w:color="auto"/>
            <w:left w:val="none" w:sz="0" w:space="0" w:color="auto"/>
            <w:bottom w:val="none" w:sz="0" w:space="0" w:color="auto"/>
            <w:right w:val="none" w:sz="0" w:space="0" w:color="auto"/>
          </w:divBdr>
        </w:div>
        <w:div w:id="693189035">
          <w:marLeft w:val="0"/>
          <w:marRight w:val="0"/>
          <w:marTop w:val="0"/>
          <w:marBottom w:val="0"/>
          <w:divBdr>
            <w:top w:val="none" w:sz="0" w:space="0" w:color="auto"/>
            <w:left w:val="none" w:sz="0" w:space="0" w:color="auto"/>
            <w:bottom w:val="none" w:sz="0" w:space="0" w:color="auto"/>
            <w:right w:val="none" w:sz="0" w:space="0" w:color="auto"/>
          </w:divBdr>
        </w:div>
        <w:div w:id="1411777275">
          <w:marLeft w:val="0"/>
          <w:marRight w:val="0"/>
          <w:marTop w:val="0"/>
          <w:marBottom w:val="0"/>
          <w:divBdr>
            <w:top w:val="none" w:sz="0" w:space="0" w:color="auto"/>
            <w:left w:val="none" w:sz="0" w:space="0" w:color="auto"/>
            <w:bottom w:val="none" w:sz="0" w:space="0" w:color="auto"/>
            <w:right w:val="none" w:sz="0" w:space="0" w:color="auto"/>
          </w:divBdr>
        </w:div>
        <w:div w:id="1667243409">
          <w:marLeft w:val="0"/>
          <w:marRight w:val="0"/>
          <w:marTop w:val="0"/>
          <w:marBottom w:val="0"/>
          <w:divBdr>
            <w:top w:val="none" w:sz="0" w:space="0" w:color="auto"/>
            <w:left w:val="none" w:sz="0" w:space="0" w:color="auto"/>
            <w:bottom w:val="none" w:sz="0" w:space="0" w:color="auto"/>
            <w:right w:val="none" w:sz="0" w:space="0" w:color="auto"/>
          </w:divBdr>
        </w:div>
        <w:div w:id="2048292486">
          <w:marLeft w:val="0"/>
          <w:marRight w:val="0"/>
          <w:marTop w:val="0"/>
          <w:marBottom w:val="0"/>
          <w:divBdr>
            <w:top w:val="none" w:sz="0" w:space="0" w:color="auto"/>
            <w:left w:val="none" w:sz="0" w:space="0" w:color="auto"/>
            <w:bottom w:val="none" w:sz="0" w:space="0" w:color="auto"/>
            <w:right w:val="none" w:sz="0" w:space="0" w:color="auto"/>
          </w:divBdr>
        </w:div>
        <w:div w:id="460466167">
          <w:marLeft w:val="0"/>
          <w:marRight w:val="0"/>
          <w:marTop w:val="0"/>
          <w:marBottom w:val="0"/>
          <w:divBdr>
            <w:top w:val="none" w:sz="0" w:space="0" w:color="auto"/>
            <w:left w:val="none" w:sz="0" w:space="0" w:color="auto"/>
            <w:bottom w:val="none" w:sz="0" w:space="0" w:color="auto"/>
            <w:right w:val="none" w:sz="0" w:space="0" w:color="auto"/>
          </w:divBdr>
        </w:div>
        <w:div w:id="1903170248">
          <w:marLeft w:val="0"/>
          <w:marRight w:val="0"/>
          <w:marTop w:val="0"/>
          <w:marBottom w:val="0"/>
          <w:divBdr>
            <w:top w:val="none" w:sz="0" w:space="0" w:color="auto"/>
            <w:left w:val="none" w:sz="0" w:space="0" w:color="auto"/>
            <w:bottom w:val="none" w:sz="0" w:space="0" w:color="auto"/>
            <w:right w:val="none" w:sz="0" w:space="0" w:color="auto"/>
          </w:divBdr>
        </w:div>
        <w:div w:id="102695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a.az.gov/benefit-services-di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1100</Words>
  <Characters>6273</Characters>
  <Application>Microsoft Office Word</Application>
  <DocSecurity>0</DocSecurity>
  <Lines>52</Lines>
  <Paragraphs>14</Paragraphs>
  <ScaleCrop>false</ScaleCrop>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Sapp, Vanessa</dc:creator>
  <cp:keywords/>
  <dc:description/>
  <cp:lastModifiedBy>Sapp, Vanessa</cp:lastModifiedBy>
  <cp:revision>1</cp:revision>
  <dcterms:created xsi:type="dcterms:W3CDTF">2022-03-31T02:30:00Z</dcterms:created>
  <dcterms:modified xsi:type="dcterms:W3CDTF">2022-03-31T02:31:00Z</dcterms:modified>
</cp:coreProperties>
</file>