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143C0" w14:textId="77777777" w:rsidR="00296F32" w:rsidRPr="00161C19" w:rsidRDefault="00296F32" w:rsidP="00296F32">
      <w:pPr>
        <w:jc w:val="center"/>
        <w:rPr>
          <w:b/>
          <w:bCs/>
        </w:rPr>
      </w:pPr>
      <w:bookmarkStart w:id="0" w:name="_Hlk179744571"/>
      <w:r w:rsidRPr="00161C19">
        <w:rPr>
          <w:b/>
          <w:bCs/>
        </w:rPr>
        <w:t>NFB of Arizona</w:t>
      </w:r>
    </w:p>
    <w:p w14:paraId="0A30D64C" w14:textId="77777777" w:rsidR="00296F32" w:rsidRPr="00161C19" w:rsidRDefault="00296F32" w:rsidP="00296F32">
      <w:pPr>
        <w:jc w:val="center"/>
        <w:rPr>
          <w:b/>
          <w:bCs/>
        </w:rPr>
      </w:pPr>
      <w:r w:rsidRPr="00161C19">
        <w:rPr>
          <w:b/>
          <w:bCs/>
        </w:rPr>
        <w:t>Phoenix Chapter</w:t>
      </w:r>
    </w:p>
    <w:p w14:paraId="0E99E845" w14:textId="74642A3E" w:rsidR="00296F32" w:rsidRPr="00161C19" w:rsidRDefault="00296F32" w:rsidP="00296F32">
      <w:pPr>
        <w:jc w:val="center"/>
        <w:rPr>
          <w:b/>
          <w:bCs/>
        </w:rPr>
      </w:pPr>
      <w:r>
        <w:rPr>
          <w:b/>
          <w:bCs/>
        </w:rPr>
        <w:t xml:space="preserve">2024 </w:t>
      </w:r>
      <w:r w:rsidRPr="00161C19">
        <w:rPr>
          <w:b/>
          <w:bCs/>
        </w:rPr>
        <w:t xml:space="preserve">BEAM Month </w:t>
      </w:r>
      <w:r w:rsidR="001B137C">
        <w:rPr>
          <w:b/>
          <w:bCs/>
        </w:rPr>
        <w:t xml:space="preserve">Upcoming </w:t>
      </w:r>
      <w:r w:rsidRPr="00161C19">
        <w:rPr>
          <w:b/>
          <w:bCs/>
        </w:rPr>
        <w:t>Calendar of Events</w:t>
      </w:r>
    </w:p>
    <w:p w14:paraId="41705D8F" w14:textId="77777777" w:rsidR="00296F32" w:rsidRDefault="00296F32" w:rsidP="00296F32"/>
    <w:p w14:paraId="4E03DCB9" w14:textId="77777777" w:rsidR="00125F8E" w:rsidRDefault="00125F8E" w:rsidP="005F7322">
      <w:pPr>
        <w:pStyle w:val="Heading1"/>
      </w:pPr>
      <w:r>
        <w:t>Date</w:t>
      </w:r>
      <w:proofErr w:type="gramStart"/>
      <w:r>
        <w:t>:  Tuesday</w:t>
      </w:r>
      <w:proofErr w:type="gramEnd"/>
      <w:r>
        <w:t>, October 15, 2024</w:t>
      </w:r>
    </w:p>
    <w:p w14:paraId="0537735C" w14:textId="77777777" w:rsidR="00125F8E" w:rsidRDefault="00125F8E" w:rsidP="00125F8E">
      <w:r>
        <w:t>Time</w:t>
      </w:r>
      <w:proofErr w:type="gramStart"/>
      <w:r>
        <w:t>:  12</w:t>
      </w:r>
      <w:proofErr w:type="gramEnd"/>
      <w:r>
        <w:t>:00 PM to 2:00 PM</w:t>
      </w:r>
    </w:p>
    <w:p w14:paraId="3B515535" w14:textId="77777777" w:rsidR="00125F8E" w:rsidRDefault="00125F8E" w:rsidP="005F7322">
      <w:pPr>
        <w:pStyle w:val="Heading2"/>
      </w:pPr>
      <w:r>
        <w:t>Event</w:t>
      </w:r>
      <w:proofErr w:type="gramStart"/>
      <w:r>
        <w:t>:  NFB</w:t>
      </w:r>
      <w:proofErr w:type="gramEnd"/>
      <w:r>
        <w:t xml:space="preserve"> Newsline and Arizona Talking Book Library Presentation (Free)</w:t>
      </w:r>
    </w:p>
    <w:p w14:paraId="3A3EA25A" w14:textId="77777777" w:rsidR="00125F8E" w:rsidRDefault="00125F8E" w:rsidP="00125F8E">
      <w:r>
        <w:t>Location:  Saguaro Library Branch, 2808 N. 46</w:t>
      </w:r>
      <w:r w:rsidRPr="00811E8D">
        <w:rPr>
          <w:vertAlign w:val="superscript"/>
        </w:rPr>
        <w:t>th</w:t>
      </w:r>
      <w:r>
        <w:t xml:space="preserve"> St., Phoenix, AZ 85008; (602) 262-4636</w:t>
      </w:r>
    </w:p>
    <w:p w14:paraId="49062C9E" w14:textId="77777777" w:rsidR="00452983" w:rsidRDefault="00452983" w:rsidP="00125F8E"/>
    <w:p w14:paraId="0FE73735" w14:textId="77777777" w:rsidR="00125F8E" w:rsidRDefault="00125F8E" w:rsidP="00125F8E">
      <w:r>
        <w:t>Description:  Free Informational Presentation about NFB Newsline and the Arizona Talking Book Library reading services for blind, low vision, and print disabled consumers</w:t>
      </w:r>
    </w:p>
    <w:p w14:paraId="343D9DEF" w14:textId="77777777" w:rsidR="00125F8E" w:rsidRDefault="00125F8E" w:rsidP="00125F8E"/>
    <w:p w14:paraId="1C24ED63" w14:textId="77777777" w:rsidR="00125F8E" w:rsidRPr="004F3261" w:rsidRDefault="00125F8E" w:rsidP="00125F8E">
      <w:pPr>
        <w:jc w:val="center"/>
        <w:rPr>
          <w:b/>
          <w:bCs/>
        </w:rPr>
      </w:pPr>
      <w:r w:rsidRPr="004F3261">
        <w:rPr>
          <w:b/>
          <w:bCs/>
        </w:rPr>
        <w:t>This free event includes:</w:t>
      </w:r>
    </w:p>
    <w:p w14:paraId="4FB3C282" w14:textId="77777777" w:rsidR="00125F8E" w:rsidRDefault="00125F8E" w:rsidP="00125F8E">
      <w:pPr>
        <w:pStyle w:val="ListParagraph"/>
        <w:numPr>
          <w:ilvl w:val="0"/>
          <w:numId w:val="1"/>
        </w:numPr>
      </w:pPr>
      <w:r>
        <w:t>Introduction to and brief history of the NFB and the Arizona Talking Book Library</w:t>
      </w:r>
    </w:p>
    <w:p w14:paraId="3E39E35F" w14:textId="77777777" w:rsidR="00125F8E" w:rsidRDefault="00125F8E" w:rsidP="00125F8E">
      <w:pPr>
        <w:pStyle w:val="ListParagraph"/>
        <w:numPr>
          <w:ilvl w:val="0"/>
          <w:numId w:val="1"/>
        </w:numPr>
      </w:pPr>
      <w:r>
        <w:t>Basic description of reading services and demonstration in the use of devices</w:t>
      </w:r>
    </w:p>
    <w:p w14:paraId="4DD48DCD" w14:textId="77777777" w:rsidR="00125F8E" w:rsidRDefault="00125F8E" w:rsidP="00125F8E">
      <w:pPr>
        <w:pStyle w:val="ListParagraph"/>
        <w:numPr>
          <w:ilvl w:val="0"/>
          <w:numId w:val="1"/>
        </w:numPr>
      </w:pPr>
      <w:r>
        <w:t>Opportunity to begin the application process to sign up for NFB Newsline and the Arizona Talking   Book Library services</w:t>
      </w:r>
    </w:p>
    <w:p w14:paraId="6E50C697" w14:textId="77777777" w:rsidR="00125F8E" w:rsidRDefault="00125F8E" w:rsidP="00125F8E">
      <w:pPr>
        <w:pStyle w:val="ListParagraph"/>
        <w:numPr>
          <w:ilvl w:val="0"/>
          <w:numId w:val="1"/>
        </w:numPr>
      </w:pPr>
      <w:r>
        <w:t>Access to the information tables set up by the organizations sponsoring this event, with free   pamphlets to share with family members and friends, that may benefit from these free reading services</w:t>
      </w:r>
    </w:p>
    <w:p w14:paraId="2BDF75E2" w14:textId="77777777" w:rsidR="00125F8E" w:rsidRDefault="00125F8E" w:rsidP="00125F8E">
      <w:pPr>
        <w:pStyle w:val="ListParagraph"/>
        <w:numPr>
          <w:ilvl w:val="0"/>
          <w:numId w:val="1"/>
        </w:numPr>
      </w:pPr>
      <w:r>
        <w:t>Independent reading options for you or someone you know, to achieve or recapture literacy</w:t>
      </w:r>
    </w:p>
    <w:p w14:paraId="36BA2FA6" w14:textId="77777777" w:rsidR="00125F8E" w:rsidRDefault="00125F8E" w:rsidP="00125F8E"/>
    <w:p w14:paraId="1CD93FB9" w14:textId="77777777" w:rsidR="00125F8E" w:rsidRPr="00EC1564" w:rsidRDefault="00125F8E" w:rsidP="00125F8E">
      <w:pPr>
        <w:jc w:val="center"/>
        <w:rPr>
          <w:b/>
          <w:bCs/>
        </w:rPr>
      </w:pPr>
      <w:r w:rsidRPr="00EC1564">
        <w:rPr>
          <w:b/>
          <w:bCs/>
        </w:rPr>
        <w:t>For more information, please contact:</w:t>
      </w:r>
    </w:p>
    <w:p w14:paraId="556E54A1" w14:textId="77777777" w:rsidR="00125F8E" w:rsidRDefault="00125F8E" w:rsidP="00125F8E"/>
    <w:p w14:paraId="04B175B7" w14:textId="77777777" w:rsidR="00125F8E" w:rsidRDefault="00125F8E" w:rsidP="00125F8E">
      <w:r>
        <w:t>Rachel Kuntz, NFB of Arizona Phoenix Chapter</w:t>
      </w:r>
    </w:p>
    <w:p w14:paraId="26FD9D10" w14:textId="5A433B07" w:rsidR="00125F8E" w:rsidRDefault="00125F8E" w:rsidP="00125F8E">
      <w:pPr>
        <w:pStyle w:val="NormalWeb"/>
      </w:pPr>
      <w:hyperlink r:id="rId5" w:history="1">
        <w:r w:rsidRPr="00B835EB">
          <w:rPr>
            <w:rStyle w:val="Hyperlink"/>
          </w:rPr>
          <w:t>nfbphoenixchapter@gmail.com</w:t>
        </w:r>
      </w:hyperlink>
      <w:r>
        <w:rPr>
          <w:rStyle w:val="Hyperlink"/>
        </w:rPr>
        <w:t xml:space="preserve">   </w:t>
      </w:r>
    </w:p>
    <w:p w14:paraId="2C4A4BED" w14:textId="77777777" w:rsidR="00125F8E" w:rsidRDefault="00125F8E" w:rsidP="00125F8E"/>
    <w:p w14:paraId="394F7DD8" w14:textId="77777777" w:rsidR="00125F8E" w:rsidRDefault="00125F8E" w:rsidP="00125F8E">
      <w:r>
        <w:t>Christine Tuttle, Outreach Librarian/Arizona Talking Book Library</w:t>
      </w:r>
    </w:p>
    <w:p w14:paraId="399B8A88" w14:textId="77777777" w:rsidR="00125F8E" w:rsidRDefault="00125F8E" w:rsidP="00125F8E">
      <w:hyperlink r:id="rId6" w:history="1">
        <w:r w:rsidRPr="00B835EB">
          <w:rPr>
            <w:rStyle w:val="Hyperlink"/>
          </w:rPr>
          <w:t>ctuttle@azlibrary.gov</w:t>
        </w:r>
      </w:hyperlink>
    </w:p>
    <w:p w14:paraId="1F1E4CB0" w14:textId="77777777" w:rsidR="00125F8E" w:rsidRDefault="00125F8E" w:rsidP="00125F8E">
      <w:r>
        <w:t>(602) 255-5578</w:t>
      </w:r>
    </w:p>
    <w:p w14:paraId="6870C823" w14:textId="77777777" w:rsidR="00125F8E" w:rsidRDefault="00125F8E" w:rsidP="00125F8E">
      <w:r>
        <w:t>(800) 255-5578</w:t>
      </w:r>
    </w:p>
    <w:p w14:paraId="49BADC80" w14:textId="77777777" w:rsidR="00125F8E" w:rsidRDefault="00125F8E" w:rsidP="00125F8E"/>
    <w:p w14:paraId="06BB35BC" w14:textId="001636E6" w:rsidR="00D137E0" w:rsidRDefault="006D5112" w:rsidP="005F7322">
      <w:pPr>
        <w:pStyle w:val="Heading1"/>
      </w:pPr>
      <w:r>
        <w:t>Date</w:t>
      </w:r>
      <w:proofErr w:type="gramStart"/>
      <w:r>
        <w:t>:  Tuesday</w:t>
      </w:r>
      <w:proofErr w:type="gramEnd"/>
      <w:r>
        <w:t>, October 15, 2024</w:t>
      </w:r>
    </w:p>
    <w:p w14:paraId="3E53D8E6" w14:textId="20684336" w:rsidR="006D5112" w:rsidRDefault="006D5112" w:rsidP="00125F8E">
      <w:r>
        <w:t>Time</w:t>
      </w:r>
      <w:proofErr w:type="gramStart"/>
      <w:r>
        <w:t>:  5</w:t>
      </w:r>
      <w:proofErr w:type="gramEnd"/>
      <w:r>
        <w:t>:</w:t>
      </w:r>
      <w:r w:rsidR="00E70705">
        <w:t>3</w:t>
      </w:r>
      <w:r>
        <w:t>0 PM</w:t>
      </w:r>
      <w:r w:rsidR="007C4E12">
        <w:t xml:space="preserve"> (Arizona Time)</w:t>
      </w:r>
    </w:p>
    <w:p w14:paraId="127CEFF6" w14:textId="59E31C09" w:rsidR="006D5112" w:rsidRDefault="008B7C43" w:rsidP="005F7322">
      <w:pPr>
        <w:pStyle w:val="Heading2"/>
      </w:pPr>
      <w:r>
        <w:t>Event</w:t>
      </w:r>
      <w:proofErr w:type="gramStart"/>
      <w:r>
        <w:t>:  NFB</w:t>
      </w:r>
      <w:proofErr w:type="gramEnd"/>
      <w:r>
        <w:t xml:space="preserve"> Presidential Release #54</w:t>
      </w:r>
      <w:r w:rsidR="007C4E12">
        <w:t>2</w:t>
      </w:r>
      <w:r>
        <w:t xml:space="preserve"> (Live)</w:t>
      </w:r>
    </w:p>
    <w:p w14:paraId="06933E97" w14:textId="5747DF29" w:rsidR="00425DBB" w:rsidRDefault="00DD18E7" w:rsidP="00425DBB">
      <w:pPr>
        <w:pStyle w:val="NormalWeb"/>
        <w:shd w:val="clear" w:color="auto" w:fill="FFFFFF"/>
        <w:spacing w:before="0" w:beforeAutospacing="0" w:after="300" w:afterAutospacing="0"/>
      </w:pPr>
      <w:r>
        <w:t>Location:</w:t>
      </w:r>
      <w:r w:rsidR="00E84CBB">
        <w:t xml:space="preserve">  </w:t>
      </w:r>
      <w:hyperlink r:id="rId7" w:anchor="success" w:tgtFrame="_blank" w:history="1">
        <w:r w:rsidR="00E84CBB">
          <w:rPr>
            <w:rStyle w:val="Hyperlink"/>
            <w:rFonts w:ascii="Lato" w:hAnsi="Lato"/>
            <w:color w:val="005AA3"/>
            <w:sz w:val="27"/>
            <w:szCs w:val="27"/>
            <w:u w:val="none"/>
            <w:shd w:val="clear" w:color="auto" w:fill="FFFFFF"/>
          </w:rPr>
          <w:t>Zoom meeting ID 947 5821 8808</w:t>
        </w:r>
      </w:hyperlink>
      <w:r w:rsidR="00E84CBB">
        <w:rPr>
          <w:rFonts w:ascii="Lato" w:hAnsi="Lato"/>
          <w:color w:val="000000"/>
          <w:sz w:val="27"/>
          <w:szCs w:val="27"/>
        </w:rPr>
        <w:br/>
      </w:r>
      <w:r w:rsidR="00E84CBB">
        <w:rPr>
          <w:rFonts w:ascii="Lato" w:hAnsi="Lato"/>
          <w:color w:val="000000"/>
          <w:sz w:val="27"/>
          <w:szCs w:val="27"/>
          <w:shd w:val="clear" w:color="auto" w:fill="FFFFFF"/>
        </w:rPr>
        <w:t>One tap mobile:  +</w:t>
      </w:r>
      <w:proofErr w:type="gramStart"/>
      <w:r w:rsidR="00E84CBB">
        <w:rPr>
          <w:rFonts w:ascii="Lato" w:hAnsi="Lato"/>
          <w:color w:val="000000"/>
          <w:sz w:val="27"/>
          <w:szCs w:val="27"/>
          <w:shd w:val="clear" w:color="auto" w:fill="FFFFFF"/>
        </w:rPr>
        <w:t>13017158592,,</w:t>
      </w:r>
      <w:proofErr w:type="gramEnd"/>
      <w:r w:rsidR="00E84CBB">
        <w:rPr>
          <w:rFonts w:ascii="Lato" w:hAnsi="Lato"/>
          <w:color w:val="000000"/>
          <w:sz w:val="27"/>
          <w:szCs w:val="27"/>
          <w:shd w:val="clear" w:color="auto" w:fill="FFFFFF"/>
        </w:rPr>
        <w:t>94758218808#</w:t>
      </w:r>
    </w:p>
    <w:p w14:paraId="106DF45A" w14:textId="75B983FD" w:rsidR="00425DBB" w:rsidRDefault="00425DBB" w:rsidP="00E70705"/>
    <w:p w14:paraId="08C54AB0" w14:textId="48C06653" w:rsidR="00E70705" w:rsidRDefault="00425DBB" w:rsidP="00E70705">
      <w:pPr>
        <w:rPr>
          <w:rFonts w:ascii="Lato" w:hAnsi="Lato"/>
          <w:color w:val="000000"/>
          <w:sz w:val="54"/>
          <w:szCs w:val="54"/>
        </w:rPr>
      </w:pPr>
      <w:r>
        <w:t>Description</w:t>
      </w:r>
      <w:proofErr w:type="gramStart"/>
      <w:r>
        <w:t xml:space="preserve">:  </w:t>
      </w:r>
      <w:r w:rsidR="00E70705">
        <w:rPr>
          <w:rFonts w:ascii="Lato" w:hAnsi="Lato"/>
          <w:b/>
          <w:bCs/>
          <w:color w:val="000000"/>
          <w:sz w:val="54"/>
          <w:szCs w:val="54"/>
        </w:rPr>
        <w:t>Upcoming</w:t>
      </w:r>
      <w:proofErr w:type="gramEnd"/>
      <w:r w:rsidR="00E70705">
        <w:rPr>
          <w:rFonts w:ascii="Lato" w:hAnsi="Lato"/>
          <w:b/>
          <w:bCs/>
          <w:color w:val="000000"/>
          <w:sz w:val="54"/>
          <w:szCs w:val="54"/>
        </w:rPr>
        <w:t xml:space="preserve"> Live Release</w:t>
      </w:r>
    </w:p>
    <w:p w14:paraId="13CEECF3" w14:textId="77777777" w:rsidR="00E70705" w:rsidRDefault="00E70705" w:rsidP="00E70705">
      <w:pPr>
        <w:pStyle w:val="NormalWeb"/>
        <w:shd w:val="clear" w:color="auto" w:fill="FFFFFF"/>
        <w:spacing w:before="0" w:beforeAutospacing="0" w:after="300" w:afterAutospacing="0"/>
        <w:rPr>
          <w:rFonts w:ascii="Lato" w:hAnsi="Lato"/>
          <w:color w:val="000000"/>
          <w:sz w:val="27"/>
          <w:szCs w:val="27"/>
        </w:rPr>
      </w:pPr>
      <w:r>
        <w:rPr>
          <w:rFonts w:ascii="Lato" w:hAnsi="Lato"/>
          <w:color w:val="000000"/>
          <w:sz w:val="27"/>
          <w:szCs w:val="27"/>
        </w:rPr>
        <w:t>The National Federation of the Blind Presidential Release #542 will be held on Tuesday, October 15, at 8:30 p.m. eastern.  Closed captions and Spanish interpretations will be available.</w:t>
      </w:r>
    </w:p>
    <w:p w14:paraId="77126E67" w14:textId="77777777" w:rsidR="00425DBB" w:rsidRDefault="00425DBB" w:rsidP="00E70705">
      <w:pPr>
        <w:pStyle w:val="NormalWeb"/>
        <w:shd w:val="clear" w:color="auto" w:fill="FFFFFF"/>
        <w:spacing w:before="0" w:beforeAutospacing="0" w:after="300" w:afterAutospacing="0"/>
        <w:rPr>
          <w:rFonts w:ascii="Lato" w:hAnsi="Lato"/>
          <w:color w:val="000000"/>
          <w:sz w:val="27"/>
          <w:szCs w:val="27"/>
        </w:rPr>
      </w:pPr>
    </w:p>
    <w:p w14:paraId="2D83C175" w14:textId="67CC25D8" w:rsidR="00E70705" w:rsidRDefault="00425DBB" w:rsidP="00E70705">
      <w:pPr>
        <w:pStyle w:val="Heading2"/>
        <w:shd w:val="clear" w:color="auto" w:fill="FFFFFF"/>
        <w:spacing w:before="450" w:beforeAutospacing="0" w:after="150" w:afterAutospacing="0"/>
        <w:rPr>
          <w:rFonts w:ascii="Lato" w:hAnsi="Lato"/>
          <w:b w:val="0"/>
          <w:bCs w:val="0"/>
          <w:color w:val="000000"/>
          <w:sz w:val="54"/>
          <w:szCs w:val="54"/>
        </w:rPr>
      </w:pPr>
      <w:r>
        <w:rPr>
          <w:rFonts w:ascii="Lato" w:hAnsi="Lato"/>
          <w:b w:val="0"/>
          <w:bCs w:val="0"/>
          <w:color w:val="000000"/>
          <w:sz w:val="54"/>
          <w:szCs w:val="54"/>
        </w:rPr>
        <w:t xml:space="preserve">Recorded Presidential Release #542, </w:t>
      </w:r>
      <w:r w:rsidR="00E70705">
        <w:rPr>
          <w:rFonts w:ascii="Lato" w:hAnsi="Lato"/>
          <w:b w:val="0"/>
          <w:bCs w:val="0"/>
          <w:color w:val="000000"/>
          <w:sz w:val="54"/>
          <w:szCs w:val="54"/>
        </w:rPr>
        <w:t>October 2024</w:t>
      </w:r>
    </w:p>
    <w:p w14:paraId="32A16FC2" w14:textId="77777777" w:rsidR="00E70705" w:rsidRDefault="00E70705" w:rsidP="00E70705">
      <w:pPr>
        <w:numPr>
          <w:ilvl w:val="0"/>
          <w:numId w:val="3"/>
        </w:numPr>
        <w:shd w:val="clear" w:color="auto" w:fill="FFFFFF"/>
        <w:spacing w:before="100" w:beforeAutospacing="1" w:after="100" w:afterAutospacing="1" w:line="240" w:lineRule="auto"/>
        <w:rPr>
          <w:rFonts w:ascii="Lato" w:hAnsi="Lato"/>
          <w:color w:val="000000"/>
          <w:sz w:val="27"/>
          <w:szCs w:val="27"/>
        </w:rPr>
      </w:pPr>
      <w:hyperlink r:id="rId8" w:history="1">
        <w:r>
          <w:rPr>
            <w:rStyle w:val="Hyperlink"/>
            <w:rFonts w:ascii="Lato" w:hAnsi="Lato"/>
            <w:color w:val="005AA3"/>
            <w:sz w:val="27"/>
            <w:szCs w:val="27"/>
          </w:rPr>
          <w:t>Presidential Release #542, October 2024 (Audio for Chapters)</w:t>
        </w:r>
      </w:hyperlink>
    </w:p>
    <w:p w14:paraId="76493F8A" w14:textId="77777777" w:rsidR="00E70705" w:rsidRDefault="00E70705" w:rsidP="00E70705">
      <w:pPr>
        <w:numPr>
          <w:ilvl w:val="0"/>
          <w:numId w:val="3"/>
        </w:numPr>
        <w:shd w:val="clear" w:color="auto" w:fill="FFFFFF"/>
        <w:spacing w:before="100" w:beforeAutospacing="1" w:after="100" w:afterAutospacing="1" w:line="240" w:lineRule="auto"/>
        <w:rPr>
          <w:rFonts w:ascii="Lato" w:hAnsi="Lato"/>
          <w:color w:val="000000"/>
          <w:sz w:val="27"/>
          <w:szCs w:val="27"/>
        </w:rPr>
      </w:pPr>
      <w:hyperlink r:id="rId9" w:history="1">
        <w:r>
          <w:rPr>
            <w:rStyle w:val="Hyperlink"/>
            <w:rFonts w:ascii="Lato" w:hAnsi="Lato"/>
            <w:color w:val="005AA3"/>
            <w:sz w:val="27"/>
            <w:szCs w:val="27"/>
          </w:rPr>
          <w:t>Presidential Release #542, October 2024 (Chapter Transcript)</w:t>
        </w:r>
      </w:hyperlink>
    </w:p>
    <w:p w14:paraId="2DDDCDCD" w14:textId="77777777" w:rsidR="00D137E0" w:rsidRDefault="00D137E0" w:rsidP="00125F8E"/>
    <w:p w14:paraId="20AA0905" w14:textId="77777777" w:rsidR="00125F8E" w:rsidRDefault="00125F8E" w:rsidP="005F7322">
      <w:pPr>
        <w:pStyle w:val="Heading1"/>
      </w:pPr>
      <w:r>
        <w:t>Date</w:t>
      </w:r>
      <w:proofErr w:type="gramStart"/>
      <w:r>
        <w:t>:  Wednesday</w:t>
      </w:r>
      <w:proofErr w:type="gramEnd"/>
      <w:r>
        <w:t>, October 16, 2024</w:t>
      </w:r>
    </w:p>
    <w:p w14:paraId="3628DB96" w14:textId="6A0CBA90" w:rsidR="00125F8E" w:rsidRDefault="00125F8E" w:rsidP="00125F8E">
      <w:r>
        <w:t xml:space="preserve">Time:  </w:t>
      </w:r>
      <w:r w:rsidR="005F7322">
        <w:t>1</w:t>
      </w:r>
      <w:r>
        <w:t>:</w:t>
      </w:r>
      <w:r w:rsidR="005F7322">
        <w:t>45</w:t>
      </w:r>
      <w:r>
        <w:t xml:space="preserve"> PM</w:t>
      </w:r>
      <w:r w:rsidR="00452983">
        <w:t xml:space="preserve"> (</w:t>
      </w:r>
      <w:r w:rsidR="005F7322">
        <w:t xml:space="preserve">Mayor </w:t>
      </w:r>
      <w:proofErr w:type="spellStart"/>
      <w:r w:rsidR="005F7322">
        <w:t>Rreading</w:t>
      </w:r>
      <w:proofErr w:type="spellEnd"/>
      <w:r w:rsidR="005F7322">
        <w:t xml:space="preserve"> Proclamation at 2:15</w:t>
      </w:r>
      <w:proofErr w:type="gramStart"/>
      <w:r w:rsidR="005F7322">
        <w:t xml:space="preserve">;  </w:t>
      </w:r>
      <w:r w:rsidR="00452983">
        <w:t>Meeting</w:t>
      </w:r>
      <w:proofErr w:type="gramEnd"/>
      <w:r w:rsidR="00452983">
        <w:t xml:space="preserve"> begins at 2:30 PM)</w:t>
      </w:r>
    </w:p>
    <w:p w14:paraId="587CCA01" w14:textId="4E231AA9" w:rsidR="00125F8E" w:rsidRDefault="00125F8E" w:rsidP="00125F8E">
      <w:r>
        <w:lastRenderedPageBreak/>
        <w:t>Event</w:t>
      </w:r>
      <w:proofErr w:type="gramStart"/>
      <w:r>
        <w:t>:  City</w:t>
      </w:r>
      <w:proofErr w:type="gramEnd"/>
      <w:r>
        <w:t xml:space="preserve"> of Phoenix Mayor’s White Cane Awareness Day Proclamation Presentation </w:t>
      </w:r>
      <w:r w:rsidR="005F7322">
        <w:t xml:space="preserve">just prior to the </w:t>
      </w:r>
      <w:r>
        <w:t>City Council Meeting</w:t>
      </w:r>
    </w:p>
    <w:p w14:paraId="465E7143" w14:textId="77777777" w:rsidR="00125F8E" w:rsidRDefault="00125F8E" w:rsidP="00125F8E">
      <w:r>
        <w:t>Location:  City of Phoenix City Council Chambers, 200 W. Jefferson St., Phoenix, AZ 85003</w:t>
      </w:r>
    </w:p>
    <w:p w14:paraId="28F5877D" w14:textId="77777777" w:rsidR="00452983" w:rsidRDefault="00452983" w:rsidP="00125F8E"/>
    <w:p w14:paraId="302BFC92" w14:textId="56E9E6C9" w:rsidR="00125F8E" w:rsidRDefault="00125F8E" w:rsidP="00125F8E">
      <w:r>
        <w:t>Description</w:t>
      </w:r>
      <w:proofErr w:type="gramStart"/>
      <w:r>
        <w:t>:  This</w:t>
      </w:r>
      <w:proofErr w:type="gramEnd"/>
      <w:r>
        <w:t xml:space="preserve"> City of Phoenix City Council Meeting is open to the publi</w:t>
      </w:r>
      <w:r w:rsidR="005F7322">
        <w:t xml:space="preserve">c. We will be showing up as a chapter for BEAM month so our city can know who we are. Also, the Mayor will present </w:t>
      </w:r>
      <w:r>
        <w:t>a White Cane Awareness Day Proclamation</w:t>
      </w:r>
      <w:r w:rsidR="005F7322">
        <w:t xml:space="preserve"> just prior to the start of the meeting at 2:15. She will </w:t>
      </w:r>
      <w:proofErr w:type="gramStart"/>
      <w:r>
        <w:t>acknowled</w:t>
      </w:r>
      <w:r w:rsidR="005F7322">
        <w:t xml:space="preserve">ge </w:t>
      </w:r>
      <w:r>
        <w:t xml:space="preserve"> the</w:t>
      </w:r>
      <w:proofErr w:type="gramEnd"/>
      <w:r>
        <w:t xml:space="preserve"> rights of blind pedestrians to freely, safely, and independently travel the public streets with the mobility method of choice without the restrictions or penalties </w:t>
      </w:r>
      <w:proofErr w:type="gramStart"/>
      <w:r>
        <w:t>afforded</w:t>
      </w:r>
      <w:proofErr w:type="gramEnd"/>
      <w:r>
        <w:t xml:space="preserve"> the general public.  Local National Federation of the Blind members may have the opportunity to speak, during the Public Comments Agenda ite</w:t>
      </w:r>
      <w:r w:rsidR="005F7322">
        <w:t xml:space="preserve">m. Please make sure to arrive by 1:30 if you want to sign up to speak in person. You can also </w:t>
      </w:r>
      <w:proofErr w:type="gramStart"/>
      <w:r w:rsidR="005F7322">
        <w:t>sing</w:t>
      </w:r>
      <w:proofErr w:type="gramEnd"/>
      <w:r w:rsidR="005F7322">
        <w:t xml:space="preserve"> up to speak online and that link will be sent out. </w:t>
      </w:r>
      <w:r>
        <w:t xml:space="preserve">  For more information, please contact Jordan Moon at, </w:t>
      </w:r>
      <w:hyperlink r:id="rId10" w:history="1">
        <w:r w:rsidRPr="00B835EB">
          <w:rPr>
            <w:rStyle w:val="Hyperlink"/>
          </w:rPr>
          <w:t>nfbphoenixchapter@gmail.com</w:t>
        </w:r>
      </w:hyperlink>
      <w:r>
        <w:t>.</w:t>
      </w:r>
    </w:p>
    <w:p w14:paraId="25FD5E87" w14:textId="77777777" w:rsidR="00296F32" w:rsidRDefault="00296F32"/>
    <w:p w14:paraId="7BE90860" w14:textId="77777777" w:rsidR="00611686" w:rsidRDefault="00611686"/>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611686" w14:paraId="177093F7" w14:textId="77777777" w:rsidTr="00611686">
        <w:trPr>
          <w:tblCellSpacing w:w="0" w:type="dxa"/>
        </w:trPr>
        <w:tc>
          <w:tcPr>
            <w:tcW w:w="0" w:type="auto"/>
            <w:shd w:val="clear" w:color="auto" w:fill="FFFFFF"/>
            <w:vAlign w:val="center"/>
            <w:hideMark/>
          </w:tcPr>
          <w:p w14:paraId="69B31D1B" w14:textId="77777777" w:rsidR="00611686" w:rsidRDefault="00611686">
            <w:pPr>
              <w:rPr>
                <w:rFonts w:ascii="Helvetica" w:hAnsi="Helvetica" w:cs="Helvetica"/>
                <w:color w:val="1D2228"/>
                <w:sz w:val="20"/>
                <w:szCs w:val="20"/>
              </w:rPr>
            </w:pPr>
            <w:r>
              <w:rPr>
                <w:rFonts w:ascii="Helvetica" w:hAnsi="Helvetica" w:cs="Helvetica"/>
                <w:color w:val="1D2228"/>
                <w:sz w:val="20"/>
                <w:szCs w:val="20"/>
              </w:rPr>
              <w:t> </w:t>
            </w:r>
          </w:p>
        </w:tc>
      </w:tr>
      <w:tr w:rsidR="00611686" w14:paraId="45F9B50C" w14:textId="77777777" w:rsidTr="00611686">
        <w:trPr>
          <w:tblCellSpacing w:w="0" w:type="dxa"/>
        </w:trPr>
        <w:tc>
          <w:tcPr>
            <w:tcW w:w="0" w:type="auto"/>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11686" w14:paraId="7F897224" w14:textId="77777777">
              <w:trPr>
                <w:tblCellSpacing w:w="0" w:type="dxa"/>
                <w:jc w:val="center"/>
              </w:trPr>
              <w:tc>
                <w:tcPr>
                  <w:tcW w:w="0" w:type="auto"/>
                  <w:tcBorders>
                    <w:top w:val="nil"/>
                    <w:left w:val="nil"/>
                    <w:bottom w:val="nil"/>
                    <w:right w:val="nil"/>
                  </w:tcBorders>
                  <w:shd w:val="clear" w:color="auto" w:fill="FFFFFF"/>
                  <w:vAlign w:val="center"/>
                  <w:hideMark/>
                </w:tcPr>
                <w:tbl>
                  <w:tblPr>
                    <w:tblpPr w:leftFromText="45" w:rightFromText="45" w:vertAnchor="text"/>
                    <w:tblW w:w="9000" w:type="dxa"/>
                    <w:tblCellSpacing w:w="0" w:type="dxa"/>
                    <w:tblCellMar>
                      <w:left w:w="0" w:type="dxa"/>
                      <w:right w:w="0" w:type="dxa"/>
                    </w:tblCellMar>
                    <w:tblLook w:val="04A0" w:firstRow="1" w:lastRow="0" w:firstColumn="1" w:lastColumn="0" w:noHBand="0" w:noVBand="1"/>
                  </w:tblPr>
                  <w:tblGrid>
                    <w:gridCol w:w="9000"/>
                  </w:tblGrid>
                  <w:tr w:rsidR="00611686" w14:paraId="02508361" w14:textId="77777777">
                    <w:trPr>
                      <w:tblCellSpacing w:w="0" w:type="dxa"/>
                    </w:trPr>
                    <w:tc>
                      <w:tcPr>
                        <w:tcW w:w="9000" w:type="dxa"/>
                        <w:tcBorders>
                          <w:top w:val="nil"/>
                          <w:left w:val="nil"/>
                          <w:bottom w:val="nil"/>
                          <w:right w:val="nil"/>
                        </w:tcBorders>
                        <w:shd w:val="clear" w:color="auto" w:fill="0075C9"/>
                        <w:hideMark/>
                      </w:tcPr>
                      <w:tbl>
                        <w:tblPr>
                          <w:tblW w:w="0" w:type="auto"/>
                          <w:jc w:val="center"/>
                          <w:tblCellSpacing w:w="0" w:type="dxa"/>
                          <w:tblCellMar>
                            <w:left w:w="0" w:type="dxa"/>
                            <w:right w:w="0" w:type="dxa"/>
                          </w:tblCellMar>
                          <w:tblLook w:val="04A0" w:firstRow="1" w:lastRow="0" w:firstColumn="1" w:lastColumn="0" w:noHBand="0" w:noVBand="1"/>
                        </w:tblPr>
                        <w:tblGrid>
                          <w:gridCol w:w="9000"/>
                        </w:tblGrid>
                        <w:tr w:rsidR="00611686" w14:paraId="1C4663FC" w14:textId="77777777">
                          <w:trPr>
                            <w:tblCellSpacing w:w="0" w:type="dxa"/>
                            <w:jc w:val="center"/>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000"/>
                              </w:tblGrid>
                              <w:tr w:rsidR="00611686" w14:paraId="0F9FF8C3" w14:textId="77777777">
                                <w:trPr>
                                  <w:tblCellSpacing w:w="0" w:type="dxa"/>
                                </w:trPr>
                                <w:tc>
                                  <w:tcPr>
                                    <w:tcW w:w="0" w:type="auto"/>
                                    <w:tcBorders>
                                      <w:top w:val="nil"/>
                                      <w:left w:val="nil"/>
                                      <w:bottom w:val="nil"/>
                                      <w:right w:val="nil"/>
                                    </w:tcBorders>
                                    <w:shd w:val="clear" w:color="auto" w:fill="auto"/>
                                    <w:vAlign w:val="center"/>
                                    <w:hideMark/>
                                  </w:tcPr>
                                  <w:p w14:paraId="54E92792" w14:textId="7EC5AFA6" w:rsidR="00611686" w:rsidRDefault="00611686">
                                    <w:pPr>
                                      <w:rPr>
                                        <w:rFonts w:ascii="Times New Roman" w:hAnsi="Times New Roman" w:cs="Times New Roman"/>
                                        <w:sz w:val="24"/>
                                        <w:szCs w:val="24"/>
                                      </w:rPr>
                                    </w:pPr>
                                    <w:r>
                                      <w:rPr>
                                        <w:noProof/>
                                      </w:rPr>
                                      <w:drawing>
                                        <wp:inline distT="0" distB="0" distL="0" distR="0" wp14:anchorId="05CCF3D5" wp14:editId="3A4B88A3">
                                          <wp:extent cx="5715000" cy="266700"/>
                                          <wp:effectExtent l="0" t="0" r="0" b="0"/>
                                          <wp:docPr id="17355173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66700"/>
                                                  </a:xfrm>
                                                  <a:prstGeom prst="rect">
                                                    <a:avLst/>
                                                  </a:prstGeom>
                                                  <a:noFill/>
                                                  <a:ln>
                                                    <a:noFill/>
                                                  </a:ln>
                                                </pic:spPr>
                                              </pic:pic>
                                            </a:graphicData>
                                          </a:graphic>
                                        </wp:inline>
                                      </w:drawing>
                                    </w:r>
                                  </w:p>
                                </w:tc>
                              </w:tr>
                            </w:tbl>
                            <w:p w14:paraId="071719D3" w14:textId="77777777" w:rsidR="00611686" w:rsidRDefault="00611686"/>
                          </w:tc>
                        </w:tr>
                      </w:tbl>
                      <w:p w14:paraId="53767417" w14:textId="77777777" w:rsidR="00611686" w:rsidRDefault="00611686">
                        <w:pPr>
                          <w:jc w:val="center"/>
                          <w:rPr>
                            <w:sz w:val="24"/>
                            <w:szCs w:val="24"/>
                          </w:rPr>
                        </w:pPr>
                      </w:p>
                    </w:tc>
                  </w:tr>
                </w:tbl>
                <w:p w14:paraId="65CCDEBA" w14:textId="77777777" w:rsidR="00611686" w:rsidRDefault="00611686">
                  <w:pPr>
                    <w:rPr>
                      <w:sz w:val="24"/>
                      <w:szCs w:val="24"/>
                    </w:rPr>
                  </w:pPr>
                </w:p>
              </w:tc>
            </w:tr>
            <w:tr w:rsidR="00611686" w14:paraId="380DC656" w14:textId="77777777">
              <w:trPr>
                <w:tblCellSpacing w:w="0" w:type="dxa"/>
                <w:jc w:val="center"/>
              </w:trPr>
              <w:tc>
                <w:tcPr>
                  <w:tcW w:w="0" w:type="auto"/>
                  <w:tcBorders>
                    <w:top w:val="nil"/>
                    <w:left w:val="nil"/>
                    <w:bottom w:val="nil"/>
                    <w:right w:val="nil"/>
                  </w:tcBorders>
                  <w:shd w:val="clear" w:color="auto" w:fill="FFFFFF"/>
                  <w:vAlign w:val="center"/>
                  <w:hideMark/>
                </w:tcPr>
                <w:tbl>
                  <w:tblPr>
                    <w:tblpPr w:leftFromText="45" w:rightFromText="45" w:vertAnchor="text"/>
                    <w:tblW w:w="9000" w:type="dxa"/>
                    <w:tblCellSpacing w:w="0" w:type="dxa"/>
                    <w:tblCellMar>
                      <w:left w:w="0" w:type="dxa"/>
                      <w:right w:w="0" w:type="dxa"/>
                    </w:tblCellMar>
                    <w:tblLook w:val="04A0" w:firstRow="1" w:lastRow="0" w:firstColumn="1" w:lastColumn="0" w:noHBand="0" w:noVBand="1"/>
                  </w:tblPr>
                  <w:tblGrid>
                    <w:gridCol w:w="9000"/>
                  </w:tblGrid>
                  <w:tr w:rsidR="00611686" w14:paraId="06D663C4" w14:textId="77777777">
                    <w:trPr>
                      <w:tblCellSpacing w:w="0" w:type="dxa"/>
                    </w:trPr>
                    <w:tc>
                      <w:tcPr>
                        <w:tcW w:w="9000" w:type="dxa"/>
                        <w:tcBorders>
                          <w:top w:val="nil"/>
                          <w:left w:val="nil"/>
                          <w:bottom w:val="nil"/>
                          <w:right w:val="nil"/>
                        </w:tcBorders>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4200"/>
                        </w:tblGrid>
                        <w:tr w:rsidR="00611686" w14:paraId="5A5B5CCF" w14:textId="77777777">
                          <w:trPr>
                            <w:tblCellSpacing w:w="0" w:type="dxa"/>
                            <w:jc w:val="center"/>
                          </w:trPr>
                          <w:tc>
                            <w:tcPr>
                              <w:tcW w:w="0" w:type="auto"/>
                              <w:vAlign w:val="center"/>
                              <w:hideMark/>
                            </w:tcPr>
                            <w:tbl>
                              <w:tblPr>
                                <w:tblW w:w="0" w:type="auto"/>
                                <w:tblCellSpacing w:w="0" w:type="dxa"/>
                                <w:tblCellMar>
                                  <w:top w:w="300" w:type="dxa"/>
                                  <w:left w:w="300" w:type="dxa"/>
                                  <w:bottom w:w="300" w:type="dxa"/>
                                  <w:right w:w="300" w:type="dxa"/>
                                </w:tblCellMar>
                                <w:tblLook w:val="04A0" w:firstRow="1" w:lastRow="0" w:firstColumn="1" w:lastColumn="0" w:noHBand="0" w:noVBand="1"/>
                              </w:tblPr>
                              <w:tblGrid>
                                <w:gridCol w:w="4200"/>
                              </w:tblGrid>
                              <w:tr w:rsidR="00611686" w14:paraId="54ADDC5A" w14:textId="77777777">
                                <w:trPr>
                                  <w:tblCellSpacing w:w="0" w:type="dxa"/>
                                </w:trPr>
                                <w:tc>
                                  <w:tcPr>
                                    <w:tcW w:w="0" w:type="auto"/>
                                    <w:tcBorders>
                                      <w:top w:val="nil"/>
                                      <w:left w:val="nil"/>
                                      <w:bottom w:val="nil"/>
                                      <w:right w:val="nil"/>
                                    </w:tcBorders>
                                    <w:shd w:val="clear" w:color="auto" w:fill="auto"/>
                                    <w:vAlign w:val="center"/>
                                    <w:hideMark/>
                                  </w:tcPr>
                                  <w:p w14:paraId="56ECC77D" w14:textId="59071FBB" w:rsidR="00611686" w:rsidRDefault="00611686">
                                    <w:pPr>
                                      <w:rPr>
                                        <w:sz w:val="24"/>
                                        <w:szCs w:val="24"/>
                                      </w:rPr>
                                    </w:pPr>
                                    <w:r>
                                      <w:rPr>
                                        <w:noProof/>
                                        <w:color w:val="196AD4"/>
                                      </w:rPr>
                                      <w:drawing>
                                        <wp:inline distT="0" distB="0" distL="0" distR="0" wp14:anchorId="22B2DE10" wp14:editId="37E14B00">
                                          <wp:extent cx="2286000" cy="2514600"/>
                                          <wp:effectExtent l="0" t="0" r="0" b="0"/>
                                          <wp:docPr id="1599999804" name="Picture 7" descr="National Federation of the Blind logo and tagline live the life you want">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onal Federation of the Blind logo and tagline live the life you want">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2514600"/>
                                                  </a:xfrm>
                                                  <a:prstGeom prst="rect">
                                                    <a:avLst/>
                                                  </a:prstGeom>
                                                  <a:noFill/>
                                                  <a:ln>
                                                    <a:noFill/>
                                                  </a:ln>
                                                </pic:spPr>
                                              </pic:pic>
                                            </a:graphicData>
                                          </a:graphic>
                                        </wp:inline>
                                      </w:drawing>
                                    </w:r>
                                  </w:p>
                                </w:tc>
                              </w:tr>
                            </w:tbl>
                            <w:p w14:paraId="2CEB4FA6" w14:textId="77777777" w:rsidR="00611686" w:rsidRDefault="00611686"/>
                          </w:tc>
                        </w:tr>
                      </w:tbl>
                      <w:p w14:paraId="7E04524E" w14:textId="77777777" w:rsidR="00611686" w:rsidRDefault="00611686">
                        <w:pPr>
                          <w:jc w:val="center"/>
                          <w:rPr>
                            <w:sz w:val="24"/>
                            <w:szCs w:val="24"/>
                          </w:rPr>
                        </w:pPr>
                      </w:p>
                    </w:tc>
                  </w:tr>
                </w:tbl>
                <w:p w14:paraId="69BDF931" w14:textId="77777777" w:rsidR="00611686" w:rsidRDefault="00611686">
                  <w:pPr>
                    <w:rPr>
                      <w:sz w:val="24"/>
                      <w:szCs w:val="24"/>
                    </w:rPr>
                  </w:pPr>
                </w:p>
              </w:tc>
            </w:tr>
            <w:tr w:rsidR="00611686" w14:paraId="60F6A823" w14:textId="77777777">
              <w:trPr>
                <w:tblCellSpacing w:w="0" w:type="dxa"/>
                <w:jc w:val="center"/>
              </w:trPr>
              <w:tc>
                <w:tcPr>
                  <w:tcW w:w="0" w:type="auto"/>
                  <w:tcBorders>
                    <w:top w:val="nil"/>
                    <w:left w:val="nil"/>
                    <w:bottom w:val="nil"/>
                    <w:right w:val="nil"/>
                  </w:tcBorders>
                  <w:shd w:val="clear" w:color="auto" w:fill="FFFFFF"/>
                  <w:vAlign w:val="center"/>
                  <w:hideMark/>
                </w:tcPr>
                <w:tbl>
                  <w:tblPr>
                    <w:tblpPr w:leftFromText="45" w:rightFromText="45" w:vertAnchor="text"/>
                    <w:tblW w:w="9000" w:type="dxa"/>
                    <w:tblCellSpacing w:w="0" w:type="dxa"/>
                    <w:tblCellMar>
                      <w:left w:w="0" w:type="dxa"/>
                      <w:right w:w="0" w:type="dxa"/>
                    </w:tblCellMar>
                    <w:tblLook w:val="04A0" w:firstRow="1" w:lastRow="0" w:firstColumn="1" w:lastColumn="0" w:noHBand="0" w:noVBand="1"/>
                  </w:tblPr>
                  <w:tblGrid>
                    <w:gridCol w:w="9000"/>
                  </w:tblGrid>
                  <w:tr w:rsidR="00611686" w14:paraId="1CFF65EF" w14:textId="77777777">
                    <w:trPr>
                      <w:tblCellSpacing w:w="0" w:type="dxa"/>
                    </w:trPr>
                    <w:tc>
                      <w:tcPr>
                        <w:tcW w:w="9000" w:type="dxa"/>
                        <w:tcBorders>
                          <w:top w:val="nil"/>
                          <w:left w:val="nil"/>
                          <w:bottom w:val="nil"/>
                          <w:right w:val="nil"/>
                        </w:tcBorders>
                        <w:shd w:val="clear" w:color="auto" w:fill="FFFFFF"/>
                        <w:hideMark/>
                      </w:tcPr>
                      <w:p w14:paraId="037E9C8D" w14:textId="77777777" w:rsidR="00611686" w:rsidRDefault="00611686">
                        <w:pPr>
                          <w:pStyle w:val="Heading1"/>
                        </w:pPr>
                        <w:r>
                          <w:rPr>
                            <w:rFonts w:ascii="Calibri" w:hAnsi="Calibri" w:cs="Calibri"/>
                          </w:rPr>
                          <w:t>Invest in Dignity. Maximize Your Impact.</w:t>
                        </w:r>
                      </w:p>
                      <w:p w14:paraId="2B486F64" w14:textId="77777777" w:rsidR="00611686" w:rsidRDefault="00611686">
                        <w:pPr>
                          <w:pStyle w:val="NormalWeb"/>
                        </w:pPr>
                        <w:r>
                          <w:rPr>
                            <w:rFonts w:ascii="Calibri" w:hAnsi="Calibri" w:cs="Calibri"/>
                            <w:color w:val="000000"/>
                            <w:sz w:val="28"/>
                            <w:szCs w:val="28"/>
                          </w:rPr>
                          <w:t xml:space="preserve">The National Federation of the Blind celebrates dignity, freedom, and independence on White Cane Awareness Day each October 15. This year, your contributions to our mission to advance the lives of blind people will be </w:t>
                        </w:r>
                        <w:r>
                          <w:rPr>
                            <w:rFonts w:ascii="Calibri" w:hAnsi="Calibri" w:cs="Calibri"/>
                            <w:color w:val="000000"/>
                            <w:sz w:val="28"/>
                            <w:szCs w:val="28"/>
                          </w:rPr>
                          <w:lastRenderedPageBreak/>
                          <w:t>doubled, thanks to a </w:t>
                        </w:r>
                        <w:hyperlink r:id="rId14" w:tgtFrame="_blank" w:history="1">
                          <w:r>
                            <w:rPr>
                              <w:rStyle w:val="Hyperlink"/>
                              <w:rFonts w:ascii="Calibri" w:hAnsi="Calibri" w:cs="Calibri"/>
                              <w:color w:val="196AD4"/>
                              <w:sz w:val="28"/>
                              <w:szCs w:val="28"/>
                            </w:rPr>
                            <w:t xml:space="preserve">matching gift opportunity from </w:t>
                          </w:r>
                          <w:proofErr w:type="spellStart"/>
                          <w:r>
                            <w:rPr>
                              <w:rStyle w:val="Hyperlink"/>
                              <w:rFonts w:ascii="Calibri" w:hAnsi="Calibri" w:cs="Calibri"/>
                              <w:color w:val="196AD4"/>
                              <w:sz w:val="28"/>
                              <w:szCs w:val="28"/>
                            </w:rPr>
                            <w:t>HumanWare</w:t>
                          </w:r>
                          <w:proofErr w:type="spellEnd"/>
                          <w:r>
                            <w:rPr>
                              <w:rStyle w:val="Hyperlink"/>
                              <w:rFonts w:ascii="Calibri" w:hAnsi="Calibri" w:cs="Calibri"/>
                              <w:color w:val="196AD4"/>
                              <w:sz w:val="28"/>
                              <w:szCs w:val="28"/>
                            </w:rPr>
                            <w:t xml:space="preserve"> and anonymous donors</w:t>
                          </w:r>
                        </w:hyperlink>
                        <w:r>
                          <w:rPr>
                            <w:rFonts w:ascii="Calibri" w:hAnsi="Calibri" w:cs="Calibri"/>
                            <w:color w:val="000000"/>
                            <w:sz w:val="28"/>
                            <w:szCs w:val="28"/>
                          </w:rPr>
                          <w:t>.</w:t>
                        </w:r>
                      </w:p>
                      <w:p w14:paraId="14E62294" w14:textId="77777777" w:rsidR="00611686" w:rsidRDefault="00611686">
                        <w:pPr>
                          <w:pStyle w:val="NormalWeb"/>
                        </w:pPr>
                        <w:hyperlink r:id="rId15" w:tgtFrame="_blank" w:history="1">
                          <w:r>
                            <w:rPr>
                              <w:rStyle w:val="Hyperlink"/>
                              <w:rFonts w:ascii="Calibri" w:hAnsi="Calibri" w:cs="Calibri"/>
                              <w:b/>
                              <w:bCs/>
                              <w:color w:val="196AD4"/>
                              <w:sz w:val="28"/>
                              <w:szCs w:val="28"/>
                            </w:rPr>
                            <w:t>Give today and double your investment</w:t>
                          </w:r>
                        </w:hyperlink>
                        <w:r>
                          <w:rPr>
                            <w:rStyle w:val="Strong"/>
                            <w:rFonts w:ascii="Calibri" w:hAnsi="Calibri" w:cs="Calibri"/>
                            <w:color w:val="000000"/>
                            <w:sz w:val="28"/>
                            <w:szCs w:val="28"/>
                          </w:rPr>
                          <w:t>!</w:t>
                        </w:r>
                      </w:p>
                      <w:p w14:paraId="5BC933AC" w14:textId="77777777" w:rsidR="00611686" w:rsidRDefault="00611686">
                        <w:pPr>
                          <w:pStyle w:val="Heading2"/>
                        </w:pPr>
                        <w:r>
                          <w:rPr>
                            <w:rFonts w:ascii="Calibri" w:hAnsi="Calibri" w:cs="Calibri"/>
                            <w:color w:val="000000"/>
                            <w:sz w:val="40"/>
                            <w:szCs w:val="40"/>
                          </w:rPr>
                          <w:t>The Long White Cane—An Essential Tool of Freedom for the Blind</w:t>
                        </w:r>
                      </w:p>
                      <w:p w14:paraId="50D03842" w14:textId="77777777" w:rsidR="00611686" w:rsidRDefault="00611686">
                        <w:pPr>
                          <w:pStyle w:val="NormalWeb"/>
                        </w:pPr>
                        <w:r>
                          <w:rPr>
                            <w:rFonts w:ascii="Calibri" w:hAnsi="Calibri" w:cs="Calibri"/>
                            <w:color w:val="000000"/>
                            <w:sz w:val="28"/>
                            <w:szCs w:val="28"/>
                          </w:rPr>
                          <w:t>The long white cane helps blind people navigate confidently and independently through their communities. Independent travel, be it across the street or across the globe, is one ingredient in a life of dignity and equality for blind people. Gary shared:</w:t>
                        </w:r>
                      </w:p>
                      <w:p w14:paraId="5F0B0F98" w14:textId="77777777" w:rsidR="00611686" w:rsidRDefault="00611686" w:rsidP="00611686">
                        <w:pPr>
                          <w:pStyle w:val="NormalWeb"/>
                        </w:pPr>
                        <w:r>
                          <w:rPr>
                            <w:rFonts w:ascii="Calibri" w:hAnsi="Calibri" w:cs="Calibri"/>
                            <w:color w:val="000000"/>
                            <w:sz w:val="28"/>
                            <w:szCs w:val="28"/>
                          </w:rPr>
                          <w:t>“I was reluctant to be introduced to the white cane because I thought it would make me look blind, but of course I am blind. It took a long time for my family and me to understand the independence that came through being able to travel when and where I want and mostly without the assistance of anyone. It is amazing that something as simple as a stick can be so liberating.”</w:t>
                        </w:r>
                      </w:p>
                      <w:p w14:paraId="46622F55" w14:textId="77777777" w:rsidR="00611686" w:rsidRDefault="00611686">
                        <w:pPr>
                          <w:pStyle w:val="NormalWeb"/>
                        </w:pPr>
                        <w:r>
                          <w:rPr>
                            <w:rFonts w:ascii="Calibri" w:hAnsi="Calibri" w:cs="Calibri"/>
                            <w:color w:val="000000"/>
                            <w:sz w:val="28"/>
                            <w:szCs w:val="28"/>
                          </w:rPr>
                          <w:t xml:space="preserve">Thank you to </w:t>
                        </w:r>
                        <w:proofErr w:type="spellStart"/>
                        <w:r>
                          <w:rPr>
                            <w:rFonts w:ascii="Calibri" w:hAnsi="Calibri" w:cs="Calibri"/>
                            <w:color w:val="000000"/>
                            <w:sz w:val="28"/>
                            <w:szCs w:val="28"/>
                          </w:rPr>
                          <w:t>HumanWare</w:t>
                        </w:r>
                        <w:proofErr w:type="spellEnd"/>
                        <w:r>
                          <w:rPr>
                            <w:rFonts w:ascii="Calibri" w:hAnsi="Calibri" w:cs="Calibri"/>
                            <w:color w:val="000000"/>
                            <w:sz w:val="28"/>
                            <w:szCs w:val="28"/>
                          </w:rPr>
                          <w:t xml:space="preserve"> and anonymous donors for providing matching gifts up to </w:t>
                        </w:r>
                        <w:proofErr w:type="gramStart"/>
                        <w:r>
                          <w:rPr>
                            <w:rFonts w:ascii="Calibri" w:hAnsi="Calibri" w:cs="Calibri"/>
                            <w:color w:val="000000"/>
                            <w:sz w:val="28"/>
                            <w:szCs w:val="28"/>
                          </w:rPr>
                          <w:t>$100,000, and</w:t>
                        </w:r>
                        <w:proofErr w:type="gramEnd"/>
                        <w:r>
                          <w:rPr>
                            <w:rFonts w:ascii="Calibri" w:hAnsi="Calibri" w:cs="Calibri"/>
                            <w:color w:val="000000"/>
                            <w:sz w:val="28"/>
                            <w:szCs w:val="28"/>
                          </w:rPr>
                          <w:t xml:space="preserve"> thank you for your support. Because of people like you, we’re able to advance the lives of blind people with dignity, respect, and independence.</w:t>
                        </w:r>
                      </w:p>
                      <w:p w14:paraId="3FBEA60C" w14:textId="77777777" w:rsidR="00611686" w:rsidRDefault="00611686">
                        <w:pPr>
                          <w:pStyle w:val="Heading2"/>
                        </w:pPr>
                        <w:r>
                          <w:rPr>
                            <w:rFonts w:ascii="Calibri" w:hAnsi="Calibri" w:cs="Calibri"/>
                            <w:sz w:val="40"/>
                            <w:szCs w:val="40"/>
                          </w:rPr>
                          <w:t>Three Ways to Give and Double Your Dollars:</w:t>
                        </w:r>
                      </w:p>
                      <w:p w14:paraId="0FF4EFDB" w14:textId="77777777" w:rsidR="00611686" w:rsidRDefault="00611686" w:rsidP="00611686">
                        <w:pPr>
                          <w:numPr>
                            <w:ilvl w:val="0"/>
                            <w:numId w:val="2"/>
                          </w:numPr>
                          <w:spacing w:before="100" w:beforeAutospacing="1" w:after="100" w:afterAutospacing="1" w:line="240" w:lineRule="auto"/>
                        </w:pPr>
                        <w:r>
                          <w:rPr>
                            <w:rFonts w:ascii="Calibri" w:hAnsi="Calibri" w:cs="Calibri"/>
                            <w:color w:val="000000"/>
                            <w:sz w:val="28"/>
                            <w:szCs w:val="28"/>
                          </w:rPr>
                          <w:t>Give online at </w:t>
                        </w:r>
                        <w:hyperlink r:id="rId16" w:tgtFrame="_blank" w:history="1">
                          <w:r>
                            <w:rPr>
                              <w:rStyle w:val="Hyperlink"/>
                              <w:rFonts w:ascii="Calibri" w:hAnsi="Calibri" w:cs="Calibri"/>
                              <w:color w:val="196AD4"/>
                              <w:sz w:val="28"/>
                              <w:szCs w:val="28"/>
                            </w:rPr>
                            <w:t>nfb.org/donate </w:t>
                          </w:r>
                        </w:hyperlink>
                      </w:p>
                      <w:p w14:paraId="42A261B3" w14:textId="77777777" w:rsidR="00611686" w:rsidRDefault="00611686" w:rsidP="00611686">
                        <w:pPr>
                          <w:numPr>
                            <w:ilvl w:val="0"/>
                            <w:numId w:val="2"/>
                          </w:numPr>
                          <w:spacing w:before="100" w:beforeAutospacing="1" w:after="100" w:afterAutospacing="1" w:line="240" w:lineRule="auto"/>
                        </w:pPr>
                        <w:r>
                          <w:rPr>
                            <w:rFonts w:ascii="Calibri" w:hAnsi="Calibri" w:cs="Calibri"/>
                            <w:color w:val="000000"/>
                            <w:sz w:val="28"/>
                            <w:szCs w:val="28"/>
                          </w:rPr>
                          <w:t>Mail a check to National Federation of the Blind, 200 East Wells Street, Baltimore, MD 21230 </w:t>
                        </w:r>
                      </w:p>
                      <w:p w14:paraId="6A8AF242" w14:textId="77777777" w:rsidR="00611686" w:rsidRDefault="00611686" w:rsidP="00611686">
                        <w:pPr>
                          <w:numPr>
                            <w:ilvl w:val="0"/>
                            <w:numId w:val="2"/>
                          </w:numPr>
                          <w:spacing w:before="100" w:beforeAutospacing="1" w:after="100" w:afterAutospacing="1" w:line="240" w:lineRule="auto"/>
                        </w:pPr>
                        <w:r>
                          <w:rPr>
                            <w:rFonts w:ascii="Calibri" w:hAnsi="Calibri" w:cs="Calibri"/>
                            <w:color w:val="000000"/>
                            <w:sz w:val="28"/>
                            <w:szCs w:val="28"/>
                          </w:rPr>
                          <w:t>Contribute by phone using a credit card by calling 410-659-9314, extension 2430</w:t>
                        </w:r>
                      </w:p>
                      <w:p w14:paraId="6F7CACD5" w14:textId="77777777" w:rsidR="00611686" w:rsidRDefault="00611686">
                        <w:pPr>
                          <w:pStyle w:val="NormalWeb"/>
                        </w:pPr>
                        <w:r>
                          <w:rPr>
                            <w:rStyle w:val="Strong"/>
                            <w:rFonts w:ascii="Calibri" w:hAnsi="Calibri" w:cs="Calibri"/>
                            <w:color w:val="000000"/>
                            <w:sz w:val="28"/>
                            <w:szCs w:val="28"/>
                          </w:rPr>
                          <w:t>Thank you for your support!</w:t>
                        </w:r>
                      </w:p>
                    </w:tc>
                  </w:tr>
                </w:tbl>
                <w:p w14:paraId="0CF653B9" w14:textId="77777777" w:rsidR="00611686" w:rsidRDefault="00611686"/>
              </w:tc>
            </w:tr>
            <w:tr w:rsidR="00611686" w14:paraId="361EA06E" w14:textId="77777777">
              <w:trPr>
                <w:tblCellSpacing w:w="0" w:type="dxa"/>
                <w:jc w:val="center"/>
              </w:trPr>
              <w:tc>
                <w:tcPr>
                  <w:tcW w:w="0" w:type="auto"/>
                  <w:vAlign w:val="center"/>
                  <w:hideMark/>
                </w:tcPr>
                <w:p w14:paraId="719D2EF0" w14:textId="77777777" w:rsidR="00611686" w:rsidRDefault="00611686">
                  <w:pPr>
                    <w:rPr>
                      <w:sz w:val="24"/>
                      <w:szCs w:val="24"/>
                    </w:rPr>
                  </w:pPr>
                  <w:r>
                    <w:lastRenderedPageBreak/>
                    <w:t> </w:t>
                  </w:r>
                </w:p>
              </w:tc>
            </w:tr>
          </w:tbl>
          <w:p w14:paraId="4FFD5D86" w14:textId="77777777" w:rsidR="00611686" w:rsidRDefault="00611686">
            <w:pPr>
              <w:rPr>
                <w:rFonts w:ascii="Helvetica" w:hAnsi="Helvetica" w:cs="Helvetica"/>
                <w:color w:val="1D2228"/>
                <w:sz w:val="20"/>
                <w:szCs w:val="20"/>
              </w:rPr>
            </w:pPr>
          </w:p>
        </w:tc>
      </w:tr>
    </w:tbl>
    <w:p w14:paraId="17A35F42" w14:textId="77777777" w:rsidR="00611686" w:rsidRDefault="00611686" w:rsidP="00611686">
      <w:pPr>
        <w:rPr>
          <w:vanish/>
        </w:rPr>
      </w:pPr>
    </w:p>
    <w:tbl>
      <w:tblPr>
        <w:tblW w:w="9000" w:type="dxa"/>
        <w:jc w:val="center"/>
        <w:tblCellSpacing w:w="0" w:type="dxa"/>
        <w:shd w:val="clear" w:color="auto" w:fill="002F6D"/>
        <w:tblCellMar>
          <w:left w:w="0" w:type="dxa"/>
          <w:right w:w="0" w:type="dxa"/>
        </w:tblCellMar>
        <w:tblLook w:val="04A0" w:firstRow="1" w:lastRow="0" w:firstColumn="1" w:lastColumn="0" w:noHBand="0" w:noVBand="1"/>
      </w:tblPr>
      <w:tblGrid>
        <w:gridCol w:w="2025"/>
        <w:gridCol w:w="825"/>
        <w:gridCol w:w="825"/>
        <w:gridCol w:w="825"/>
        <w:gridCol w:w="825"/>
        <w:gridCol w:w="825"/>
        <w:gridCol w:w="825"/>
        <w:gridCol w:w="2025"/>
      </w:tblGrid>
      <w:tr w:rsidR="00611686" w14:paraId="10B1167E" w14:textId="77777777" w:rsidTr="00611686">
        <w:trPr>
          <w:tblCellSpacing w:w="0" w:type="dxa"/>
          <w:jc w:val="center"/>
        </w:trPr>
        <w:tc>
          <w:tcPr>
            <w:tcW w:w="2025" w:type="dxa"/>
            <w:shd w:val="clear" w:color="auto" w:fill="002F6D"/>
            <w:vAlign w:val="center"/>
            <w:hideMark/>
          </w:tcPr>
          <w:p w14:paraId="718A2EE8" w14:textId="77777777" w:rsidR="00611686" w:rsidRDefault="00611686">
            <w:pPr>
              <w:rPr>
                <w:sz w:val="24"/>
                <w:szCs w:val="24"/>
              </w:rPr>
            </w:pPr>
          </w:p>
        </w:tc>
        <w:tc>
          <w:tcPr>
            <w:tcW w:w="825" w:type="dxa"/>
            <w:tcBorders>
              <w:top w:val="nil"/>
              <w:left w:val="nil"/>
              <w:bottom w:val="nil"/>
              <w:right w:val="nil"/>
            </w:tcBorders>
            <w:shd w:val="clear" w:color="auto" w:fill="002F6D"/>
            <w:vAlign w:val="center"/>
            <w:hideMark/>
          </w:tcPr>
          <w:p w14:paraId="5D366281" w14:textId="46C3F32A" w:rsidR="00611686" w:rsidRDefault="00611686">
            <w:pPr>
              <w:rPr>
                <w:rFonts w:ascii="Helvetica" w:hAnsi="Helvetica" w:cs="Helvetica"/>
                <w:color w:val="1D2228"/>
                <w:sz w:val="20"/>
                <w:szCs w:val="20"/>
              </w:rPr>
            </w:pPr>
            <w:r>
              <w:rPr>
                <w:rFonts w:ascii="Helvetica" w:hAnsi="Helvetica" w:cs="Helvetica"/>
                <w:noProof/>
                <w:color w:val="196AD4"/>
                <w:sz w:val="20"/>
                <w:szCs w:val="20"/>
              </w:rPr>
              <w:drawing>
                <wp:inline distT="0" distB="0" distL="0" distR="0" wp14:anchorId="42FDE1AE" wp14:editId="7B88B63B">
                  <wp:extent cx="480060" cy="335280"/>
                  <wp:effectExtent l="0" t="0" r="0" b="7620"/>
                  <wp:docPr id="654506942" name="Picture 6" descr="Facebook Logo">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Logo">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0060" cy="335280"/>
                          </a:xfrm>
                          <a:prstGeom prst="rect">
                            <a:avLst/>
                          </a:prstGeom>
                          <a:noFill/>
                          <a:ln>
                            <a:noFill/>
                          </a:ln>
                        </pic:spPr>
                      </pic:pic>
                    </a:graphicData>
                  </a:graphic>
                </wp:inline>
              </w:drawing>
            </w:r>
          </w:p>
        </w:tc>
        <w:tc>
          <w:tcPr>
            <w:tcW w:w="825" w:type="dxa"/>
            <w:tcBorders>
              <w:top w:val="nil"/>
              <w:left w:val="nil"/>
              <w:bottom w:val="nil"/>
              <w:right w:val="nil"/>
            </w:tcBorders>
            <w:shd w:val="clear" w:color="auto" w:fill="002F6D"/>
            <w:vAlign w:val="center"/>
            <w:hideMark/>
          </w:tcPr>
          <w:p w14:paraId="0A6DE22E" w14:textId="35B22654" w:rsidR="00611686" w:rsidRDefault="00611686">
            <w:pPr>
              <w:rPr>
                <w:rFonts w:ascii="Helvetica" w:hAnsi="Helvetica" w:cs="Helvetica"/>
                <w:color w:val="1D2228"/>
                <w:sz w:val="20"/>
                <w:szCs w:val="20"/>
              </w:rPr>
            </w:pPr>
            <w:r>
              <w:rPr>
                <w:rFonts w:ascii="Helvetica" w:hAnsi="Helvetica" w:cs="Helvetica"/>
                <w:noProof/>
                <w:color w:val="196AD4"/>
                <w:sz w:val="20"/>
                <w:szCs w:val="20"/>
              </w:rPr>
              <w:drawing>
                <wp:inline distT="0" distB="0" distL="0" distR="0" wp14:anchorId="20C7B032" wp14:editId="1614C40F">
                  <wp:extent cx="480060" cy="335280"/>
                  <wp:effectExtent l="0" t="0" r="0" b="7620"/>
                  <wp:docPr id="1728230355" name="Picture 5" descr="Twitter Logo">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Logo">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0060" cy="335280"/>
                          </a:xfrm>
                          <a:prstGeom prst="rect">
                            <a:avLst/>
                          </a:prstGeom>
                          <a:noFill/>
                          <a:ln>
                            <a:noFill/>
                          </a:ln>
                        </pic:spPr>
                      </pic:pic>
                    </a:graphicData>
                  </a:graphic>
                </wp:inline>
              </w:drawing>
            </w:r>
          </w:p>
        </w:tc>
        <w:tc>
          <w:tcPr>
            <w:tcW w:w="825" w:type="dxa"/>
            <w:tcBorders>
              <w:top w:val="nil"/>
              <w:left w:val="nil"/>
              <w:bottom w:val="nil"/>
              <w:right w:val="nil"/>
            </w:tcBorders>
            <w:shd w:val="clear" w:color="auto" w:fill="002F6D"/>
            <w:vAlign w:val="center"/>
            <w:hideMark/>
          </w:tcPr>
          <w:p w14:paraId="348AC718" w14:textId="02FFC08A" w:rsidR="00611686" w:rsidRDefault="00611686">
            <w:pPr>
              <w:rPr>
                <w:rFonts w:ascii="Helvetica" w:hAnsi="Helvetica" w:cs="Helvetica"/>
                <w:color w:val="1D2228"/>
                <w:sz w:val="20"/>
                <w:szCs w:val="20"/>
              </w:rPr>
            </w:pPr>
            <w:r>
              <w:rPr>
                <w:rFonts w:ascii="Helvetica" w:hAnsi="Helvetica" w:cs="Helvetica"/>
                <w:noProof/>
                <w:color w:val="196AD4"/>
                <w:sz w:val="20"/>
                <w:szCs w:val="20"/>
              </w:rPr>
              <w:drawing>
                <wp:inline distT="0" distB="0" distL="0" distR="0" wp14:anchorId="27BF3BCB" wp14:editId="1C79AD72">
                  <wp:extent cx="480060" cy="335280"/>
                  <wp:effectExtent l="0" t="0" r="0" b="7620"/>
                  <wp:docPr id="952062779" name="Picture 4" descr="Instagram Logo">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 Logo">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0060" cy="335280"/>
                          </a:xfrm>
                          <a:prstGeom prst="rect">
                            <a:avLst/>
                          </a:prstGeom>
                          <a:noFill/>
                          <a:ln>
                            <a:noFill/>
                          </a:ln>
                        </pic:spPr>
                      </pic:pic>
                    </a:graphicData>
                  </a:graphic>
                </wp:inline>
              </w:drawing>
            </w:r>
          </w:p>
        </w:tc>
        <w:tc>
          <w:tcPr>
            <w:tcW w:w="825" w:type="dxa"/>
            <w:tcBorders>
              <w:top w:val="nil"/>
              <w:left w:val="nil"/>
              <w:bottom w:val="nil"/>
              <w:right w:val="nil"/>
            </w:tcBorders>
            <w:shd w:val="clear" w:color="auto" w:fill="002F6D"/>
            <w:vAlign w:val="center"/>
            <w:hideMark/>
          </w:tcPr>
          <w:p w14:paraId="4B04A907" w14:textId="32881990" w:rsidR="00611686" w:rsidRDefault="00611686">
            <w:pPr>
              <w:rPr>
                <w:rFonts w:ascii="Helvetica" w:hAnsi="Helvetica" w:cs="Helvetica"/>
                <w:color w:val="1D2228"/>
                <w:sz w:val="20"/>
                <w:szCs w:val="20"/>
              </w:rPr>
            </w:pPr>
            <w:r>
              <w:rPr>
                <w:rFonts w:ascii="Helvetica" w:hAnsi="Helvetica" w:cs="Helvetica"/>
                <w:noProof/>
                <w:color w:val="196AD4"/>
                <w:sz w:val="20"/>
                <w:szCs w:val="20"/>
              </w:rPr>
              <w:drawing>
                <wp:inline distT="0" distB="0" distL="0" distR="0" wp14:anchorId="6E65951D" wp14:editId="24C8483D">
                  <wp:extent cx="487680" cy="335280"/>
                  <wp:effectExtent l="0" t="0" r="0" b="7620"/>
                  <wp:docPr id="98974791" name="Picture 3" descr="YouTube Logo">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ube Logo">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7680" cy="335280"/>
                          </a:xfrm>
                          <a:prstGeom prst="rect">
                            <a:avLst/>
                          </a:prstGeom>
                          <a:noFill/>
                          <a:ln>
                            <a:noFill/>
                          </a:ln>
                        </pic:spPr>
                      </pic:pic>
                    </a:graphicData>
                  </a:graphic>
                </wp:inline>
              </w:drawing>
            </w:r>
          </w:p>
        </w:tc>
        <w:tc>
          <w:tcPr>
            <w:tcW w:w="825" w:type="dxa"/>
            <w:tcBorders>
              <w:top w:val="nil"/>
              <w:left w:val="nil"/>
              <w:bottom w:val="nil"/>
              <w:right w:val="nil"/>
            </w:tcBorders>
            <w:shd w:val="clear" w:color="auto" w:fill="002F6D"/>
            <w:vAlign w:val="center"/>
            <w:hideMark/>
          </w:tcPr>
          <w:p w14:paraId="0CD54C0F" w14:textId="104F0CEE" w:rsidR="00611686" w:rsidRDefault="00611686">
            <w:pPr>
              <w:rPr>
                <w:rFonts w:ascii="Helvetica" w:hAnsi="Helvetica" w:cs="Helvetica"/>
                <w:color w:val="1D2228"/>
                <w:sz w:val="20"/>
                <w:szCs w:val="20"/>
              </w:rPr>
            </w:pPr>
            <w:r>
              <w:rPr>
                <w:rFonts w:ascii="Helvetica" w:hAnsi="Helvetica" w:cs="Helvetica"/>
                <w:noProof/>
                <w:color w:val="196AD4"/>
                <w:sz w:val="20"/>
                <w:szCs w:val="20"/>
              </w:rPr>
              <w:drawing>
                <wp:inline distT="0" distB="0" distL="0" distR="0" wp14:anchorId="4A16667B" wp14:editId="4A7F4A37">
                  <wp:extent cx="480060" cy="335280"/>
                  <wp:effectExtent l="0" t="0" r="0" b="7620"/>
                  <wp:docPr id="1727289546" name="Picture 2" descr="Email Icon Image">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ail Icon Image">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0060" cy="335280"/>
                          </a:xfrm>
                          <a:prstGeom prst="rect">
                            <a:avLst/>
                          </a:prstGeom>
                          <a:noFill/>
                          <a:ln>
                            <a:noFill/>
                          </a:ln>
                        </pic:spPr>
                      </pic:pic>
                    </a:graphicData>
                  </a:graphic>
                </wp:inline>
              </w:drawing>
            </w:r>
          </w:p>
        </w:tc>
        <w:tc>
          <w:tcPr>
            <w:tcW w:w="825" w:type="dxa"/>
            <w:tcBorders>
              <w:top w:val="nil"/>
              <w:left w:val="nil"/>
              <w:bottom w:val="nil"/>
              <w:right w:val="nil"/>
            </w:tcBorders>
            <w:shd w:val="clear" w:color="auto" w:fill="002F6D"/>
            <w:vAlign w:val="center"/>
            <w:hideMark/>
          </w:tcPr>
          <w:p w14:paraId="6DD39F1B" w14:textId="1F39C20A" w:rsidR="00611686" w:rsidRDefault="00611686">
            <w:pPr>
              <w:rPr>
                <w:rFonts w:ascii="Helvetica" w:hAnsi="Helvetica" w:cs="Helvetica"/>
                <w:color w:val="1D2228"/>
                <w:sz w:val="20"/>
                <w:szCs w:val="20"/>
              </w:rPr>
            </w:pPr>
            <w:r>
              <w:rPr>
                <w:rFonts w:ascii="Helvetica" w:hAnsi="Helvetica" w:cs="Helvetica"/>
                <w:noProof/>
                <w:color w:val="196AD4"/>
                <w:sz w:val="20"/>
                <w:szCs w:val="20"/>
              </w:rPr>
              <w:drawing>
                <wp:inline distT="0" distB="0" distL="0" distR="0" wp14:anchorId="58665AB8" wp14:editId="126DF417">
                  <wp:extent cx="480060" cy="335280"/>
                  <wp:effectExtent l="0" t="0" r="0" b="7620"/>
                  <wp:docPr id="791584565" name="Picture 1" descr="Donate to the NFB Icon.">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nate to the NFB Icon.">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0060" cy="335280"/>
                          </a:xfrm>
                          <a:prstGeom prst="rect">
                            <a:avLst/>
                          </a:prstGeom>
                          <a:noFill/>
                          <a:ln>
                            <a:noFill/>
                          </a:ln>
                        </pic:spPr>
                      </pic:pic>
                    </a:graphicData>
                  </a:graphic>
                </wp:inline>
              </w:drawing>
            </w:r>
          </w:p>
        </w:tc>
        <w:tc>
          <w:tcPr>
            <w:tcW w:w="2025" w:type="dxa"/>
            <w:shd w:val="clear" w:color="auto" w:fill="002F6D"/>
            <w:vAlign w:val="center"/>
            <w:hideMark/>
          </w:tcPr>
          <w:p w14:paraId="6A8BCFD5" w14:textId="77777777" w:rsidR="00611686" w:rsidRDefault="00611686">
            <w:pPr>
              <w:rPr>
                <w:rFonts w:ascii="Helvetica" w:hAnsi="Helvetica" w:cs="Helvetica"/>
                <w:color w:val="1D2228"/>
                <w:sz w:val="20"/>
                <w:szCs w:val="20"/>
              </w:rPr>
            </w:pPr>
          </w:p>
        </w:tc>
      </w:tr>
      <w:tr w:rsidR="00611686" w14:paraId="68EFE4AB" w14:textId="77777777" w:rsidTr="00611686">
        <w:trPr>
          <w:tblCellSpacing w:w="0" w:type="dxa"/>
          <w:jc w:val="center"/>
        </w:trPr>
        <w:tc>
          <w:tcPr>
            <w:tcW w:w="0" w:type="auto"/>
            <w:gridSpan w:val="8"/>
            <w:shd w:val="clear" w:color="auto" w:fill="002F6D"/>
            <w:vAlign w:val="center"/>
            <w:hideMark/>
          </w:tcPr>
          <w:p w14:paraId="74B899C4" w14:textId="77777777" w:rsidR="00611686" w:rsidRDefault="00611686">
            <w:pPr>
              <w:jc w:val="center"/>
              <w:rPr>
                <w:rFonts w:ascii="Arial" w:hAnsi="Arial" w:cs="Arial"/>
                <w:b/>
                <w:bCs/>
                <w:color w:val="FFFFFF"/>
                <w:sz w:val="18"/>
                <w:szCs w:val="18"/>
              </w:rPr>
            </w:pPr>
            <w:r>
              <w:rPr>
                <w:rFonts w:ascii="Arial" w:hAnsi="Arial" w:cs="Arial"/>
                <w:b/>
                <w:bCs/>
                <w:color w:val="FFFFFF"/>
                <w:sz w:val="18"/>
                <w:szCs w:val="18"/>
              </w:rPr>
              <w:t>National Federation of the Blind | 200 E Wells Street | Baltimore, MD 21230 | 410-659-9314</w:t>
            </w:r>
          </w:p>
        </w:tc>
      </w:tr>
      <w:bookmarkEnd w:id="0"/>
    </w:tbl>
    <w:p w14:paraId="0022A671" w14:textId="77777777" w:rsidR="00611686" w:rsidRDefault="00611686"/>
    <w:sectPr w:rsidR="00611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9699D"/>
    <w:multiLevelType w:val="hybridMultilevel"/>
    <w:tmpl w:val="4B9895D2"/>
    <w:lvl w:ilvl="0" w:tplc="31E8F396">
      <w:start w:val="20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E53125"/>
    <w:multiLevelType w:val="multilevel"/>
    <w:tmpl w:val="23C8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8674DC"/>
    <w:multiLevelType w:val="multilevel"/>
    <w:tmpl w:val="F04E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5982432">
    <w:abstractNumId w:val="0"/>
  </w:num>
  <w:num w:numId="2" w16cid:durableId="1723359554">
    <w:abstractNumId w:val="1"/>
  </w:num>
  <w:num w:numId="3" w16cid:durableId="79255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32"/>
    <w:rsid w:val="00125F8E"/>
    <w:rsid w:val="001B137C"/>
    <w:rsid w:val="00296F32"/>
    <w:rsid w:val="00377735"/>
    <w:rsid w:val="00425DBB"/>
    <w:rsid w:val="00452983"/>
    <w:rsid w:val="005908B3"/>
    <w:rsid w:val="005F7322"/>
    <w:rsid w:val="00611686"/>
    <w:rsid w:val="006D5112"/>
    <w:rsid w:val="007B47F3"/>
    <w:rsid w:val="007C4E12"/>
    <w:rsid w:val="008B7C43"/>
    <w:rsid w:val="00D137E0"/>
    <w:rsid w:val="00DD18E7"/>
    <w:rsid w:val="00E70705"/>
    <w:rsid w:val="00E84CBB"/>
    <w:rsid w:val="00FA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1D14A"/>
  <w15:chartTrackingRefBased/>
  <w15:docId w15:val="{BE67B59D-5913-4E54-985F-2AEAEE59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32"/>
  </w:style>
  <w:style w:type="paragraph" w:styleId="Heading1">
    <w:name w:val="heading 1"/>
    <w:basedOn w:val="Normal"/>
    <w:link w:val="Heading1Char"/>
    <w:uiPriority w:val="9"/>
    <w:qFormat/>
    <w:rsid w:val="0061168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61168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F8E"/>
    <w:pPr>
      <w:ind w:left="720"/>
      <w:contextualSpacing/>
    </w:pPr>
  </w:style>
  <w:style w:type="character" w:styleId="Hyperlink">
    <w:name w:val="Hyperlink"/>
    <w:basedOn w:val="DefaultParagraphFont"/>
    <w:uiPriority w:val="99"/>
    <w:unhideWhenUsed/>
    <w:rsid w:val="00125F8E"/>
    <w:rPr>
      <w:color w:val="0563C1" w:themeColor="hyperlink"/>
      <w:u w:val="single"/>
    </w:rPr>
  </w:style>
  <w:style w:type="paragraph" w:styleId="NormalWeb">
    <w:name w:val="Normal (Web)"/>
    <w:basedOn w:val="Normal"/>
    <w:uiPriority w:val="99"/>
    <w:semiHidden/>
    <w:unhideWhenUsed/>
    <w:rsid w:val="00125F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611686"/>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611686"/>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6116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19308">
      <w:bodyDiv w:val="1"/>
      <w:marLeft w:val="0"/>
      <w:marRight w:val="0"/>
      <w:marTop w:val="0"/>
      <w:marBottom w:val="0"/>
      <w:divBdr>
        <w:top w:val="none" w:sz="0" w:space="0" w:color="auto"/>
        <w:left w:val="none" w:sz="0" w:space="0" w:color="auto"/>
        <w:bottom w:val="none" w:sz="0" w:space="0" w:color="auto"/>
        <w:right w:val="none" w:sz="0" w:space="0" w:color="auto"/>
      </w:divBdr>
      <w:divsChild>
        <w:div w:id="1601991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421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org/sites/nfb.org/files/08-2024/presidential_release_october_2024_chapter_version_final.mp3" TargetMode="External"/><Relationship Id="rId13" Type="http://schemas.openxmlformats.org/officeDocument/2006/relationships/image" Target="media/image2.jpeg"/><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nfb.org/civicrm/mailing/url?u=36045&amp;qid=10436912" TargetMode="External"/><Relationship Id="rId7" Type="http://schemas.openxmlformats.org/officeDocument/2006/relationships/hyperlink" Target="https://nfb-org.zoom.us/j/94758218808" TargetMode="External"/><Relationship Id="rId12" Type="http://schemas.openxmlformats.org/officeDocument/2006/relationships/hyperlink" Target="https://nfb.org/civicrm/mailing/url?u=36040&amp;qid=10436912" TargetMode="External"/><Relationship Id="rId17" Type="http://schemas.openxmlformats.org/officeDocument/2006/relationships/hyperlink" Target="https://nfb.org/civicrm/mailing/url?u=36043&amp;qid=10436912" TargetMode="External"/><Relationship Id="rId25" Type="http://schemas.openxmlformats.org/officeDocument/2006/relationships/hyperlink" Target="https://nfb.org/civicrm/mailing/url?u=36047&amp;qid=10436912" TargetMode="External"/><Relationship Id="rId2" Type="http://schemas.openxmlformats.org/officeDocument/2006/relationships/styles" Target="styles.xml"/><Relationship Id="rId16" Type="http://schemas.openxmlformats.org/officeDocument/2006/relationships/hyperlink" Target="https://nfb.org/civicrm/mailing/url?u=36042&amp;qid=10436912"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tuttle@azlibrary.gov" TargetMode="External"/><Relationship Id="rId11" Type="http://schemas.openxmlformats.org/officeDocument/2006/relationships/image" Target="media/image1.jpeg"/><Relationship Id="rId24" Type="http://schemas.openxmlformats.org/officeDocument/2006/relationships/image" Target="media/image6.png"/><Relationship Id="rId5" Type="http://schemas.openxmlformats.org/officeDocument/2006/relationships/hyperlink" Target="mailto:nfbphoenixchapter@gmail.com" TargetMode="External"/><Relationship Id="rId15" Type="http://schemas.openxmlformats.org/officeDocument/2006/relationships/hyperlink" Target="https://nfb.org/civicrm/mailing/url?u=36042&amp;qid=10436912" TargetMode="External"/><Relationship Id="rId23" Type="http://schemas.openxmlformats.org/officeDocument/2006/relationships/hyperlink" Target="https://nfb.org/civicrm/mailing/url?u=36046&amp;qid=10436912" TargetMode="External"/><Relationship Id="rId28" Type="http://schemas.openxmlformats.org/officeDocument/2006/relationships/image" Target="media/image8.png"/><Relationship Id="rId10" Type="http://schemas.openxmlformats.org/officeDocument/2006/relationships/hyperlink" Target="mailto:nfbphoenixchapter@gmail.com" TargetMode="External"/><Relationship Id="rId19" Type="http://schemas.openxmlformats.org/officeDocument/2006/relationships/hyperlink" Target="https://nfb.org/civicrm/mailing/url?u=36044&amp;qid=10436912" TargetMode="External"/><Relationship Id="rId4" Type="http://schemas.openxmlformats.org/officeDocument/2006/relationships/webSettings" Target="webSettings.xml"/><Relationship Id="rId9" Type="http://schemas.openxmlformats.org/officeDocument/2006/relationships/hyperlink" Target="https://nfb.org/resources/publications-and-media/presidential-releases/transcripts/presidential-release-542-october" TargetMode="External"/><Relationship Id="rId14" Type="http://schemas.openxmlformats.org/officeDocument/2006/relationships/hyperlink" Target="https://nfb.org/civicrm/mailing/url?u=36041&amp;qid=10436912" TargetMode="External"/><Relationship Id="rId22" Type="http://schemas.openxmlformats.org/officeDocument/2006/relationships/image" Target="media/image5.png"/><Relationship Id="rId27" Type="http://schemas.openxmlformats.org/officeDocument/2006/relationships/hyperlink" Target="https://nfb.org/civicrm/mailing/url?u=36048&amp;qid=10436912"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Hodges</dc:creator>
  <cp:keywords/>
  <dc:description/>
  <cp:lastModifiedBy>Jordan Moon</cp:lastModifiedBy>
  <cp:revision>15</cp:revision>
  <dcterms:created xsi:type="dcterms:W3CDTF">2024-10-13T19:27:00Z</dcterms:created>
  <dcterms:modified xsi:type="dcterms:W3CDTF">2024-10-14T03:43:00Z</dcterms:modified>
</cp:coreProperties>
</file>