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0733" w14:textId="77777777" w:rsidR="009F7B06" w:rsidRDefault="006679FB">
      <w:pPr>
        <w:pStyle w:val="Title"/>
      </w:pPr>
      <w:r>
        <w:t>Title II Web Accessibility Advocacy Toolkit</w:t>
      </w:r>
    </w:p>
    <w:p w14:paraId="04460734" w14:textId="77777777" w:rsidR="009F7B06" w:rsidRDefault="006679FB">
      <w:r>
        <w:rPr>
          <w:i/>
          <w:iCs/>
        </w:rPr>
        <w:t>Facilitator's Guide for the National Federation of the Blind, Tucson Chapter</w:t>
      </w:r>
    </w:p>
    <w:p w14:paraId="04460735" w14:textId="77777777" w:rsidR="009F7B06" w:rsidRDefault="009F7B06"/>
    <w:p w14:paraId="04460736" w14:textId="77777777" w:rsidR="009F7B06" w:rsidRDefault="006679FB">
      <w:r>
        <w:t>Prepared May 2026. Based on the Department of Justice Interim Final Rule of April 20, 2026.</w:t>
      </w:r>
    </w:p>
    <w:p w14:paraId="04460737" w14:textId="77777777" w:rsidR="009F7B06" w:rsidRDefault="009F7B06"/>
    <w:p w14:paraId="04460738" w14:textId="77777777" w:rsidR="009F7B06" w:rsidRDefault="006679FB">
      <w:pPr>
        <w:pStyle w:val="Heading1"/>
      </w:pPr>
      <w:r>
        <w:t>About This Toolkit</w:t>
      </w:r>
    </w:p>
    <w:p w14:paraId="04460739" w14:textId="6E3B5AC2" w:rsidR="009F7B06" w:rsidRDefault="006679FB">
      <w:r>
        <w:t xml:space="preserve">This toolkit equips </w:t>
      </w:r>
      <w:r w:rsidR="005F30B0">
        <w:t xml:space="preserve">NFBAZ </w:t>
      </w:r>
      <w:r>
        <w:t>chapte</w:t>
      </w:r>
      <w:r w:rsidR="005F30B0">
        <w:t xml:space="preserve">r and </w:t>
      </w:r>
      <w:r w:rsidR="00181E01">
        <w:t>Division</w:t>
      </w:r>
      <w:r w:rsidR="005F30B0">
        <w:t xml:space="preserve"> </w:t>
      </w:r>
      <w:r>
        <w:t xml:space="preserve"> members to advocate against the Department of Justice's postponement of the Title II web accessibility rule. The full toolkit comes in three coordinated documents.</w:t>
      </w:r>
    </w:p>
    <w:p w14:paraId="0446073A" w14:textId="77777777" w:rsidR="009F7B06" w:rsidRDefault="006679FB">
      <w:r>
        <w:t>The first is this Facilitator's Guide, which gives chapter leaders the full context, talking points, session plans, and templates they need to lead members through the advocacy work.</w:t>
      </w:r>
    </w:p>
    <w:p w14:paraId="0446073B" w14:textId="77777777" w:rsidR="009F7B06" w:rsidRDefault="006679FB">
      <w:r>
        <w:t>The second is the Action Guide for Computer Users, a streamlined self-service document for members who are confident with email, web forms, and screen reader navigation, and who can take action independently.</w:t>
      </w:r>
    </w:p>
    <w:p w14:paraId="0446073C" w14:textId="77777777" w:rsidR="009F7B06" w:rsidRDefault="006679FB">
      <w:r>
        <w:t>The third is the Telephone Advocacy Guide, written in plain language for seniors, newly blind members, and anyone who is not yet trained in nonvisual computer skills. It centers on what members can do by phone, and on partnering with a chapter helper to share their story.</w:t>
      </w:r>
    </w:p>
    <w:p w14:paraId="0446073D" w14:textId="77777777" w:rsidR="009F7B06" w:rsidRDefault="006679FB">
      <w:r>
        <w:t>Distribute the member-facing documents according to who you are talking to. Use this Facilitator's Guide for your own preparation, for chapter meetings, and for one-on-one help.</w:t>
      </w:r>
    </w:p>
    <w:p w14:paraId="0446073E" w14:textId="77777777" w:rsidR="009F7B06" w:rsidRDefault="006679FB">
      <w:r>
        <w:br w:type="page"/>
      </w:r>
    </w:p>
    <w:p w14:paraId="0446073F" w14:textId="77777777" w:rsidR="009F7B06" w:rsidRDefault="006679FB">
      <w:pPr>
        <w:pStyle w:val="Heading1"/>
      </w:pPr>
      <w:r>
        <w:lastRenderedPageBreak/>
        <w:t>Plain Language Explainer</w:t>
      </w:r>
    </w:p>
    <w:p w14:paraId="04460740" w14:textId="77777777" w:rsidR="009F7B06" w:rsidRDefault="006679FB">
      <w:pPr>
        <w:pStyle w:val="Heading2"/>
      </w:pPr>
      <w:r>
        <w:t>What just happened</w:t>
      </w:r>
    </w:p>
    <w:p w14:paraId="04460741" w14:textId="77777777" w:rsidR="009F7B06" w:rsidRDefault="006679FB">
      <w:r>
        <w:t>On April 20, 2026, the United States Department of Justice published an Interim Final Rule that postpones the deadline for state and local governments to make their websites and mobile apps accessible to blind and low vision people. The original deadline was April 24, 2026. That deadline is now pushed to April 26, 2027, for governments serving 50,000 or more people. For smaller jurisdictions and special districts, the deadline moves from April 26, 2027, to April 26, 2028.</w:t>
      </w:r>
    </w:p>
    <w:p w14:paraId="04460742" w14:textId="77777777" w:rsidR="009F7B06" w:rsidRDefault="006679FB">
      <w:r>
        <w:t>The Department published this rule four days before the original deadline. They did this without going through the normal public comment process first.</w:t>
      </w:r>
    </w:p>
    <w:p w14:paraId="04460743" w14:textId="77777777" w:rsidR="009F7B06" w:rsidRDefault="006679FB">
      <w:pPr>
        <w:pStyle w:val="Heading2"/>
      </w:pPr>
      <w:r>
        <w:t>What Title II is</w:t>
      </w:r>
    </w:p>
    <w:p w14:paraId="04460744" w14:textId="77777777" w:rsidR="009F7B06" w:rsidRDefault="006679FB">
      <w:r>
        <w:t>Title II of the Americans with Disabilities Act covers state and local governments. That includes city and county websites, public schools, public colleges and universities, courts, public libraries, public transit, public hospitals, and special districts like water and fire authorities. In Arizona, this covers everything from the City of Tucson website to Pima Community College to the Arizona Department of Economic Security online portals to public school district apps.</w:t>
      </w:r>
    </w:p>
    <w:p w14:paraId="04460745" w14:textId="77777777" w:rsidR="009F7B06" w:rsidRDefault="006679FB">
      <w:pPr>
        <w:pStyle w:val="Heading2"/>
      </w:pPr>
      <w:r>
        <w:t>What the 2024 rule required</w:t>
      </w:r>
    </w:p>
    <w:p w14:paraId="04460746" w14:textId="77777777" w:rsidR="009F7B06" w:rsidRDefault="006679FB">
      <w:r>
        <w:t xml:space="preserve">The 2024 rule said state and local government websites and mobile apps must meet a specific technical standard called WCAG 2.1 Level AA. In plain terms, that standard requires web pages, PDFs, and forms that work with JAWS, NVDA, </w:t>
      </w:r>
      <w:proofErr w:type="spellStart"/>
      <w:r>
        <w:t>VoiceOver</w:t>
      </w:r>
      <w:proofErr w:type="spellEnd"/>
      <w:r>
        <w:t>, and other screen readers. It requires captions on video and transcripts for audio. It requires image descriptions through alternative text. It requires keyboard navigation that does not depend on a mouse. It requires sufficient color contrast and resizable text. And it requires mobile apps that are usable with screen readers and other assistive technology.</w:t>
      </w:r>
    </w:p>
    <w:p w14:paraId="04460747" w14:textId="77777777" w:rsidR="009F7B06" w:rsidRDefault="006679FB">
      <w:r>
        <w:t>The 2024 rule was not a new obligation. The ADA has required state and local governments to communicate effectively with blind and low vision people since 1990. The 2024 rule simply set a clear technical standard so governments would know exactly what compliance looks like. It also included delayed effective dates of two or three years built into the original rule.</w:t>
      </w:r>
    </w:p>
    <w:p w14:paraId="04460748" w14:textId="77777777" w:rsidR="009F7B06" w:rsidRDefault="006679FB">
      <w:pPr>
        <w:pStyle w:val="Heading2"/>
      </w:pPr>
      <w:r>
        <w:lastRenderedPageBreak/>
        <w:t>What the postponement changed and what it did not change</w:t>
      </w:r>
    </w:p>
    <w:p w14:paraId="04460749" w14:textId="77777777" w:rsidR="009F7B06" w:rsidRDefault="006679FB">
      <w:r>
        <w:t>The postponement only changed the dates. It did not change the standard. State and local governments must still eventually meet WCAG 2.1 Level AA. The underlying ADA obligation to provide equally effective communication has been in place since 1990 and has not changed. Private lawsuits under the ADA have not stopped. Many state and local governments are choosing to keep working toward the original timeline anyway.</w:t>
      </w:r>
    </w:p>
    <w:p w14:paraId="0446074A" w14:textId="77777777" w:rsidR="009F7B06" w:rsidRDefault="006679FB">
      <w:r>
        <w:t>However, the Department also signaled in this rule that it intends to revisit the technical standard itself in future rulemaking. That is the larger threat behind the postponement.</w:t>
      </w:r>
    </w:p>
    <w:p w14:paraId="0446074B" w14:textId="77777777" w:rsidR="009F7B06" w:rsidRDefault="006679FB">
      <w:pPr>
        <w:pStyle w:val="Heading2"/>
      </w:pPr>
      <w:r>
        <w:t>Why this postponement matters to blind and low vision Arizonans</w:t>
      </w:r>
    </w:p>
    <w:p w14:paraId="0446074C" w14:textId="77777777" w:rsidR="009F7B06" w:rsidRDefault="006679FB">
      <w:r>
        <w:t>Government services have moved online. Applying for vocational rehabilitation, signing up for benefits, getting voter information, accessing emergency alerts, registering a child for school, paying property taxes, reading court filings, applying to a public university, requesting public records: all of this happens through websites and apps. When those websites and apps do not work with a screen reader, blind people are shut out of the services our taxes pay for.</w:t>
      </w:r>
    </w:p>
    <w:p w14:paraId="0446074D" w14:textId="77777777" w:rsidR="009F7B06" w:rsidRDefault="006679FB">
      <w:r>
        <w:t>Every additional year of delay is another year of being told to wait, find a sighted person, or accept second-class access to civic life. The point of Structured Discovery training and the National Federation of the Blind philosophy is that blindness should never be the reason a person cannot do something. Inaccessible government websites take that choice away from us.</w:t>
      </w:r>
    </w:p>
    <w:p w14:paraId="0446074E" w14:textId="77777777" w:rsidR="009F7B06" w:rsidRDefault="006679FB">
      <w:r>
        <w:br w:type="page"/>
      </w:r>
    </w:p>
    <w:p w14:paraId="0446074F" w14:textId="77777777" w:rsidR="009F7B06" w:rsidRDefault="006679FB">
      <w:pPr>
        <w:pStyle w:val="Heading1"/>
      </w:pPr>
      <w:r>
        <w:lastRenderedPageBreak/>
        <w:t>The NFB National Campaign</w:t>
      </w:r>
    </w:p>
    <w:p w14:paraId="04460750" w14:textId="77777777" w:rsidR="009F7B06" w:rsidRDefault="006679FB">
      <w:r>
        <w:t>The Tucson chapter is not advocating alone. The National Federation of the Blind has been organizing against the Title II rollback since well before the Interim Final Rule was published. Aligning chapter action with the national campaign amplifies both.</w:t>
      </w:r>
    </w:p>
    <w:p w14:paraId="04460751" w14:textId="77777777" w:rsidR="009F7B06" w:rsidRDefault="006679FB">
      <w:pPr>
        <w:pStyle w:val="Heading2"/>
      </w:pPr>
      <w:r>
        <w:t>What NFB has already done</w:t>
      </w:r>
    </w:p>
    <w:p w14:paraId="04460752" w14:textId="77777777" w:rsidR="009F7B06" w:rsidRDefault="006679FB">
      <w:r>
        <w:t>On March 5, 2026, NFB President Mark Riccobono submitted a formal letter to the Office of Information and Regulatory Affairs opposing any changes to the 2024 rule. The letter is on the public record. Its central argument is that the rule already went through fourteen years of consideration and public input, that public entities have had since 1990 to prepare for the underlying ADA obligation, and that delaying or amending the rule would severely harm blind Americans by denying access to civic information.</w:t>
      </w:r>
    </w:p>
    <w:p w14:paraId="04460753" w14:textId="77777777" w:rsidR="009F7B06" w:rsidRDefault="006679FB">
      <w:r>
        <w:t>When the Federation learned that the Department had submitted an Interim Final Rule rather than a Notice of Proposed Rulemaking, NFB members and other disability advocates requested meetings with OIRA under Executive Order 12866 to make the case in person. Many of those meetings were held before OIRA cancelled the remaining ones on April 7, 2026. The Interim Final Rule was published on April 20, 2026.</w:t>
      </w:r>
    </w:p>
    <w:p w14:paraId="04460754" w14:textId="77777777" w:rsidR="009F7B06" w:rsidRDefault="006679FB">
      <w:r>
        <w:t>The 2025 NFB Convention also passed a resolution at the national level condemning the American Council on Education for requesting that the rule be delayed. This is the formal, organization-wide position of the Federation.</w:t>
      </w:r>
    </w:p>
    <w:p w14:paraId="04460755" w14:textId="77777777" w:rsidR="009F7B06" w:rsidRDefault="006679FB">
      <w:pPr>
        <w:pStyle w:val="Heading2"/>
      </w:pPr>
      <w:r>
        <w:t>What the campaign asks members to do now</w:t>
      </w:r>
    </w:p>
    <w:p w14:paraId="04460756" w14:textId="77777777" w:rsidR="009F7B06" w:rsidRDefault="006679FB">
      <w:r>
        <w:t>Three concrete asks are on the table. First, submit a public comment to the Department of Justice before June 22, 2026. Every individual comment from a blind Arizonan adds to the official record the Department must consider. Second, use the NFB Inaccessibility Tracker Form, maintained by the Center of Excellence in Nonvisual Access, to document specific Arizona barriers. The tracker, the Self-Advocacy Toolkit, and related resources are at nfb.org/</w:t>
      </w:r>
      <w:proofErr w:type="spellStart"/>
      <w:r>
        <w:t>cena</w:t>
      </w:r>
      <w:proofErr w:type="spellEnd"/>
      <w:r>
        <w:t>. Third, support the related Section 504 advocacy. NFB has been running a parallel call to action on the Texas v. Kennedy lawsuit, which threatens Section 504 of the Rehabilitation Act. While technically separate, it is part of the same broader effort to defend disability civil rights protections.</w:t>
      </w:r>
    </w:p>
    <w:p w14:paraId="04460757" w14:textId="77777777" w:rsidR="009F7B06" w:rsidRDefault="006679FB">
      <w:r>
        <w:br w:type="page"/>
      </w:r>
    </w:p>
    <w:p w14:paraId="04460758" w14:textId="77777777" w:rsidR="009F7B06" w:rsidRDefault="006679FB">
      <w:pPr>
        <w:pStyle w:val="Heading1"/>
      </w:pPr>
      <w:r>
        <w:lastRenderedPageBreak/>
        <w:t>How to Run a Chapter Advocacy Session</w:t>
      </w:r>
    </w:p>
    <w:p w14:paraId="04460759" w14:textId="77777777" w:rsidR="009F7B06" w:rsidRDefault="006679FB">
      <w:r>
        <w:t>A focused ninety-minute to two-hour session, in person or by Zoom, can produce real results. The goal of a session is for every attendee to leave with at least one concrete advocacy action completed: a public comment submitted, an inaccessibility report filed, a phone call made to a member of Congress, or a personal story documented for later use.</w:t>
      </w:r>
    </w:p>
    <w:p w14:paraId="0446075A" w14:textId="77777777" w:rsidR="009F7B06" w:rsidRDefault="006679FB">
      <w:pPr>
        <w:pStyle w:val="Heading2"/>
      </w:pPr>
      <w:r>
        <w:t>Sample session agenda, ninety minutes</w:t>
      </w:r>
    </w:p>
    <w:p w14:paraId="0446075B" w14:textId="77777777" w:rsidR="009F7B06" w:rsidRDefault="006679FB">
      <w:pPr>
        <w:pStyle w:val="ListParagraph"/>
        <w:numPr>
          <w:ilvl w:val="0"/>
          <w:numId w:val="2"/>
        </w:numPr>
      </w:pPr>
      <w:r>
        <w:t>Welcome and overview, ten minutes. Introduce the issue using the plain language explainer above. Keep it brief. Members do not need every detail. They need to understand that the deadline was pushed back, that public comment closes June 22, 2026, and that their stories matter.</w:t>
      </w:r>
    </w:p>
    <w:p w14:paraId="0446075C" w14:textId="77777777" w:rsidR="009F7B06" w:rsidRDefault="006679FB">
      <w:pPr>
        <w:pStyle w:val="ListParagraph"/>
        <w:numPr>
          <w:ilvl w:val="0"/>
          <w:numId w:val="2"/>
        </w:numPr>
      </w:pPr>
      <w:r>
        <w:t>Story circle, twenty minutes. Go around the room or the Zoom call and ask each member to share one specific time an Arizona state or local government website or app did not work for them. Use the four prompts: the situation, the barrier, the impact, and the point. Keep each story under two minutes. Take notes for members who want help submitting later.</w:t>
      </w:r>
    </w:p>
    <w:p w14:paraId="0446075D" w14:textId="77777777" w:rsidR="009F7B06" w:rsidRDefault="006679FB">
      <w:pPr>
        <w:pStyle w:val="ListParagraph"/>
        <w:numPr>
          <w:ilvl w:val="0"/>
          <w:numId w:val="2"/>
        </w:numPr>
      </w:pPr>
      <w:r>
        <w:t>Action time, fifty minutes. Members work on advocacy actions in parallel based on their skill level and preference. Confident computer users open laptops or phones and submit DOJ public comments using the template. Phone-first members place calls to Senator Kelly, Senator Gallego, and their House member using the phone script. Members who want help dictate their story to a facilitator who types it up and submits the comment on their behalf with permission.</w:t>
      </w:r>
    </w:p>
    <w:p w14:paraId="0446075E" w14:textId="77777777" w:rsidR="009F7B06" w:rsidRDefault="006679FB">
      <w:pPr>
        <w:pStyle w:val="ListParagraph"/>
        <w:numPr>
          <w:ilvl w:val="0"/>
          <w:numId w:val="2"/>
        </w:numPr>
      </w:pPr>
      <w:r>
        <w:t>Inaccessibility Tracker filing, fifteen minutes. Walk through the NFB Inaccessibility Tracker Form together. Each member identifies one specific barrier and submits a tracker entry. This builds the evidentiary record at the national level.</w:t>
      </w:r>
    </w:p>
    <w:p w14:paraId="0446075F" w14:textId="77777777" w:rsidR="009F7B06" w:rsidRDefault="006679FB">
      <w:pPr>
        <w:pStyle w:val="ListParagraph"/>
        <w:numPr>
          <w:ilvl w:val="0"/>
          <w:numId w:val="2"/>
        </w:numPr>
      </w:pPr>
      <w:r>
        <w:t>Wrap-up, five minutes. Confirm what each member accomplished. Identify follow-ups. Thank everyone.</w:t>
      </w:r>
    </w:p>
    <w:p w14:paraId="04460760" w14:textId="77777777" w:rsidR="009F7B06" w:rsidRDefault="006679FB">
      <w:pPr>
        <w:pStyle w:val="Heading2"/>
      </w:pPr>
      <w:r>
        <w:t>Supplies and setup</w:t>
      </w:r>
    </w:p>
    <w:p w14:paraId="04460761" w14:textId="77777777" w:rsidR="009F7B06" w:rsidRDefault="006679FB">
      <w:r>
        <w:t xml:space="preserve">For an in-person session, members bring their own laptops or phones with screen readers configured the way they normally use them. Have at least two facilitators on </w:t>
      </w:r>
      <w:r>
        <w:lastRenderedPageBreak/>
        <w:t>hand: one to lead, and one to provide individual help. Have printed copies of the Telephone Advocacy Guide for members who prefer paper or who want to follow along while they call. Have a quiet area set aside for members who are placing phone calls. For a Zoom session, set up breakout rooms so phone-call members can step out and rejoin without disrupting the group.</w:t>
      </w:r>
    </w:p>
    <w:p w14:paraId="04460762" w14:textId="77777777" w:rsidR="009F7B06" w:rsidRDefault="006679FB">
      <w:r>
        <w:br w:type="page"/>
      </w:r>
    </w:p>
    <w:p w14:paraId="04460763" w14:textId="77777777" w:rsidR="009F7B06" w:rsidRDefault="006679FB">
      <w:pPr>
        <w:pStyle w:val="Heading1"/>
      </w:pPr>
      <w:r>
        <w:lastRenderedPageBreak/>
        <w:t>Supporting Members at Different Skill Levels</w:t>
      </w:r>
    </w:p>
    <w:p w14:paraId="04460764" w14:textId="77777777" w:rsidR="009F7B06" w:rsidRDefault="006679FB">
      <w:pPr>
        <w:pStyle w:val="Heading2"/>
      </w:pPr>
      <w:r>
        <w:t>Confident computer users</w:t>
      </w:r>
    </w:p>
    <w:p w14:paraId="04460765" w14:textId="77777777" w:rsidR="009F7B06" w:rsidRDefault="006679FB">
      <w:r>
        <w:t>Hand them the Action Guide for Computer Users and let them work. Their job is to submit a DOJ public comment, file an Inaccessibility Tracker entry, and contact their members of Congress. They do not need much help. Be available for questions about the templates or the issue itself.</w:t>
      </w:r>
    </w:p>
    <w:p w14:paraId="04460766" w14:textId="77777777" w:rsidR="009F7B06" w:rsidRDefault="006679FB">
      <w:pPr>
        <w:pStyle w:val="Heading2"/>
      </w:pPr>
      <w:r>
        <w:t>Members who use technology but prefer guidance</w:t>
      </w:r>
    </w:p>
    <w:p w14:paraId="04460767" w14:textId="77777777" w:rsidR="009F7B06" w:rsidRDefault="006679FB">
      <w:r>
        <w:t>Some members are comfortable with their access technology but appreciate a walk-through the first time they use a federal comment system or call a congressional office. Sit with them at the start. Open regulations.gov. Read the page elements aloud the first time. Stay nearby for the second comment, then let them work independently.</w:t>
      </w:r>
    </w:p>
    <w:p w14:paraId="04460768" w14:textId="77777777" w:rsidR="009F7B06" w:rsidRDefault="006679FB">
      <w:pPr>
        <w:pStyle w:val="Heading2"/>
      </w:pPr>
      <w:r>
        <w:t>Seniors and newly blind members not yet trained in nonvisual skills</w:t>
      </w:r>
    </w:p>
    <w:p w14:paraId="04460769" w14:textId="77777777" w:rsidR="009F7B06" w:rsidRDefault="006679FB">
      <w:r>
        <w:t>These members are often the most powerful storytellers because their experience of inaccessibility is recent and raw. They are also the members most at risk of being shut out of the advocacy process if we require web forms and email. The Telephone Advocacy Guide is built for them. Center their participation around three things they can do without a computer: phone calls to members of Congress using the phone script, sharing their story verbally with a chapter helper who can submit on their behalf, and calli</w:t>
      </w:r>
      <w:r>
        <w:t>ng the Department of Justice ADA Information Line to express their concerns.</w:t>
      </w:r>
    </w:p>
    <w:p w14:paraId="0446076A" w14:textId="77777777" w:rsidR="009F7B06" w:rsidRDefault="006679FB">
      <w:r>
        <w:t>When you offer to submit a public comment for a member, be clear about what you are doing. Read back the draft to the member before submitting. Get their explicit permission to use their name and city. Do not add details they did not give you. Do not embellish. The story should be theirs in their own voice.</w:t>
      </w:r>
    </w:p>
    <w:p w14:paraId="0446076B" w14:textId="77777777" w:rsidR="009F7B06" w:rsidRDefault="006679FB">
      <w:pPr>
        <w:pStyle w:val="Heading2"/>
      </w:pPr>
      <w:r>
        <w:t>Members who do not want to share a personal story</w:t>
      </w:r>
    </w:p>
    <w:p w14:paraId="0446076C" w14:textId="77777777" w:rsidR="009F7B06" w:rsidRDefault="006679FB">
      <w:r>
        <w:t>Personal stories are powerful, but no member is required to share one. A public comment or a call that simply opposes the postponement and supports the original deadline is still useful. Provide those members with the basic comment language and the phone script intro. They can advocate without exposing personal experience.</w:t>
      </w:r>
    </w:p>
    <w:p w14:paraId="0446076D" w14:textId="77777777" w:rsidR="009F7B06" w:rsidRDefault="006679FB">
      <w:pPr>
        <w:pStyle w:val="Heading1"/>
      </w:pPr>
      <w:r>
        <w:lastRenderedPageBreak/>
        <w:t>Coordinating with NFB of Arizona</w:t>
      </w:r>
    </w:p>
    <w:p w14:paraId="0446076E" w14:textId="77777777" w:rsidR="009F7B06" w:rsidRDefault="006679FB">
      <w:r>
        <w:t>Chapter advocacy is strongest when it moves in step with the state affiliate. Before launching this toolkit broadly, confirm with NFB of Arizona affiliate leadership that the affiliate position is aligned and identify any state-level priorities the chapter should fold into outreach. The affiliate may be able to connect Tucson members with media opportunities, legislative visits during the next state session, or coordinated public comment drives. Send NFB of Arizona a copy of this toolkit if helpful.</w:t>
      </w:r>
    </w:p>
    <w:p w14:paraId="0446076F" w14:textId="77777777" w:rsidR="009F7B06" w:rsidRDefault="006679FB">
      <w:r>
        <w:br w:type="page"/>
      </w:r>
    </w:p>
    <w:p w14:paraId="04460770" w14:textId="77777777" w:rsidR="009F7B06" w:rsidRDefault="006679FB">
      <w:pPr>
        <w:pStyle w:val="Heading1"/>
      </w:pPr>
      <w:r>
        <w:lastRenderedPageBreak/>
        <w:t>Templates</w:t>
      </w:r>
    </w:p>
    <w:p w14:paraId="04460771" w14:textId="77777777" w:rsidR="009F7B06" w:rsidRDefault="006679FB">
      <w:r>
        <w:t>These are the same templates that appear in the member-facing documents. They are gathered here so facilitators can review them in advance, customize them for the chapter, and help members complete them.</w:t>
      </w:r>
    </w:p>
    <w:p w14:paraId="04460772" w14:textId="77777777" w:rsidR="009F7B06" w:rsidRDefault="006679FB">
      <w:pPr>
        <w:pStyle w:val="Heading2"/>
      </w:pPr>
      <w:r>
        <w:t>Story-Telling Framework</w:t>
      </w:r>
    </w:p>
    <w:p w14:paraId="04460773" w14:textId="77777777" w:rsidR="009F7B06" w:rsidRDefault="006679FB">
      <w:r>
        <w:t>A strong advocacy story has four elements. Use these as prompts when helping a member identify their story.</w:t>
      </w:r>
    </w:p>
    <w:p w14:paraId="04460774" w14:textId="77777777" w:rsidR="009F7B06" w:rsidRDefault="006679FB">
      <w:r>
        <w:rPr>
          <w:b/>
          <w:bCs/>
        </w:rPr>
        <w:t>The situation.</w:t>
      </w:r>
    </w:p>
    <w:p w14:paraId="04460775" w14:textId="77777777" w:rsidR="009F7B06" w:rsidRDefault="006679FB">
      <w:r>
        <w:t>What were you trying to do? Be specific. "Renew my driver license through ADOT," "register my grandchild for kindergarten through TUSD's online portal," "apply for SNAP through Arizona DES," "vote using the early ballot tracker on the Pima County Recorder website."</w:t>
      </w:r>
    </w:p>
    <w:p w14:paraId="04460776" w14:textId="77777777" w:rsidR="009F7B06" w:rsidRDefault="006679FB">
      <w:r>
        <w:rPr>
          <w:b/>
          <w:bCs/>
        </w:rPr>
        <w:t>The barrier.</w:t>
      </w:r>
    </w:p>
    <w:p w14:paraId="04460777" w14:textId="77777777" w:rsidR="009F7B06" w:rsidRDefault="006679FB">
      <w:r>
        <w:t xml:space="preserve">What specifically did not work? A form that JAWS could not read. Buttons with no labels. A PDF that was just an image. A captcha with no audio option. A mobile app that crashed </w:t>
      </w:r>
      <w:proofErr w:type="spellStart"/>
      <w:r>
        <w:t>VoiceOver</w:t>
      </w:r>
      <w:proofErr w:type="spellEnd"/>
      <w:r>
        <w:t>. Time-out screens that triggered before a screen reader could read them.</w:t>
      </w:r>
    </w:p>
    <w:p w14:paraId="04460778" w14:textId="77777777" w:rsidR="009F7B06" w:rsidRDefault="006679FB">
      <w:r>
        <w:rPr>
          <w:b/>
          <w:bCs/>
        </w:rPr>
        <w:t>The impact.</w:t>
      </w:r>
    </w:p>
    <w:p w14:paraId="04460779" w14:textId="77777777" w:rsidR="009F7B06" w:rsidRDefault="006679FB">
      <w:r>
        <w:t>What did this cost you? Time. Money. Privacy when you had to ask a sighted person to read confidential information. A missed deadline. A service you never received. The dignity of doing something independently.</w:t>
      </w:r>
    </w:p>
    <w:p w14:paraId="0446077A" w14:textId="77777777" w:rsidR="009F7B06" w:rsidRDefault="006679FB">
      <w:r>
        <w:rPr>
          <w:b/>
          <w:bCs/>
        </w:rPr>
        <w:t>The point.</w:t>
      </w:r>
    </w:p>
    <w:p w14:paraId="0446077B" w14:textId="77777777" w:rsidR="009F7B06" w:rsidRDefault="006679FB">
      <w:r>
        <w:t>What do you want the official to understand or do? You can ask them to oppose the postponement, restore the original deadline, comment publicly against the change, or simply acknowledge that this delay hurts blind Arizonans.</w:t>
      </w:r>
    </w:p>
    <w:p w14:paraId="0446077C" w14:textId="77777777" w:rsidR="009F7B06" w:rsidRDefault="006679FB">
      <w:r>
        <w:t>Keep stories under one page or under two minutes for phone calls. Use plain language. Do not exaggerate. Specific beats dramatic every time.</w:t>
      </w:r>
    </w:p>
    <w:p w14:paraId="0446077D" w14:textId="77777777" w:rsidR="009F7B06" w:rsidRDefault="006679FB">
      <w:pPr>
        <w:pStyle w:val="Heading2"/>
      </w:pPr>
      <w:r>
        <w:t>DOJ Public Comment Template</w:t>
      </w:r>
    </w:p>
    <w:p w14:paraId="0446077E" w14:textId="77777777" w:rsidR="009F7B06" w:rsidRDefault="006679FB">
      <w:r>
        <w:lastRenderedPageBreak/>
        <w:t>Submit by June 22, 2026, at www.regulations.gov/commenton/DOJ-CRT-2026-0067-0001.</w:t>
      </w:r>
    </w:p>
    <w:p w14:paraId="0446077F" w14:textId="77777777" w:rsidR="009F7B06" w:rsidRDefault="009F7B06"/>
    <w:p w14:paraId="04460780" w14:textId="77777777" w:rsidR="009F7B06" w:rsidRDefault="006679FB">
      <w:r>
        <w:t>To the United States Department of Justice, Civil Rights Division:</w:t>
      </w:r>
    </w:p>
    <w:p w14:paraId="04460781" w14:textId="77777777" w:rsidR="009F7B06" w:rsidRDefault="006679FB">
      <w:r>
        <w:t>I am writing to oppose the Interim Final Rule extending compliance dates for the Title II web accessibility regulations. Docket number DOJ-CRT-2026-0067-0001.</w:t>
      </w:r>
    </w:p>
    <w:p w14:paraId="04460782" w14:textId="77777777" w:rsidR="009F7B06" w:rsidRDefault="006679FB">
      <w:r>
        <w:t xml:space="preserve">My name is [YOUR FULL NAME]. I am a blind [or low vision] resident of [CITY], Arizona. I use [JAWS, NVDA, </w:t>
      </w:r>
      <w:proofErr w:type="spellStart"/>
      <w:r>
        <w:t>VoiceOver</w:t>
      </w:r>
      <w:proofErr w:type="spellEnd"/>
      <w:r>
        <w:t>, or other] as my primary access technology.</w:t>
      </w:r>
    </w:p>
    <w:p w14:paraId="04460783" w14:textId="77777777" w:rsidR="009F7B06" w:rsidRDefault="006679FB">
      <w:r>
        <w:t>[INSERT YOUR STORY HERE: two to four sentences about a specific time you tried to use a state or local government website or app and could not because of an accessibility barrier. Name the agency. Name the barrier. Name the consequence.]</w:t>
      </w:r>
    </w:p>
    <w:p w14:paraId="04460784" w14:textId="77777777" w:rsidR="009F7B06" w:rsidRDefault="006679FB">
      <w:r>
        <w:t>The Department's stated reasons for this postponement, that public entities need more time and that technology has not advanced enough, do not reflect my experience. Web accessibility standards have existed internationally for many years. Public entities have had since 1990, when the ADA was signed into law, to make their communications accessible. The 2024 rule already provided two to three years of additional compliance time. Pushing the deadline back a fourth time tells blind Americans that our equal acc</w:t>
      </w:r>
      <w:r>
        <w:t>ess is always negotiable.</w:t>
      </w:r>
    </w:p>
    <w:p w14:paraId="04460785" w14:textId="77777777" w:rsidR="009F7B06" w:rsidRDefault="006679FB">
      <w:r>
        <w:t>The postponement also signals further changes to the technical standard itself. WCAG 2.1 Level AA is a clear, internationally recognized, achievable standard. Weakening it would mean accepting that blind people will continue to be shut out of public benefits applications, voter information, school portals, court records, and the full range of state and local government services that our taxes fund.</w:t>
      </w:r>
    </w:p>
    <w:p w14:paraId="04460786" w14:textId="77777777" w:rsidR="009F7B06" w:rsidRDefault="006679FB">
      <w:r>
        <w:t>I respectfully request that the Department withdraw this Interim Final Rule and restore the original compliance dates. I also ask the Department to commit publicly that it will not weaken the WCAG 2.1 Level AA technical standard.</w:t>
      </w:r>
    </w:p>
    <w:p w14:paraId="04460787" w14:textId="77777777" w:rsidR="009F7B06" w:rsidRDefault="006679FB">
      <w:r>
        <w:t>Sincerely,</w:t>
      </w:r>
    </w:p>
    <w:p w14:paraId="04460788" w14:textId="77777777" w:rsidR="009F7B06" w:rsidRDefault="006679FB">
      <w:r>
        <w:t>[YOUR FULL NAME]</w:t>
      </w:r>
    </w:p>
    <w:p w14:paraId="04460789" w14:textId="77777777" w:rsidR="009F7B06" w:rsidRDefault="006679FB">
      <w:r>
        <w:t>[YOUR CITY, ARIZONA]</w:t>
      </w:r>
    </w:p>
    <w:p w14:paraId="0446078A" w14:textId="77777777" w:rsidR="009F7B06" w:rsidRDefault="006679FB">
      <w:r>
        <w:t>[OPTIONAL: YOUR EMAIL]</w:t>
      </w:r>
    </w:p>
    <w:p w14:paraId="0446078B" w14:textId="77777777" w:rsidR="009F7B06" w:rsidRDefault="006679FB">
      <w:pPr>
        <w:pStyle w:val="Heading2"/>
      </w:pPr>
      <w:r>
        <w:lastRenderedPageBreak/>
        <w:t>Congressional Email Template</w:t>
      </w:r>
    </w:p>
    <w:p w14:paraId="0446078C" w14:textId="77777777" w:rsidR="009F7B06" w:rsidRDefault="006679FB">
      <w:r>
        <w:t>Send to Senator Mark Kelly, Senator Ruben Gallego, and your United States Representative. Members can find their representative at www.house.gov by entering their zip code.</w:t>
      </w:r>
    </w:p>
    <w:p w14:paraId="0446078D" w14:textId="77777777" w:rsidR="009F7B06" w:rsidRDefault="009F7B06"/>
    <w:p w14:paraId="0446078E" w14:textId="77777777" w:rsidR="009F7B06" w:rsidRDefault="006679FB">
      <w:r>
        <w:t>Subject: Constituent concern about DOJ postponement of ADA Title II web accessibility rule</w:t>
      </w:r>
    </w:p>
    <w:p w14:paraId="0446078F" w14:textId="77777777" w:rsidR="009F7B06" w:rsidRDefault="009F7B06"/>
    <w:p w14:paraId="04460790" w14:textId="77777777" w:rsidR="009F7B06" w:rsidRDefault="006679FB">
      <w:r>
        <w:t>Dear Senator [or Representative] [LAST NAME]:</w:t>
      </w:r>
    </w:p>
    <w:p w14:paraId="04460791" w14:textId="77777777" w:rsidR="009F7B06" w:rsidRDefault="006679FB">
      <w:r>
        <w:t>I am a constituent in [CITY], Arizona, and I am writing to ask for your help.</w:t>
      </w:r>
    </w:p>
    <w:p w14:paraId="04460792" w14:textId="77777777" w:rsidR="009F7B06" w:rsidRDefault="006679FB">
      <w:r>
        <w:t>I am blind [or have low vision]. I rely on a screen reader to use websites and mobile apps. On April 20, 2026, the Department of Justice postponed the compliance deadline for the Title II web accessibility rule under the Americans with Disabilities Act. This rule would have required state and local governments, including agencies and schools right here in Arizona, to make their websites and apps work with assistive technology. The deadline has been pushed back by a full year, and the Department has signaled</w:t>
      </w:r>
      <w:r>
        <w:t xml:space="preserve"> it may further weaken the rule.</w:t>
      </w:r>
    </w:p>
    <w:p w14:paraId="04460793" w14:textId="77777777" w:rsidR="009F7B06" w:rsidRDefault="006679FB">
      <w:r>
        <w:t>[INSERT YOUR STORY HERE: two to four sentences about a specific time a state or local government website or app in Arizona was inaccessible to you, and what that cost you.]</w:t>
      </w:r>
    </w:p>
    <w:p w14:paraId="04460794" w14:textId="77777777" w:rsidR="009F7B06" w:rsidRDefault="006679FB">
      <w:r>
        <w:t>This is not a new obligation being imposed on Arizona governments. The ADA has required equally effective communication since 1990. The 2024 rule simply gave public entities a clear technical standard. The rule itself provided two to three years of phase-in time. Postponing it again, four days before the original deadline, is not relief. It is another year of blind Arizonans being unable to fully use the government services we pay for.</w:t>
      </w:r>
    </w:p>
    <w:p w14:paraId="04460795" w14:textId="77777777" w:rsidR="009F7B06" w:rsidRDefault="006679FB">
      <w:r>
        <w:t>I am asking you to publicly oppose the Department of Justice's postponement of the Title II web accessibility compliance dates, urge the Department of Justice not to weaken the WCAG 2.1 Level AA technical standard, and stand with blind and low vision Arizonans by supporting timely, full implementation of the 2024 rule.</w:t>
      </w:r>
    </w:p>
    <w:p w14:paraId="04460796" w14:textId="77777777" w:rsidR="009F7B06" w:rsidRDefault="006679FB">
      <w:r>
        <w:lastRenderedPageBreak/>
        <w:t>I am a member of the National Federation of the Blind, Tucson Chapter. I would welcome the opportunity to speak with you or a member of your staff about the real-world impact of inaccessible government websites in Arizona.</w:t>
      </w:r>
    </w:p>
    <w:p w14:paraId="04460797" w14:textId="77777777" w:rsidR="009F7B06" w:rsidRDefault="006679FB">
      <w:r>
        <w:t>Thank you for your attention to this issue.</w:t>
      </w:r>
    </w:p>
    <w:p w14:paraId="04460798" w14:textId="77777777" w:rsidR="009F7B06" w:rsidRDefault="006679FB">
      <w:r>
        <w:t>Sincerely,</w:t>
      </w:r>
    </w:p>
    <w:p w14:paraId="04460799" w14:textId="77777777" w:rsidR="009F7B06" w:rsidRDefault="006679FB">
      <w:r>
        <w:t>[YOUR FULL NAME]</w:t>
      </w:r>
    </w:p>
    <w:p w14:paraId="0446079A" w14:textId="77777777" w:rsidR="009F7B06" w:rsidRDefault="006679FB">
      <w:r>
        <w:t>[YOUR STREET ADDRESS]</w:t>
      </w:r>
    </w:p>
    <w:p w14:paraId="0446079B" w14:textId="77777777" w:rsidR="009F7B06" w:rsidRDefault="006679FB">
      <w:r>
        <w:t>[YOUR CITY, ARIZONA, ZIP]</w:t>
      </w:r>
    </w:p>
    <w:p w14:paraId="0446079C" w14:textId="77777777" w:rsidR="009F7B06" w:rsidRDefault="006679FB">
      <w:r>
        <w:t>[YOUR PHONE]</w:t>
      </w:r>
    </w:p>
    <w:p w14:paraId="0446079D" w14:textId="77777777" w:rsidR="009F7B06" w:rsidRDefault="006679FB">
      <w:r>
        <w:t>[YOUR EMAIL]</w:t>
      </w:r>
    </w:p>
    <w:p w14:paraId="0446079E" w14:textId="77777777" w:rsidR="009F7B06" w:rsidRDefault="006679FB">
      <w:pPr>
        <w:pStyle w:val="Heading2"/>
      </w:pPr>
      <w:r>
        <w:t>Congressional Phone Script</w:t>
      </w:r>
    </w:p>
    <w:p w14:paraId="0446079F" w14:textId="77777777" w:rsidR="009F7B06" w:rsidRDefault="006679FB">
      <w:r>
        <w:t>Capitol Switchboard: 202-224-3121. Ask to be connected to the office of Senator Kelly, Senator Gallego, or your Representative. Members will usually reach a staff assistant. The whole call should take two to three minutes.</w:t>
      </w:r>
    </w:p>
    <w:p w14:paraId="044607A0" w14:textId="77777777" w:rsidR="009F7B06" w:rsidRDefault="006679FB">
      <w:pPr>
        <w:pStyle w:val="Heading3"/>
      </w:pPr>
      <w:r>
        <w:t>Step one: Identify yourself</w:t>
      </w:r>
    </w:p>
    <w:p w14:paraId="044607A1" w14:textId="77777777" w:rsidR="009F7B06" w:rsidRDefault="006679FB">
      <w:r>
        <w:t>"Hi, my name is [YOUR NAME]. I am a constituent calling from [CITY], Arizona, in zip code [ZIP]. I am calling about the Department of Justice's postponement of the Title II web accessibility rule under the Americans with Disabilities Act. May I leave a message for the Senator [or Representative]?"</w:t>
      </w:r>
    </w:p>
    <w:p w14:paraId="044607A2" w14:textId="77777777" w:rsidR="009F7B06" w:rsidRDefault="006679FB">
      <w:pPr>
        <w:pStyle w:val="Heading3"/>
      </w:pPr>
      <w:r>
        <w:t>Step two: State the ask up front</w:t>
      </w:r>
    </w:p>
    <w:p w14:paraId="044607A3" w14:textId="77777777" w:rsidR="009F7B06" w:rsidRDefault="006679FB">
      <w:r>
        <w:t>"I am asking the Senator [or Representative] to publicly oppose the Department of Justice's decision, announced on April 20, 2026, to postpone the compliance dates for the Title II web accessibility rule, and to oppose any weakening of the WCAG 2.1 Level AA technical standard."</w:t>
      </w:r>
    </w:p>
    <w:p w14:paraId="044607A4" w14:textId="77777777" w:rsidR="009F7B06" w:rsidRDefault="006679FB">
      <w:pPr>
        <w:pStyle w:val="Heading3"/>
      </w:pPr>
      <w:r>
        <w:t>Step three: Tell your story in 30 to 60 seconds</w:t>
      </w:r>
    </w:p>
    <w:p w14:paraId="044607A5" w14:textId="77777777" w:rsidR="009F7B06" w:rsidRDefault="006679FB">
      <w:r>
        <w:t xml:space="preserve">"I am blind [or have low vision] and I use [JAWS or a screen reader] to access websites. [TWO TO THREE SENTENCES ABOUT YOUR SPECIFIC EXPERIENCE: name the </w:t>
      </w:r>
      <w:r>
        <w:lastRenderedPageBreak/>
        <w:t>agency, name the barrier, name the consequence.] This rule would have addressed exactly that kind of barrier."</w:t>
      </w:r>
    </w:p>
    <w:p w14:paraId="044607A6" w14:textId="77777777" w:rsidR="009F7B06" w:rsidRDefault="006679FB">
      <w:pPr>
        <w:pStyle w:val="Heading3"/>
      </w:pPr>
      <w:r>
        <w:t>Step four: Make the case briefly</w:t>
      </w:r>
    </w:p>
    <w:p w14:paraId="044607A7" w14:textId="77777777" w:rsidR="009F7B06" w:rsidRDefault="006679FB">
      <w:r>
        <w:t>"The ADA has required equal access since 1990. The 2024 rule just made it clear what equal access looks like online. Public entities had two to three years built into the rule. Pushing the deadline back four days before it took effect is not fair to the blind and low vision people who depend on government services every day."</w:t>
      </w:r>
    </w:p>
    <w:p w14:paraId="044607A8" w14:textId="77777777" w:rsidR="009F7B06" w:rsidRDefault="006679FB">
      <w:pPr>
        <w:pStyle w:val="Heading3"/>
      </w:pPr>
      <w:r>
        <w:t>Step five: Close and confirm</w:t>
      </w:r>
    </w:p>
    <w:p w14:paraId="044607A9" w14:textId="77777777" w:rsidR="009F7B06" w:rsidRDefault="006679FB">
      <w:r>
        <w:t>"Will you please pass this message on to the Senator [or Representative] and let me know what position the office plans to take? My phone number is [PHONE] and my email is [EMAIL]. Thank you for your time."</w:t>
      </w:r>
    </w:p>
    <w:p w14:paraId="044607AA" w14:textId="77777777" w:rsidR="009F7B06" w:rsidRDefault="006679FB">
      <w:r>
        <w:br w:type="page"/>
      </w:r>
    </w:p>
    <w:p w14:paraId="044607AB" w14:textId="77777777" w:rsidR="009F7B06" w:rsidRDefault="006679FB">
      <w:pPr>
        <w:pStyle w:val="Heading1"/>
      </w:pPr>
      <w:r>
        <w:lastRenderedPageBreak/>
        <w:t>Key Facts Reference Card</w:t>
      </w:r>
    </w:p>
    <w:p w14:paraId="044607AC" w14:textId="77777777" w:rsidR="009F7B06" w:rsidRDefault="006679FB">
      <w:r>
        <w:rPr>
          <w:b/>
          <w:bCs/>
        </w:rPr>
        <w:t>The rule that was postponed:</w:t>
      </w:r>
    </w:p>
    <w:p w14:paraId="044607AD" w14:textId="77777777" w:rsidR="009F7B06" w:rsidRDefault="006679FB">
      <w:r>
        <w:t>Title II of the Americans with Disabilities Act, web and mobile application accessibility regulations, published as a final rule on April 24, 2024.</w:t>
      </w:r>
    </w:p>
    <w:p w14:paraId="044607AE" w14:textId="77777777" w:rsidR="009F7B06" w:rsidRDefault="006679FB">
      <w:r>
        <w:rPr>
          <w:b/>
          <w:bCs/>
        </w:rPr>
        <w:t>The technical standard:</w:t>
      </w:r>
    </w:p>
    <w:p w14:paraId="044607AF" w14:textId="77777777" w:rsidR="009F7B06" w:rsidRDefault="006679FB">
      <w:r>
        <w:t>Web Content Accessibility Guidelines, Version 2.1, Level AA.</w:t>
      </w:r>
    </w:p>
    <w:p w14:paraId="044607B0" w14:textId="77777777" w:rsidR="009F7B06" w:rsidRDefault="006679FB">
      <w:r>
        <w:rPr>
          <w:b/>
          <w:bCs/>
        </w:rPr>
        <w:t>Who it covers:</w:t>
      </w:r>
    </w:p>
    <w:p w14:paraId="044607B1" w14:textId="77777777" w:rsidR="009F7B06" w:rsidRDefault="006679FB">
      <w:r>
        <w:t>All state and local government entities, including public schools, public colleges and universities, courts, public libraries, public transit, public hospitals, and special districts.</w:t>
      </w:r>
    </w:p>
    <w:p w14:paraId="044607B2" w14:textId="77777777" w:rsidR="009F7B06" w:rsidRDefault="006679FB">
      <w:r>
        <w:rPr>
          <w:b/>
          <w:bCs/>
        </w:rPr>
        <w:t>Original compliance dates:</w:t>
      </w:r>
    </w:p>
    <w:p w14:paraId="044607B3" w14:textId="77777777" w:rsidR="009F7B06" w:rsidRDefault="006679FB">
      <w:r>
        <w:t>April 24, 2026, for entities serving 50,000 or more people. April 26, 2027, for smaller entities and special districts.</w:t>
      </w:r>
    </w:p>
    <w:p w14:paraId="044607B4" w14:textId="77777777" w:rsidR="009F7B06" w:rsidRDefault="006679FB">
      <w:r>
        <w:rPr>
          <w:b/>
          <w:bCs/>
        </w:rPr>
        <w:t>New compliance dates after the April 20, 2026 Interim Final Rule:</w:t>
      </w:r>
    </w:p>
    <w:p w14:paraId="044607B5" w14:textId="77777777" w:rsidR="009F7B06" w:rsidRDefault="006679FB">
      <w:r>
        <w:t>April 26, 2027, for entities serving 50,000 or more people. April 26, 2028, for smaller entities and special districts.</w:t>
      </w:r>
    </w:p>
    <w:p w14:paraId="044607B6" w14:textId="77777777" w:rsidR="009F7B06" w:rsidRDefault="006679FB">
      <w:r>
        <w:rPr>
          <w:b/>
          <w:bCs/>
        </w:rPr>
        <w:t>Public comment deadline:</w:t>
      </w:r>
    </w:p>
    <w:p w14:paraId="044607B7" w14:textId="77777777" w:rsidR="009F7B06" w:rsidRDefault="006679FB">
      <w:r>
        <w:t>June 22, 2026.</w:t>
      </w:r>
    </w:p>
    <w:p w14:paraId="044607B8" w14:textId="77777777" w:rsidR="009F7B06" w:rsidRDefault="006679FB">
      <w:r>
        <w:rPr>
          <w:b/>
          <w:bCs/>
        </w:rPr>
        <w:t>Public comment link:</w:t>
      </w:r>
    </w:p>
    <w:p w14:paraId="044607B9" w14:textId="77777777" w:rsidR="009F7B06" w:rsidRDefault="006679FB">
      <w:r>
        <w:t>www.regulations.gov/commenton/DOJ-CRT-2026-0067-0001.</w:t>
      </w:r>
    </w:p>
    <w:p w14:paraId="044607BA" w14:textId="77777777" w:rsidR="009F7B06" w:rsidRDefault="006679FB">
      <w:r>
        <w:rPr>
          <w:b/>
          <w:bCs/>
        </w:rPr>
        <w:t>Capitol Switchboard:</w:t>
      </w:r>
    </w:p>
    <w:p w14:paraId="044607BB" w14:textId="77777777" w:rsidR="009F7B06" w:rsidRDefault="006679FB">
      <w:r>
        <w:t>202-224-3121.</w:t>
      </w:r>
    </w:p>
    <w:p w14:paraId="044607BC" w14:textId="77777777" w:rsidR="009F7B06" w:rsidRDefault="006679FB">
      <w:r>
        <w:rPr>
          <w:b/>
          <w:bCs/>
        </w:rPr>
        <w:t>Department of Justice ADA Information Line:</w:t>
      </w:r>
    </w:p>
    <w:p w14:paraId="044607BD" w14:textId="77777777" w:rsidR="009F7B06" w:rsidRDefault="006679FB">
      <w:r>
        <w:t>800-514-0301 voice. 1-833-610-1264 TTY.</w:t>
      </w:r>
    </w:p>
    <w:p w14:paraId="044607BE" w14:textId="77777777" w:rsidR="009F7B06" w:rsidRDefault="006679FB">
      <w:r>
        <w:rPr>
          <w:b/>
          <w:bCs/>
        </w:rPr>
        <w:t>NFB national campaign hub:</w:t>
      </w:r>
    </w:p>
    <w:p w14:paraId="044607BF" w14:textId="77777777" w:rsidR="009F7B06" w:rsidRDefault="006679FB">
      <w:r>
        <w:t>nfb.org/</w:t>
      </w:r>
      <w:proofErr w:type="spellStart"/>
      <w:r>
        <w:t>cena</w:t>
      </w:r>
      <w:proofErr w:type="spellEnd"/>
      <w:r>
        <w:t xml:space="preserve"> (Center of Excellence in Nonvisual Access). Includes the Self-Advocacy Toolkit, the Inaccessibility Tracker Form, the Higher Education Accessibility Online Resource Center, and template letters for parents, students, and employees.</w:t>
      </w:r>
    </w:p>
    <w:p w14:paraId="044607C0" w14:textId="77777777" w:rsidR="009F7B06" w:rsidRDefault="006679FB">
      <w:r>
        <w:rPr>
          <w:b/>
          <w:bCs/>
        </w:rPr>
        <w:lastRenderedPageBreak/>
        <w:t>NFB position summary:</w:t>
      </w:r>
    </w:p>
    <w:p w14:paraId="044607C1" w14:textId="77777777" w:rsidR="009F7B06" w:rsidRDefault="006679FB">
      <w:r>
        <w:t>"There is no basis for reconsidering the website rule, which has already gone through fourteen years of consideration, public input, and adjustment, and which is based on a requirement in existence for nearly fifty years. Public entities have had nearly thirty-six years to prepare for the requirements established in the ADA. Delaying or amending the regulation would severely harm blind and other disabled Americans by denying us access to important civic information." Mark A. Riccobono, National Federation o</w:t>
      </w:r>
      <w:r>
        <w:t>f the Blind, March 5, 2026.</w:t>
      </w:r>
    </w:p>
    <w:p w14:paraId="044607C2" w14:textId="77777777" w:rsidR="009F7B06" w:rsidRDefault="006679FB">
      <w:r>
        <w:rPr>
          <w:b/>
          <w:bCs/>
        </w:rPr>
        <w:t>What did not change:</w:t>
      </w:r>
    </w:p>
    <w:p w14:paraId="044607C3" w14:textId="77777777" w:rsidR="009F7B06" w:rsidRDefault="006679FB">
      <w:r>
        <w:t>The underlying ADA requirement of equally effective communication. WCAG 2.1 Level AA as the technical standard. The right to file private ADA lawsuits. State law obligations. NFB's position.</w:t>
      </w:r>
    </w:p>
    <w:sectPr w:rsidR="009F7B0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5FC"/>
    <w:multiLevelType w:val="hybridMultilevel"/>
    <w:tmpl w:val="6930DB0E"/>
    <w:lvl w:ilvl="0" w:tplc="51022B6E">
      <w:start w:val="1"/>
      <w:numFmt w:val="decimal"/>
      <w:lvlText w:val="%1."/>
      <w:lvlJc w:val="left"/>
      <w:pPr>
        <w:ind w:left="720" w:hanging="360"/>
      </w:pPr>
    </w:lvl>
    <w:lvl w:ilvl="1" w:tplc="9984D562">
      <w:numFmt w:val="decimal"/>
      <w:lvlText w:val=""/>
      <w:lvlJc w:val="left"/>
    </w:lvl>
    <w:lvl w:ilvl="2" w:tplc="AF6E82F2">
      <w:numFmt w:val="decimal"/>
      <w:lvlText w:val=""/>
      <w:lvlJc w:val="left"/>
    </w:lvl>
    <w:lvl w:ilvl="3" w:tplc="0A98A3A4">
      <w:numFmt w:val="decimal"/>
      <w:lvlText w:val=""/>
      <w:lvlJc w:val="left"/>
    </w:lvl>
    <w:lvl w:ilvl="4" w:tplc="335A7324">
      <w:numFmt w:val="decimal"/>
      <w:lvlText w:val=""/>
      <w:lvlJc w:val="left"/>
    </w:lvl>
    <w:lvl w:ilvl="5" w:tplc="A6A0B91A">
      <w:numFmt w:val="decimal"/>
      <w:lvlText w:val=""/>
      <w:lvlJc w:val="left"/>
    </w:lvl>
    <w:lvl w:ilvl="6" w:tplc="9AD68D88">
      <w:numFmt w:val="decimal"/>
      <w:lvlText w:val=""/>
      <w:lvlJc w:val="left"/>
    </w:lvl>
    <w:lvl w:ilvl="7" w:tplc="261A28E0">
      <w:numFmt w:val="decimal"/>
      <w:lvlText w:val=""/>
      <w:lvlJc w:val="left"/>
    </w:lvl>
    <w:lvl w:ilvl="8" w:tplc="8D80EE1C">
      <w:numFmt w:val="decimal"/>
      <w:lvlText w:val=""/>
      <w:lvlJc w:val="left"/>
    </w:lvl>
  </w:abstractNum>
  <w:abstractNum w:abstractNumId="1" w15:restartNumberingAfterBreak="0">
    <w:nsid w:val="075A4778"/>
    <w:multiLevelType w:val="hybridMultilevel"/>
    <w:tmpl w:val="3500BB96"/>
    <w:lvl w:ilvl="0" w:tplc="146E456E">
      <w:start w:val="1"/>
      <w:numFmt w:val="decimal"/>
      <w:lvlText w:val="%1."/>
      <w:lvlJc w:val="left"/>
      <w:pPr>
        <w:ind w:left="720" w:hanging="360"/>
      </w:pPr>
    </w:lvl>
    <w:lvl w:ilvl="1" w:tplc="01C67404">
      <w:numFmt w:val="decimal"/>
      <w:lvlText w:val=""/>
      <w:lvlJc w:val="left"/>
    </w:lvl>
    <w:lvl w:ilvl="2" w:tplc="3542AC5C">
      <w:numFmt w:val="decimal"/>
      <w:lvlText w:val=""/>
      <w:lvlJc w:val="left"/>
    </w:lvl>
    <w:lvl w:ilvl="3" w:tplc="C50E2954">
      <w:numFmt w:val="decimal"/>
      <w:lvlText w:val=""/>
      <w:lvlJc w:val="left"/>
    </w:lvl>
    <w:lvl w:ilvl="4" w:tplc="ED08F5B2">
      <w:numFmt w:val="decimal"/>
      <w:lvlText w:val=""/>
      <w:lvlJc w:val="left"/>
    </w:lvl>
    <w:lvl w:ilvl="5" w:tplc="52501712">
      <w:numFmt w:val="decimal"/>
      <w:lvlText w:val=""/>
      <w:lvlJc w:val="left"/>
    </w:lvl>
    <w:lvl w:ilvl="6" w:tplc="65E6BA12">
      <w:numFmt w:val="decimal"/>
      <w:lvlText w:val=""/>
      <w:lvlJc w:val="left"/>
    </w:lvl>
    <w:lvl w:ilvl="7" w:tplc="E940F8DC">
      <w:numFmt w:val="decimal"/>
      <w:lvlText w:val=""/>
      <w:lvlJc w:val="left"/>
    </w:lvl>
    <w:lvl w:ilvl="8" w:tplc="9820B100">
      <w:numFmt w:val="decimal"/>
      <w:lvlText w:val=""/>
      <w:lvlJc w:val="left"/>
    </w:lvl>
  </w:abstractNum>
  <w:abstractNum w:abstractNumId="2" w15:restartNumberingAfterBreak="0">
    <w:nsid w:val="0D8E3D11"/>
    <w:multiLevelType w:val="hybridMultilevel"/>
    <w:tmpl w:val="EA1A6B44"/>
    <w:lvl w:ilvl="0" w:tplc="9E886080">
      <w:start w:val="1"/>
      <w:numFmt w:val="bullet"/>
      <w:lvlText w:val="●"/>
      <w:lvlJc w:val="left"/>
      <w:pPr>
        <w:ind w:left="720" w:hanging="360"/>
      </w:pPr>
    </w:lvl>
    <w:lvl w:ilvl="1" w:tplc="A50AF20C">
      <w:start w:val="1"/>
      <w:numFmt w:val="bullet"/>
      <w:lvlText w:val="○"/>
      <w:lvlJc w:val="left"/>
      <w:pPr>
        <w:ind w:left="1440" w:hanging="360"/>
      </w:pPr>
    </w:lvl>
    <w:lvl w:ilvl="2" w:tplc="37D42BA2">
      <w:start w:val="1"/>
      <w:numFmt w:val="bullet"/>
      <w:lvlText w:val="■"/>
      <w:lvlJc w:val="left"/>
      <w:pPr>
        <w:ind w:left="2160" w:hanging="360"/>
      </w:pPr>
    </w:lvl>
    <w:lvl w:ilvl="3" w:tplc="2DC8DF80">
      <w:start w:val="1"/>
      <w:numFmt w:val="bullet"/>
      <w:lvlText w:val="●"/>
      <w:lvlJc w:val="left"/>
      <w:pPr>
        <w:ind w:left="2880" w:hanging="360"/>
      </w:pPr>
    </w:lvl>
    <w:lvl w:ilvl="4" w:tplc="DDF2135A">
      <w:start w:val="1"/>
      <w:numFmt w:val="bullet"/>
      <w:lvlText w:val="○"/>
      <w:lvlJc w:val="left"/>
      <w:pPr>
        <w:ind w:left="3600" w:hanging="360"/>
      </w:pPr>
    </w:lvl>
    <w:lvl w:ilvl="5" w:tplc="D7707ECA">
      <w:start w:val="1"/>
      <w:numFmt w:val="bullet"/>
      <w:lvlText w:val="■"/>
      <w:lvlJc w:val="left"/>
      <w:pPr>
        <w:ind w:left="4320" w:hanging="360"/>
      </w:pPr>
    </w:lvl>
    <w:lvl w:ilvl="6" w:tplc="A06E4028">
      <w:start w:val="1"/>
      <w:numFmt w:val="bullet"/>
      <w:lvlText w:val="●"/>
      <w:lvlJc w:val="left"/>
      <w:pPr>
        <w:ind w:left="5040" w:hanging="360"/>
      </w:pPr>
    </w:lvl>
    <w:lvl w:ilvl="7" w:tplc="A3D22E4C">
      <w:start w:val="1"/>
      <w:numFmt w:val="bullet"/>
      <w:lvlText w:val="●"/>
      <w:lvlJc w:val="left"/>
      <w:pPr>
        <w:ind w:left="5760" w:hanging="360"/>
      </w:pPr>
    </w:lvl>
    <w:lvl w:ilvl="8" w:tplc="5FE687C0">
      <w:start w:val="1"/>
      <w:numFmt w:val="bullet"/>
      <w:lvlText w:val="●"/>
      <w:lvlJc w:val="left"/>
      <w:pPr>
        <w:ind w:left="6480" w:hanging="360"/>
      </w:pPr>
    </w:lvl>
  </w:abstractNum>
  <w:abstractNum w:abstractNumId="3" w15:restartNumberingAfterBreak="0">
    <w:nsid w:val="1C4C3A3D"/>
    <w:multiLevelType w:val="hybridMultilevel"/>
    <w:tmpl w:val="EDC41002"/>
    <w:lvl w:ilvl="0" w:tplc="85EE5B0E">
      <w:start w:val="1"/>
      <w:numFmt w:val="decimal"/>
      <w:lvlText w:val="%1."/>
      <w:lvlJc w:val="left"/>
      <w:pPr>
        <w:ind w:left="720" w:hanging="360"/>
      </w:pPr>
    </w:lvl>
    <w:lvl w:ilvl="1" w:tplc="8040AA34">
      <w:numFmt w:val="decimal"/>
      <w:lvlText w:val=""/>
      <w:lvlJc w:val="left"/>
    </w:lvl>
    <w:lvl w:ilvl="2" w:tplc="310AAD88">
      <w:numFmt w:val="decimal"/>
      <w:lvlText w:val=""/>
      <w:lvlJc w:val="left"/>
    </w:lvl>
    <w:lvl w:ilvl="3" w:tplc="D2B4C83C">
      <w:numFmt w:val="decimal"/>
      <w:lvlText w:val=""/>
      <w:lvlJc w:val="left"/>
    </w:lvl>
    <w:lvl w:ilvl="4" w:tplc="534AC054">
      <w:numFmt w:val="decimal"/>
      <w:lvlText w:val=""/>
      <w:lvlJc w:val="left"/>
    </w:lvl>
    <w:lvl w:ilvl="5" w:tplc="11B80E4C">
      <w:numFmt w:val="decimal"/>
      <w:lvlText w:val=""/>
      <w:lvlJc w:val="left"/>
    </w:lvl>
    <w:lvl w:ilvl="6" w:tplc="D89459C2">
      <w:numFmt w:val="decimal"/>
      <w:lvlText w:val=""/>
      <w:lvlJc w:val="left"/>
    </w:lvl>
    <w:lvl w:ilvl="7" w:tplc="F1E8062E">
      <w:numFmt w:val="decimal"/>
      <w:lvlText w:val=""/>
      <w:lvlJc w:val="left"/>
    </w:lvl>
    <w:lvl w:ilvl="8" w:tplc="8B52658E">
      <w:numFmt w:val="decimal"/>
      <w:lvlText w:val=""/>
      <w:lvlJc w:val="left"/>
    </w:lvl>
  </w:abstractNum>
  <w:abstractNum w:abstractNumId="4" w15:restartNumberingAfterBreak="0">
    <w:nsid w:val="35BA621D"/>
    <w:multiLevelType w:val="hybridMultilevel"/>
    <w:tmpl w:val="83968F06"/>
    <w:lvl w:ilvl="0" w:tplc="4ED8269E">
      <w:start w:val="1"/>
      <w:numFmt w:val="decimal"/>
      <w:lvlText w:val="%1."/>
      <w:lvlJc w:val="left"/>
      <w:pPr>
        <w:ind w:left="720" w:hanging="360"/>
      </w:pPr>
    </w:lvl>
    <w:lvl w:ilvl="1" w:tplc="0322AA9A">
      <w:numFmt w:val="decimal"/>
      <w:lvlText w:val=""/>
      <w:lvlJc w:val="left"/>
    </w:lvl>
    <w:lvl w:ilvl="2" w:tplc="7614787A">
      <w:numFmt w:val="decimal"/>
      <w:lvlText w:val=""/>
      <w:lvlJc w:val="left"/>
    </w:lvl>
    <w:lvl w:ilvl="3" w:tplc="7088A7BC">
      <w:numFmt w:val="decimal"/>
      <w:lvlText w:val=""/>
      <w:lvlJc w:val="left"/>
    </w:lvl>
    <w:lvl w:ilvl="4" w:tplc="55C03524">
      <w:numFmt w:val="decimal"/>
      <w:lvlText w:val=""/>
      <w:lvlJc w:val="left"/>
    </w:lvl>
    <w:lvl w:ilvl="5" w:tplc="2D6E2300">
      <w:numFmt w:val="decimal"/>
      <w:lvlText w:val=""/>
      <w:lvlJc w:val="left"/>
    </w:lvl>
    <w:lvl w:ilvl="6" w:tplc="07CEB7E8">
      <w:numFmt w:val="decimal"/>
      <w:lvlText w:val=""/>
      <w:lvlJc w:val="left"/>
    </w:lvl>
    <w:lvl w:ilvl="7" w:tplc="C1D6B492">
      <w:numFmt w:val="decimal"/>
      <w:lvlText w:val=""/>
      <w:lvlJc w:val="left"/>
    </w:lvl>
    <w:lvl w:ilvl="8" w:tplc="E304CC54">
      <w:numFmt w:val="decimal"/>
      <w:lvlText w:val=""/>
      <w:lvlJc w:val="left"/>
    </w:lvl>
  </w:abstractNum>
  <w:abstractNum w:abstractNumId="5" w15:restartNumberingAfterBreak="0">
    <w:nsid w:val="4E0D216B"/>
    <w:multiLevelType w:val="hybridMultilevel"/>
    <w:tmpl w:val="958C98C0"/>
    <w:lvl w:ilvl="0" w:tplc="7D3CCA6C">
      <w:start w:val="1"/>
      <w:numFmt w:val="decimal"/>
      <w:lvlText w:val="%1."/>
      <w:lvlJc w:val="left"/>
      <w:pPr>
        <w:ind w:left="720" w:hanging="360"/>
      </w:pPr>
    </w:lvl>
    <w:lvl w:ilvl="1" w:tplc="2C32DDD8">
      <w:numFmt w:val="decimal"/>
      <w:lvlText w:val=""/>
      <w:lvlJc w:val="left"/>
    </w:lvl>
    <w:lvl w:ilvl="2" w:tplc="62E67074">
      <w:numFmt w:val="decimal"/>
      <w:lvlText w:val=""/>
      <w:lvlJc w:val="left"/>
    </w:lvl>
    <w:lvl w:ilvl="3" w:tplc="B08443F2">
      <w:numFmt w:val="decimal"/>
      <w:lvlText w:val=""/>
      <w:lvlJc w:val="left"/>
    </w:lvl>
    <w:lvl w:ilvl="4" w:tplc="F33E145E">
      <w:numFmt w:val="decimal"/>
      <w:lvlText w:val=""/>
      <w:lvlJc w:val="left"/>
    </w:lvl>
    <w:lvl w:ilvl="5" w:tplc="C41AC234">
      <w:numFmt w:val="decimal"/>
      <w:lvlText w:val=""/>
      <w:lvlJc w:val="left"/>
    </w:lvl>
    <w:lvl w:ilvl="6" w:tplc="F5EE68F6">
      <w:numFmt w:val="decimal"/>
      <w:lvlText w:val=""/>
      <w:lvlJc w:val="left"/>
    </w:lvl>
    <w:lvl w:ilvl="7" w:tplc="2C60DD50">
      <w:numFmt w:val="decimal"/>
      <w:lvlText w:val=""/>
      <w:lvlJc w:val="left"/>
    </w:lvl>
    <w:lvl w:ilvl="8" w:tplc="CEDE94C6">
      <w:numFmt w:val="decimal"/>
      <w:lvlText w:val=""/>
      <w:lvlJc w:val="left"/>
    </w:lvl>
  </w:abstractNum>
  <w:abstractNum w:abstractNumId="6" w15:restartNumberingAfterBreak="0">
    <w:nsid w:val="5C963F48"/>
    <w:multiLevelType w:val="hybridMultilevel"/>
    <w:tmpl w:val="009002BA"/>
    <w:lvl w:ilvl="0" w:tplc="E750AC9A">
      <w:start w:val="1"/>
      <w:numFmt w:val="bullet"/>
      <w:lvlText w:val="•"/>
      <w:lvlJc w:val="left"/>
      <w:pPr>
        <w:ind w:left="720" w:hanging="360"/>
      </w:pPr>
    </w:lvl>
    <w:lvl w:ilvl="1" w:tplc="1112427E">
      <w:numFmt w:val="decimal"/>
      <w:lvlText w:val=""/>
      <w:lvlJc w:val="left"/>
    </w:lvl>
    <w:lvl w:ilvl="2" w:tplc="54AE0A5E">
      <w:numFmt w:val="decimal"/>
      <w:lvlText w:val=""/>
      <w:lvlJc w:val="left"/>
    </w:lvl>
    <w:lvl w:ilvl="3" w:tplc="3B3A846A">
      <w:numFmt w:val="decimal"/>
      <w:lvlText w:val=""/>
      <w:lvlJc w:val="left"/>
    </w:lvl>
    <w:lvl w:ilvl="4" w:tplc="4D1A6A86">
      <w:numFmt w:val="decimal"/>
      <w:lvlText w:val=""/>
      <w:lvlJc w:val="left"/>
    </w:lvl>
    <w:lvl w:ilvl="5" w:tplc="0D06F8E2">
      <w:numFmt w:val="decimal"/>
      <w:lvlText w:val=""/>
      <w:lvlJc w:val="left"/>
    </w:lvl>
    <w:lvl w:ilvl="6" w:tplc="C1FA3D9A">
      <w:numFmt w:val="decimal"/>
      <w:lvlText w:val=""/>
      <w:lvlJc w:val="left"/>
    </w:lvl>
    <w:lvl w:ilvl="7" w:tplc="A91AC08A">
      <w:numFmt w:val="decimal"/>
      <w:lvlText w:val=""/>
      <w:lvlJc w:val="left"/>
    </w:lvl>
    <w:lvl w:ilvl="8" w:tplc="E84084FA">
      <w:numFmt w:val="decimal"/>
      <w:lvlText w:val=""/>
      <w:lvlJc w:val="left"/>
    </w:lvl>
  </w:abstractNum>
  <w:num w:numId="1" w16cid:durableId="540287070">
    <w:abstractNumId w:val="2"/>
    <w:lvlOverride w:ilvl="0">
      <w:startOverride w:val="1"/>
    </w:lvlOverride>
  </w:num>
  <w:num w:numId="2" w16cid:durableId="15998717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B06"/>
    <w:rsid w:val="00004A4E"/>
    <w:rsid w:val="00181E01"/>
    <w:rsid w:val="005F30B0"/>
    <w:rsid w:val="006679FB"/>
    <w:rsid w:val="009F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0733"/>
  <w15:docId w15:val="{8D5AA443-6002-4A70-B1D4-40517E89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312" w:lineRule="auto"/>
    </w:pPr>
  </w:style>
  <w:style w:type="paragraph" w:styleId="Heading1">
    <w:name w:val="heading 1"/>
    <w:basedOn w:val="Normal"/>
    <w:next w:val="Normal"/>
    <w:uiPriority w:val="9"/>
    <w:qFormat/>
    <w:pPr>
      <w:spacing w:before="360" w:after="180"/>
      <w:outlineLvl w:val="0"/>
    </w:pPr>
    <w:rPr>
      <w:b/>
      <w:bCs/>
      <w:sz w:val="32"/>
      <w:szCs w:val="32"/>
    </w:rPr>
  </w:style>
  <w:style w:type="paragraph" w:styleId="Heading2">
    <w:name w:val="heading 2"/>
    <w:basedOn w:val="Normal"/>
    <w:next w:val="Normal"/>
    <w:uiPriority w:val="9"/>
    <w:unhideWhenUsed/>
    <w:qFormat/>
    <w:pPr>
      <w:spacing w:before="300" w:after="120"/>
      <w:outlineLvl w:val="1"/>
    </w:pPr>
    <w:rPr>
      <w:b/>
      <w:bCs/>
      <w:sz w:val="28"/>
      <w:szCs w:val="28"/>
    </w:rPr>
  </w:style>
  <w:style w:type="paragraph" w:styleId="Heading3">
    <w:name w:val="heading 3"/>
    <w:basedOn w:val="Normal"/>
    <w:next w:val="Normal"/>
    <w:uiPriority w:val="9"/>
    <w:unhideWhenUsed/>
    <w:qFormat/>
    <w:pPr>
      <w:spacing w:before="240" w:after="100"/>
      <w:outlineLvl w:val="2"/>
    </w:pPr>
    <w:rPr>
      <w:b/>
      <w:bCs/>
      <w:sz w:val="26"/>
      <w:szCs w:val="26"/>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240"/>
    </w:pPr>
    <w:rPr>
      <w:b/>
      <w:bCs/>
      <w:sz w:val="40"/>
      <w:szCs w:val="40"/>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3480</Words>
  <Characters>18450</Characters>
  <Application>Microsoft Office Word</Application>
  <DocSecurity>0</DocSecurity>
  <Lines>348</Lines>
  <Paragraphs>158</Paragraphs>
  <ScaleCrop>false</ScaleCrop>
  <Company>Saavi Services for the Blind</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Jordan Moon</cp:lastModifiedBy>
  <cp:revision>3</cp:revision>
  <dcterms:created xsi:type="dcterms:W3CDTF">2026-05-06T02:18:00Z</dcterms:created>
  <dcterms:modified xsi:type="dcterms:W3CDTF">2026-05-13T22:34:00Z</dcterms:modified>
</cp:coreProperties>
</file>