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39" w:rsidRPr="00B93B39" w:rsidRDefault="00B93B39" w:rsidP="00B93B39">
      <w:pPr>
        <w:jc w:val="center"/>
        <w:rPr>
          <w:rFonts w:ascii="Arial" w:hAnsi="Arial" w:cs="Arial"/>
          <w:b/>
          <w:sz w:val="28"/>
          <w:szCs w:val="28"/>
        </w:rPr>
      </w:pPr>
      <w:r w:rsidRPr="00B93B39">
        <w:rPr>
          <w:rFonts w:ascii="Arial" w:hAnsi="Arial" w:cs="Arial"/>
          <w:b/>
          <w:sz w:val="28"/>
          <w:szCs w:val="28"/>
        </w:rPr>
        <w:t>Older Individuals Who are Blind</w:t>
      </w:r>
    </w:p>
    <w:p w:rsidR="00B93B39" w:rsidRPr="00B93B39" w:rsidRDefault="00B93B39" w:rsidP="00B93B39">
      <w:pPr>
        <w:pStyle w:val="Header"/>
        <w:jc w:val="center"/>
        <w:rPr>
          <w:rFonts w:ascii="Arial" w:hAnsi="Arial" w:cs="Arial"/>
          <w:sz w:val="28"/>
          <w:szCs w:val="28"/>
        </w:rPr>
      </w:pPr>
      <w:r w:rsidRPr="00B93B39">
        <w:rPr>
          <w:rFonts w:ascii="Arial" w:hAnsi="Arial" w:cs="Arial"/>
          <w:sz w:val="28"/>
          <w:szCs w:val="28"/>
        </w:rPr>
        <w:t>721 Capitol Mall</w:t>
      </w:r>
    </w:p>
    <w:p w:rsidR="00B93B39" w:rsidRPr="00B93B39" w:rsidRDefault="00B93B39" w:rsidP="00B93B39">
      <w:pPr>
        <w:pStyle w:val="Header"/>
        <w:jc w:val="center"/>
        <w:rPr>
          <w:rFonts w:ascii="Arial" w:hAnsi="Arial" w:cs="Arial"/>
          <w:sz w:val="28"/>
          <w:szCs w:val="28"/>
        </w:rPr>
      </w:pPr>
      <w:r w:rsidRPr="00B93B39">
        <w:rPr>
          <w:rFonts w:ascii="Arial" w:hAnsi="Arial" w:cs="Arial"/>
          <w:sz w:val="28"/>
          <w:szCs w:val="28"/>
        </w:rPr>
        <w:t>Sacramento, CA 95814</w:t>
      </w:r>
    </w:p>
    <w:p w:rsidR="00B93B39" w:rsidRPr="00B93B39" w:rsidRDefault="00B93B39" w:rsidP="00B93B39">
      <w:pPr>
        <w:pStyle w:val="Header"/>
        <w:jc w:val="center"/>
        <w:rPr>
          <w:rFonts w:ascii="Arial" w:hAnsi="Arial" w:cs="Arial"/>
          <w:sz w:val="28"/>
          <w:szCs w:val="28"/>
        </w:rPr>
      </w:pPr>
      <w:r w:rsidRPr="00B93B39">
        <w:rPr>
          <w:rFonts w:ascii="Arial" w:hAnsi="Arial" w:cs="Arial"/>
          <w:sz w:val="28"/>
          <w:szCs w:val="28"/>
        </w:rPr>
        <w:t>916-558-5480</w:t>
      </w:r>
    </w:p>
    <w:p w:rsidR="00B93B39" w:rsidRPr="00B93B39" w:rsidRDefault="00B93B39" w:rsidP="00B93B39">
      <w:pPr>
        <w:pStyle w:val="Header"/>
        <w:jc w:val="center"/>
        <w:rPr>
          <w:rFonts w:ascii="Arial" w:hAnsi="Arial" w:cs="Arial"/>
          <w:color w:val="0000FF"/>
          <w:sz w:val="28"/>
          <w:szCs w:val="28"/>
        </w:rPr>
      </w:pPr>
      <w:hyperlink r:id="rId8" w:history="1">
        <w:r w:rsidRPr="00B93B39">
          <w:rPr>
            <w:rStyle w:val="Hyperlink"/>
            <w:rFonts w:ascii="Arial" w:hAnsi="Arial" w:cs="Arial"/>
            <w:color w:val="0000FF"/>
            <w:sz w:val="28"/>
            <w:szCs w:val="28"/>
          </w:rPr>
          <w:t>blindinfo@dor.ca.gov</w:t>
        </w:r>
      </w:hyperlink>
    </w:p>
    <w:p w:rsidR="00B93B39" w:rsidRPr="00B93B39" w:rsidRDefault="00B93B39" w:rsidP="00B93B39">
      <w:pPr>
        <w:pStyle w:val="Header"/>
        <w:jc w:val="center"/>
        <w:rPr>
          <w:rFonts w:ascii="Arial" w:hAnsi="Arial" w:cs="Arial"/>
          <w:color w:val="0033CC"/>
          <w:sz w:val="28"/>
          <w:szCs w:val="28"/>
          <w:u w:val="single"/>
        </w:rPr>
      </w:pPr>
      <w:hyperlink r:id="rId9" w:history="1">
        <w:r w:rsidRPr="00B93B39">
          <w:rPr>
            <w:rFonts w:ascii="Arial" w:hAnsi="Arial" w:cs="Arial"/>
            <w:color w:val="0000FF"/>
            <w:sz w:val="28"/>
            <w:szCs w:val="28"/>
            <w:u w:val="single"/>
          </w:rPr>
          <w:t>www.dor.ca.gov/SSD/Older-Individuals-Who-R-Blind.html</w:t>
        </w:r>
      </w:hyperlink>
    </w:p>
    <w:p w:rsidR="002F6A76" w:rsidRPr="00B93B39" w:rsidRDefault="002F6A76" w:rsidP="002F6A76">
      <w:pPr>
        <w:jc w:val="center"/>
        <w:rPr>
          <w:rFonts w:ascii="Arial" w:hAnsi="Arial" w:cs="Arial"/>
          <w:b/>
          <w:bCs/>
          <w:sz w:val="28"/>
          <w:szCs w:val="28"/>
        </w:rPr>
      </w:pPr>
    </w:p>
    <w:p w:rsidR="00B9551E" w:rsidRPr="0010631D" w:rsidRDefault="00B9551E" w:rsidP="002F6A76">
      <w:pPr>
        <w:rPr>
          <w:rFonts w:ascii="Arial" w:hAnsi="Arial" w:cs="Arial"/>
          <w:b/>
          <w:sz w:val="28"/>
          <w:szCs w:val="28"/>
        </w:rPr>
      </w:pPr>
    </w:p>
    <w:p w:rsidR="002F6A76" w:rsidRPr="0010631D" w:rsidRDefault="002F6A76" w:rsidP="002F6A76">
      <w:pPr>
        <w:rPr>
          <w:rFonts w:ascii="Arial" w:hAnsi="Arial" w:cs="Arial"/>
          <w:b/>
          <w:sz w:val="28"/>
          <w:szCs w:val="28"/>
        </w:rPr>
      </w:pPr>
      <w:r w:rsidRPr="0010631D">
        <w:rPr>
          <w:rFonts w:ascii="Arial" w:hAnsi="Arial" w:cs="Arial"/>
          <w:b/>
          <w:sz w:val="28"/>
          <w:szCs w:val="28"/>
        </w:rPr>
        <w:t>Program Overview</w:t>
      </w:r>
    </w:p>
    <w:p w:rsidR="0010631D" w:rsidRPr="0010631D" w:rsidRDefault="0010631D" w:rsidP="0010631D">
      <w:pPr>
        <w:rPr>
          <w:rFonts w:ascii="Arial" w:hAnsi="Arial" w:cs="Arial"/>
          <w:sz w:val="28"/>
          <w:szCs w:val="28"/>
        </w:rPr>
      </w:pPr>
      <w:r w:rsidRPr="0010631D">
        <w:rPr>
          <w:rFonts w:ascii="Arial" w:hAnsi="Arial" w:cs="Arial"/>
          <w:sz w:val="28"/>
          <w:szCs w:val="28"/>
        </w:rPr>
        <w:t>California has one of the largest concentrations of older blind persons in the country. As a result, the Department of Rehabilitation (DOR) receives annual federal funding under the Rehabilitation Act to provide services and resources to individuals who are age 55 and older and are blind or visually impaired to enable them to remain as independent as possible.</w:t>
      </w:r>
    </w:p>
    <w:p w:rsidR="002F6A76" w:rsidRPr="0010631D" w:rsidRDefault="002F6A76" w:rsidP="002F6A76">
      <w:pPr>
        <w:rPr>
          <w:rFonts w:ascii="Arial" w:hAnsi="Arial" w:cs="Arial"/>
          <w:sz w:val="28"/>
          <w:szCs w:val="28"/>
        </w:rPr>
      </w:pPr>
    </w:p>
    <w:p w:rsidR="0010631D" w:rsidRPr="0010631D" w:rsidRDefault="0010631D" w:rsidP="0010631D">
      <w:pPr>
        <w:rPr>
          <w:rFonts w:ascii="Arial" w:hAnsi="Arial" w:cs="Arial"/>
          <w:sz w:val="28"/>
          <w:szCs w:val="28"/>
        </w:rPr>
      </w:pPr>
      <w:r w:rsidRPr="0010631D">
        <w:rPr>
          <w:rFonts w:ascii="Arial" w:hAnsi="Arial" w:cs="Arial"/>
          <w:sz w:val="28"/>
          <w:szCs w:val="28"/>
        </w:rPr>
        <w:t>The DOR administers grants, which provide core services for unserved and underserved older visually impaired individuals. These grants, commonly referred to as the O</w:t>
      </w:r>
      <w:r w:rsidR="00513CB0">
        <w:rPr>
          <w:rFonts w:ascii="Arial" w:hAnsi="Arial" w:cs="Arial"/>
          <w:sz w:val="28"/>
          <w:szCs w:val="28"/>
        </w:rPr>
        <w:t xml:space="preserve">lder Individuals who are Blind </w:t>
      </w:r>
      <w:r w:rsidRPr="0010631D">
        <w:rPr>
          <w:rFonts w:ascii="Arial" w:hAnsi="Arial" w:cs="Arial"/>
          <w:sz w:val="28"/>
          <w:szCs w:val="28"/>
        </w:rPr>
        <w:t>grants, are sub-granted by the DOR to programs that have the capacity to provide independent living and adjustment services that increases their ability to care for their individual needs.</w:t>
      </w:r>
    </w:p>
    <w:p w:rsidR="0010631D" w:rsidRDefault="0010631D" w:rsidP="009D2B56">
      <w:pPr>
        <w:rPr>
          <w:rFonts w:ascii="Arial" w:hAnsi="Arial" w:cs="Arial"/>
          <w:b/>
          <w:sz w:val="28"/>
          <w:szCs w:val="28"/>
        </w:rPr>
      </w:pPr>
    </w:p>
    <w:p w:rsidR="002F6A76" w:rsidRPr="0010631D" w:rsidRDefault="002F6A76" w:rsidP="009D2B56">
      <w:pPr>
        <w:rPr>
          <w:rFonts w:ascii="Arial" w:hAnsi="Arial" w:cs="Arial"/>
          <w:b/>
          <w:sz w:val="28"/>
          <w:szCs w:val="28"/>
        </w:rPr>
      </w:pPr>
      <w:r w:rsidRPr="0010631D">
        <w:rPr>
          <w:rFonts w:ascii="Arial" w:hAnsi="Arial" w:cs="Arial"/>
          <w:b/>
          <w:sz w:val="28"/>
          <w:szCs w:val="28"/>
        </w:rPr>
        <w:t>Services</w:t>
      </w:r>
    </w:p>
    <w:p w:rsidR="0010631D" w:rsidRPr="0010631D" w:rsidRDefault="0010631D" w:rsidP="0010631D">
      <w:pPr>
        <w:pStyle w:val="ListParagraph"/>
        <w:numPr>
          <w:ilvl w:val="0"/>
          <w:numId w:val="2"/>
        </w:numPr>
        <w:spacing w:before="60"/>
        <w:ind w:left="360"/>
        <w:rPr>
          <w:rFonts w:cs="Arial"/>
          <w:szCs w:val="28"/>
        </w:rPr>
      </w:pPr>
      <w:r w:rsidRPr="0010631D">
        <w:rPr>
          <w:rFonts w:cs="Arial"/>
          <w:szCs w:val="28"/>
        </w:rPr>
        <w:t xml:space="preserve">Orientation &amp; Mobility </w:t>
      </w:r>
    </w:p>
    <w:p w:rsidR="0010631D" w:rsidRPr="0010631D" w:rsidRDefault="0010631D" w:rsidP="0010631D">
      <w:pPr>
        <w:pStyle w:val="ListParagraph"/>
        <w:numPr>
          <w:ilvl w:val="0"/>
          <w:numId w:val="2"/>
        </w:numPr>
        <w:spacing w:before="60"/>
        <w:ind w:left="360"/>
        <w:rPr>
          <w:rFonts w:cs="Arial"/>
          <w:szCs w:val="28"/>
        </w:rPr>
      </w:pPr>
      <w:r w:rsidRPr="0010631D">
        <w:rPr>
          <w:rFonts w:cs="Arial"/>
          <w:szCs w:val="28"/>
        </w:rPr>
        <w:t>Adaptive Equipment/Assistive Technology</w:t>
      </w:r>
    </w:p>
    <w:p w:rsidR="0010631D" w:rsidRPr="0010631D" w:rsidRDefault="0010631D" w:rsidP="0010631D">
      <w:pPr>
        <w:pStyle w:val="ListParagraph"/>
        <w:numPr>
          <w:ilvl w:val="0"/>
          <w:numId w:val="2"/>
        </w:numPr>
        <w:spacing w:before="60"/>
        <w:ind w:left="360"/>
        <w:rPr>
          <w:rFonts w:cs="Arial"/>
          <w:szCs w:val="28"/>
        </w:rPr>
      </w:pPr>
      <w:r w:rsidRPr="0010631D">
        <w:rPr>
          <w:rFonts w:cs="Arial"/>
          <w:szCs w:val="28"/>
        </w:rPr>
        <w:t>Transportation</w:t>
      </w:r>
    </w:p>
    <w:p w:rsidR="0010631D" w:rsidRPr="0010631D" w:rsidRDefault="0010631D" w:rsidP="0010631D">
      <w:pPr>
        <w:pStyle w:val="ListParagraph"/>
        <w:numPr>
          <w:ilvl w:val="0"/>
          <w:numId w:val="2"/>
        </w:numPr>
        <w:spacing w:before="60"/>
        <w:ind w:left="360"/>
        <w:rPr>
          <w:rFonts w:cs="Arial"/>
          <w:szCs w:val="28"/>
        </w:rPr>
      </w:pPr>
      <w:r w:rsidRPr="0010631D">
        <w:rPr>
          <w:rFonts w:cs="Arial"/>
          <w:szCs w:val="28"/>
        </w:rPr>
        <w:t>Activities of Daily Living, or Independent Living Skills</w:t>
      </w:r>
    </w:p>
    <w:p w:rsidR="0010631D" w:rsidRPr="0010631D" w:rsidRDefault="0010631D" w:rsidP="0010631D">
      <w:pPr>
        <w:pStyle w:val="ListParagraph"/>
        <w:numPr>
          <w:ilvl w:val="0"/>
          <w:numId w:val="2"/>
        </w:numPr>
        <w:spacing w:before="60"/>
        <w:ind w:left="360"/>
        <w:rPr>
          <w:rFonts w:cs="Arial"/>
          <w:szCs w:val="28"/>
        </w:rPr>
      </w:pPr>
      <w:r w:rsidRPr="0010631D">
        <w:rPr>
          <w:rFonts w:cs="Arial"/>
          <w:szCs w:val="28"/>
        </w:rPr>
        <w:t>Adjustment Counseling</w:t>
      </w:r>
    </w:p>
    <w:p w:rsidR="0010631D" w:rsidRPr="0010631D" w:rsidRDefault="0010631D" w:rsidP="0010631D">
      <w:pPr>
        <w:pStyle w:val="ListParagraph"/>
        <w:numPr>
          <w:ilvl w:val="0"/>
          <w:numId w:val="2"/>
        </w:numPr>
        <w:spacing w:before="60"/>
        <w:ind w:left="360"/>
        <w:rPr>
          <w:rFonts w:cs="Arial"/>
          <w:szCs w:val="28"/>
        </w:rPr>
      </w:pPr>
      <w:r w:rsidRPr="0010631D">
        <w:rPr>
          <w:rFonts w:cs="Arial"/>
          <w:szCs w:val="28"/>
        </w:rPr>
        <w:t>Self-Advocacy</w:t>
      </w:r>
    </w:p>
    <w:p w:rsidR="0010631D" w:rsidRPr="0010631D" w:rsidRDefault="0010631D" w:rsidP="0010631D">
      <w:pPr>
        <w:pStyle w:val="ListParagraph"/>
        <w:numPr>
          <w:ilvl w:val="0"/>
          <w:numId w:val="2"/>
        </w:numPr>
        <w:spacing w:before="60"/>
        <w:ind w:left="360"/>
        <w:rPr>
          <w:rFonts w:cs="Arial"/>
          <w:szCs w:val="28"/>
        </w:rPr>
      </w:pPr>
      <w:r w:rsidRPr="0010631D">
        <w:rPr>
          <w:rFonts w:cs="Arial"/>
          <w:szCs w:val="28"/>
        </w:rPr>
        <w:t>Low Vision Training</w:t>
      </w:r>
    </w:p>
    <w:p w:rsidR="002F6A76" w:rsidRPr="0010631D" w:rsidRDefault="0010631D" w:rsidP="0010631D">
      <w:pPr>
        <w:numPr>
          <w:ilvl w:val="0"/>
          <w:numId w:val="1"/>
        </w:numPr>
        <w:tabs>
          <w:tab w:val="clear" w:pos="720"/>
          <w:tab w:val="num" w:pos="360"/>
        </w:tabs>
        <w:ind w:left="360"/>
        <w:rPr>
          <w:rFonts w:ascii="Arial" w:hAnsi="Arial" w:cs="Arial"/>
          <w:sz w:val="28"/>
          <w:szCs w:val="28"/>
        </w:rPr>
      </w:pPr>
      <w:r w:rsidRPr="0010631D">
        <w:rPr>
          <w:rFonts w:ascii="Arial" w:hAnsi="Arial" w:cs="Arial"/>
          <w:sz w:val="28"/>
          <w:szCs w:val="28"/>
        </w:rPr>
        <w:t>Other needed services to enhance participation in and integration with the larger community</w:t>
      </w:r>
    </w:p>
    <w:p w:rsidR="00420F08" w:rsidRPr="0010631D" w:rsidRDefault="00420F08" w:rsidP="002F6A76">
      <w:pPr>
        <w:tabs>
          <w:tab w:val="num" w:pos="810"/>
        </w:tabs>
        <w:ind w:left="360"/>
        <w:rPr>
          <w:rFonts w:ascii="Arial" w:hAnsi="Arial" w:cs="Arial"/>
          <w:sz w:val="28"/>
          <w:szCs w:val="28"/>
        </w:rPr>
      </w:pPr>
    </w:p>
    <w:p w:rsidR="002F6A76" w:rsidRPr="0010631D" w:rsidRDefault="0010631D" w:rsidP="009D2B56">
      <w:pPr>
        <w:rPr>
          <w:rFonts w:ascii="Arial" w:hAnsi="Arial" w:cs="Arial"/>
          <w:b/>
          <w:sz w:val="28"/>
          <w:szCs w:val="28"/>
        </w:rPr>
      </w:pPr>
      <w:r w:rsidRPr="0010631D">
        <w:rPr>
          <w:rFonts w:ascii="Arial" w:hAnsi="Arial" w:cs="Arial"/>
          <w:b/>
          <w:sz w:val="28"/>
          <w:szCs w:val="28"/>
        </w:rPr>
        <w:t>Facts</w:t>
      </w:r>
    </w:p>
    <w:p w:rsidR="0010631D" w:rsidRPr="0010631D" w:rsidRDefault="0010631D" w:rsidP="0010631D">
      <w:pPr>
        <w:pStyle w:val="ListParagraph"/>
        <w:numPr>
          <w:ilvl w:val="0"/>
          <w:numId w:val="1"/>
        </w:numPr>
        <w:tabs>
          <w:tab w:val="clear" w:pos="720"/>
          <w:tab w:val="num" w:pos="360"/>
        </w:tabs>
        <w:spacing w:before="60"/>
        <w:ind w:left="360"/>
        <w:rPr>
          <w:rFonts w:cs="Arial"/>
          <w:szCs w:val="28"/>
        </w:rPr>
      </w:pPr>
      <w:r w:rsidRPr="0010631D">
        <w:rPr>
          <w:rFonts w:cs="Arial"/>
          <w:szCs w:val="28"/>
        </w:rPr>
        <w:t>Approximately $3.2 million contracted annually to 17 agencies.</w:t>
      </w:r>
    </w:p>
    <w:p w:rsidR="0010631D" w:rsidRPr="0010631D" w:rsidRDefault="0010631D" w:rsidP="0010631D">
      <w:pPr>
        <w:numPr>
          <w:ilvl w:val="0"/>
          <w:numId w:val="1"/>
        </w:numPr>
        <w:tabs>
          <w:tab w:val="clear" w:pos="720"/>
          <w:tab w:val="num" w:pos="360"/>
        </w:tabs>
        <w:ind w:left="360"/>
        <w:rPr>
          <w:rFonts w:ascii="Arial" w:hAnsi="Arial" w:cs="Arial"/>
          <w:sz w:val="28"/>
          <w:szCs w:val="28"/>
        </w:rPr>
      </w:pPr>
      <w:r w:rsidRPr="0010631D">
        <w:rPr>
          <w:rFonts w:ascii="Arial" w:hAnsi="Arial" w:cs="Arial"/>
          <w:sz w:val="28"/>
          <w:szCs w:val="28"/>
        </w:rPr>
        <w:t>5,874 individuals received services in Federal Fiscal Year 10-11. Over 50% of these consumers were over 80 years of age.</w:t>
      </w:r>
    </w:p>
    <w:p w:rsidR="00C33242" w:rsidRPr="0010631D" w:rsidRDefault="00C33242" w:rsidP="00C33242">
      <w:pPr>
        <w:numPr>
          <w:ilvl w:val="0"/>
          <w:numId w:val="1"/>
        </w:numPr>
        <w:tabs>
          <w:tab w:val="clear" w:pos="720"/>
          <w:tab w:val="left" w:pos="360"/>
        </w:tabs>
        <w:ind w:left="360"/>
        <w:rPr>
          <w:rFonts w:ascii="Arial" w:hAnsi="Arial" w:cs="Arial"/>
          <w:sz w:val="28"/>
          <w:szCs w:val="28"/>
        </w:rPr>
        <w:sectPr w:rsidR="00C33242" w:rsidRPr="0010631D" w:rsidSect="00B93B39">
          <w:headerReference w:type="default" r:id="rId10"/>
          <w:type w:val="continuous"/>
          <w:pgSz w:w="12240" w:h="15840" w:code="1"/>
          <w:pgMar w:top="1440" w:right="1440" w:bottom="720" w:left="1440" w:header="720" w:footer="720" w:gutter="0"/>
          <w:cols w:space="720"/>
          <w:docGrid w:linePitch="326"/>
        </w:sectPr>
      </w:pPr>
    </w:p>
    <w:p w:rsidR="00C33242" w:rsidRPr="0010631D" w:rsidRDefault="00C33242" w:rsidP="00C33242">
      <w:pPr>
        <w:tabs>
          <w:tab w:val="left" w:pos="360"/>
        </w:tabs>
        <w:rPr>
          <w:rFonts w:ascii="Arial" w:hAnsi="Arial" w:cs="Arial"/>
          <w:sz w:val="28"/>
          <w:szCs w:val="28"/>
        </w:rPr>
      </w:pPr>
    </w:p>
    <w:p w:rsidR="00C33242" w:rsidRPr="0010631D" w:rsidRDefault="00C33242" w:rsidP="00C33242">
      <w:pPr>
        <w:tabs>
          <w:tab w:val="left" w:pos="360"/>
        </w:tabs>
        <w:rPr>
          <w:rFonts w:ascii="Arial" w:hAnsi="Arial" w:cs="Arial"/>
          <w:sz w:val="28"/>
          <w:szCs w:val="28"/>
        </w:rPr>
      </w:pPr>
    </w:p>
    <w:p w:rsidR="00EC394E" w:rsidRDefault="00EC394E" w:rsidP="00D53599">
      <w:pPr>
        <w:pStyle w:val="Subtitle"/>
        <w:rPr>
          <w:b w:val="0"/>
          <w:szCs w:val="28"/>
        </w:rPr>
      </w:pPr>
    </w:p>
    <w:p w:rsidR="00C33242" w:rsidRPr="0010631D" w:rsidRDefault="0010631D" w:rsidP="00D53599">
      <w:pPr>
        <w:pStyle w:val="Subtitle"/>
        <w:rPr>
          <w:b w:val="0"/>
          <w:bCs w:val="0"/>
          <w:szCs w:val="28"/>
        </w:rPr>
      </w:pPr>
      <w:r w:rsidRPr="0010631D">
        <w:rPr>
          <w:b w:val="0"/>
          <w:szCs w:val="28"/>
        </w:rPr>
        <w:t>Promoting Independence and Dignity</w:t>
      </w:r>
    </w:p>
    <w:sectPr w:rsidR="00C33242" w:rsidRPr="0010631D" w:rsidSect="00B93B39">
      <w:type w:val="continuous"/>
      <w:pgSz w:w="12240" w:h="15840" w:code="1"/>
      <w:pgMar w:top="2691" w:right="878" w:bottom="864" w:left="878"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B0" w:rsidRPr="008E1C34" w:rsidRDefault="00C962B0">
      <w:pPr>
        <w:rPr>
          <w:sz w:val="20"/>
          <w:szCs w:val="20"/>
        </w:rPr>
      </w:pPr>
      <w:r w:rsidRPr="008E1C34">
        <w:rPr>
          <w:sz w:val="20"/>
          <w:szCs w:val="20"/>
        </w:rPr>
        <w:separator/>
      </w:r>
    </w:p>
  </w:endnote>
  <w:endnote w:type="continuationSeparator" w:id="0">
    <w:p w:rsidR="00C962B0" w:rsidRPr="008E1C34" w:rsidRDefault="00C962B0">
      <w:pPr>
        <w:rPr>
          <w:sz w:val="20"/>
          <w:szCs w:val="20"/>
        </w:rPr>
      </w:pPr>
      <w:r w:rsidRPr="008E1C34">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B0" w:rsidRPr="008E1C34" w:rsidRDefault="00C962B0">
      <w:pPr>
        <w:rPr>
          <w:sz w:val="20"/>
          <w:szCs w:val="20"/>
        </w:rPr>
      </w:pPr>
      <w:r w:rsidRPr="008E1C34">
        <w:rPr>
          <w:sz w:val="20"/>
          <w:szCs w:val="20"/>
        </w:rPr>
        <w:separator/>
      </w:r>
    </w:p>
  </w:footnote>
  <w:footnote w:type="continuationSeparator" w:id="0">
    <w:p w:rsidR="00C962B0" w:rsidRPr="008E1C34" w:rsidRDefault="00C962B0">
      <w:pPr>
        <w:rPr>
          <w:sz w:val="20"/>
          <w:szCs w:val="20"/>
        </w:rPr>
      </w:pPr>
      <w:r w:rsidRPr="008E1C34">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42" w:rsidRPr="008E1C34" w:rsidRDefault="00C33242" w:rsidP="008F262C">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62104"/>
    <w:multiLevelType w:val="hybridMultilevel"/>
    <w:tmpl w:val="C2909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F5393"/>
    <w:multiLevelType w:val="hybridMultilevel"/>
    <w:tmpl w:val="D7208AE4"/>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rawingGridHorizontalSpacing w:val="12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E1C34"/>
    <w:rsid w:val="000F5385"/>
    <w:rsid w:val="0010631D"/>
    <w:rsid w:val="00110A46"/>
    <w:rsid w:val="00120F98"/>
    <w:rsid w:val="00134933"/>
    <w:rsid w:val="0013756D"/>
    <w:rsid w:val="001460D2"/>
    <w:rsid w:val="001524DF"/>
    <w:rsid w:val="00180CBD"/>
    <w:rsid w:val="001C1380"/>
    <w:rsid w:val="001E3E38"/>
    <w:rsid w:val="001F23A1"/>
    <w:rsid w:val="00245B05"/>
    <w:rsid w:val="002F6A76"/>
    <w:rsid w:val="003A47FF"/>
    <w:rsid w:val="003C51A0"/>
    <w:rsid w:val="003E6F76"/>
    <w:rsid w:val="00407904"/>
    <w:rsid w:val="00420F08"/>
    <w:rsid w:val="00446E01"/>
    <w:rsid w:val="004530CE"/>
    <w:rsid w:val="00506068"/>
    <w:rsid w:val="005063B3"/>
    <w:rsid w:val="00513CB0"/>
    <w:rsid w:val="00517396"/>
    <w:rsid w:val="00577377"/>
    <w:rsid w:val="005A0BD1"/>
    <w:rsid w:val="005A48B2"/>
    <w:rsid w:val="005D318C"/>
    <w:rsid w:val="00626765"/>
    <w:rsid w:val="006603CB"/>
    <w:rsid w:val="00725BF7"/>
    <w:rsid w:val="00770884"/>
    <w:rsid w:val="00875647"/>
    <w:rsid w:val="008E1C34"/>
    <w:rsid w:val="008F262C"/>
    <w:rsid w:val="009656F4"/>
    <w:rsid w:val="009720DF"/>
    <w:rsid w:val="009D2B56"/>
    <w:rsid w:val="009F58D9"/>
    <w:rsid w:val="00AB3301"/>
    <w:rsid w:val="00B21C1E"/>
    <w:rsid w:val="00B3037B"/>
    <w:rsid w:val="00B93B39"/>
    <w:rsid w:val="00B9551E"/>
    <w:rsid w:val="00BB632E"/>
    <w:rsid w:val="00C11226"/>
    <w:rsid w:val="00C112EA"/>
    <w:rsid w:val="00C33242"/>
    <w:rsid w:val="00C53D59"/>
    <w:rsid w:val="00C71F85"/>
    <w:rsid w:val="00C86A5A"/>
    <w:rsid w:val="00C962B0"/>
    <w:rsid w:val="00CE2AD2"/>
    <w:rsid w:val="00D175AC"/>
    <w:rsid w:val="00D45680"/>
    <w:rsid w:val="00D53599"/>
    <w:rsid w:val="00D73986"/>
    <w:rsid w:val="00E20E24"/>
    <w:rsid w:val="00E276EF"/>
    <w:rsid w:val="00E73843"/>
    <w:rsid w:val="00EC394E"/>
    <w:rsid w:val="00EF2BFD"/>
    <w:rsid w:val="00F81E4C"/>
    <w:rsid w:val="00FD2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76"/>
    <w:rPr>
      <w:sz w:val="24"/>
      <w:szCs w:val="24"/>
    </w:rPr>
  </w:style>
  <w:style w:type="paragraph" w:styleId="Heading1">
    <w:name w:val="heading 1"/>
    <w:basedOn w:val="Normal"/>
    <w:next w:val="Normal"/>
    <w:link w:val="Heading1Char"/>
    <w:uiPriority w:val="9"/>
    <w:qFormat/>
    <w:rsid w:val="00BB632E"/>
    <w:pPr>
      <w:spacing w:before="100" w:beforeAutospacing="1" w:line="280" w:lineRule="exact"/>
      <w:outlineLvl w:val="0"/>
    </w:pPr>
    <w:rPr>
      <w:rFonts w:ascii="Lucida Sans Unicode" w:hAnsi="Lucida Sans Unicode" w:cs="Arial"/>
      <w:b/>
      <w:color w:val="FFFFFF"/>
      <w:spacing w:val="20"/>
      <w:kern w:val="28"/>
      <w:sz w:val="28"/>
      <w:szCs w:val="28"/>
    </w:rPr>
  </w:style>
  <w:style w:type="paragraph" w:styleId="Heading2">
    <w:name w:val="heading 2"/>
    <w:basedOn w:val="Normal"/>
    <w:next w:val="Normal"/>
    <w:link w:val="Heading2Char"/>
    <w:uiPriority w:val="9"/>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A47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6A76"/>
    <w:pPr>
      <w:keepNext/>
      <w:outlineLvl w:val="3"/>
    </w:pPr>
    <w:rPr>
      <w:rFonts w:ascii="Arial" w:hAnsi="Arial" w:cs="Arial"/>
      <w:b/>
      <w:bCs/>
      <w:sz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5647"/>
    <w:rPr>
      <w:rFonts w:ascii="Lucida Sans Unicode" w:hAnsi="Lucida Sans Unicode" w:cs="Arial"/>
      <w:b/>
      <w:color w:val="FFFFFF"/>
      <w:spacing w:val="20"/>
      <w:kern w:val="28"/>
      <w:sz w:val="28"/>
      <w:szCs w:val="28"/>
      <w:lang w:val="en-US" w:eastAsia="en-US" w:bidi="ar-SA"/>
    </w:rPr>
  </w:style>
  <w:style w:type="character" w:customStyle="1" w:styleId="Heading2Char">
    <w:name w:val="Heading 2 Char"/>
    <w:basedOn w:val="DefaultParagraphFont"/>
    <w:link w:val="Heading2"/>
    <w:uiPriority w:val="9"/>
    <w:locked/>
    <w:rsid w:val="002F6A76"/>
    <w:rPr>
      <w:rFonts w:ascii="Arial" w:hAnsi="Arial" w:cs="Arial"/>
      <w:b/>
      <w:bCs/>
      <w:i/>
      <w:iCs/>
      <w:color w:val="000000"/>
      <w:kern w:val="28"/>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2F6A76"/>
    <w:rPr>
      <w:rFonts w:ascii="Arial" w:hAnsi="Arial" w:cs="Arial"/>
      <w:b/>
      <w:bCs/>
      <w:sz w:val="24"/>
      <w:szCs w:val="24"/>
    </w:rPr>
  </w:style>
  <w:style w:type="paragraph" w:styleId="Header">
    <w:name w:val="header"/>
    <w:basedOn w:val="Normal"/>
    <w:link w:val="HeaderChar"/>
    <w:uiPriority w:val="99"/>
    <w:rsid w:val="00F81E4C"/>
    <w:pPr>
      <w:tabs>
        <w:tab w:val="center" w:pos="4320"/>
        <w:tab w:val="right" w:pos="8640"/>
      </w:tabs>
    </w:pPr>
  </w:style>
  <w:style w:type="character" w:customStyle="1" w:styleId="HeaderChar">
    <w:name w:val="Header Char"/>
    <w:basedOn w:val="DefaultParagraphFont"/>
    <w:link w:val="Header"/>
    <w:uiPriority w:val="99"/>
    <w:locked/>
    <w:rsid w:val="00C33242"/>
    <w:rPr>
      <w:rFonts w:cs="Times New Roman"/>
      <w:sz w:val="24"/>
      <w:szCs w:val="24"/>
    </w:rPr>
  </w:style>
  <w:style w:type="paragraph" w:styleId="Footer">
    <w:name w:val="footer"/>
    <w:basedOn w:val="Normal"/>
    <w:link w:val="FooterChar"/>
    <w:uiPriority w:val="99"/>
    <w:rsid w:val="00F81E4C"/>
    <w:pPr>
      <w:tabs>
        <w:tab w:val="center" w:pos="4320"/>
        <w:tab w:val="right" w:pos="8640"/>
      </w:tabs>
    </w:pPr>
  </w:style>
  <w:style w:type="character" w:customStyle="1" w:styleId="FooterChar">
    <w:name w:val="Footer Char"/>
    <w:basedOn w:val="DefaultParagraphFont"/>
    <w:link w:val="Footer"/>
    <w:uiPriority w:val="99"/>
    <w:locked/>
    <w:rsid w:val="00C33242"/>
    <w:rPr>
      <w:rFonts w:cs="Times New Roman"/>
      <w:sz w:val="24"/>
      <w:szCs w:val="24"/>
    </w:rPr>
  </w:style>
  <w:style w:type="paragraph" w:customStyle="1" w:styleId="Address1">
    <w:name w:val="Address 1"/>
    <w:next w:val="Normal"/>
    <w:rsid w:val="00BB632E"/>
    <w:rPr>
      <w:rFonts w:ascii="Tahoma" w:hAnsi="Tahoma" w:cs="Arial"/>
      <w:spacing w:val="10"/>
      <w:kern w:val="28"/>
      <w:sz w:val="16"/>
      <w:szCs w:val="16"/>
    </w:rPr>
  </w:style>
  <w:style w:type="character" w:styleId="Hyperlink">
    <w:name w:val="Hyperlink"/>
    <w:basedOn w:val="DefaultParagraphFont"/>
    <w:uiPriority w:val="99"/>
    <w:unhideWhenUsed/>
    <w:rsid w:val="002F6A76"/>
    <w:rPr>
      <w:rFonts w:cs="Times New Roman"/>
      <w:color w:val="075CA6"/>
      <w:u w:val="single"/>
    </w:rPr>
  </w:style>
  <w:style w:type="paragraph" w:styleId="Title">
    <w:name w:val="Title"/>
    <w:basedOn w:val="Normal"/>
    <w:link w:val="TitleChar"/>
    <w:uiPriority w:val="10"/>
    <w:qFormat/>
    <w:rsid w:val="002F6A76"/>
    <w:pPr>
      <w:jc w:val="center"/>
    </w:pPr>
    <w:rPr>
      <w:rFonts w:ascii="Arial" w:hAnsi="Arial" w:cs="Arial"/>
      <w:b/>
      <w:bCs/>
      <w:sz w:val="32"/>
    </w:rPr>
  </w:style>
  <w:style w:type="character" w:customStyle="1" w:styleId="TitleChar">
    <w:name w:val="Title Char"/>
    <w:basedOn w:val="DefaultParagraphFont"/>
    <w:link w:val="Title"/>
    <w:uiPriority w:val="10"/>
    <w:locked/>
    <w:rsid w:val="002F6A76"/>
    <w:rPr>
      <w:rFonts w:ascii="Arial" w:hAnsi="Arial" w:cs="Arial"/>
      <w:b/>
      <w:bCs/>
      <w:sz w:val="24"/>
      <w:szCs w:val="24"/>
    </w:rPr>
  </w:style>
  <w:style w:type="paragraph" w:styleId="Subtitle">
    <w:name w:val="Subtitle"/>
    <w:basedOn w:val="Normal"/>
    <w:link w:val="SubtitleChar"/>
    <w:uiPriority w:val="11"/>
    <w:qFormat/>
    <w:rsid w:val="002F6A76"/>
    <w:pPr>
      <w:jc w:val="center"/>
    </w:pPr>
    <w:rPr>
      <w:rFonts w:ascii="Arial" w:hAnsi="Arial" w:cs="Arial"/>
      <w:b/>
      <w:bCs/>
      <w:sz w:val="28"/>
    </w:rPr>
  </w:style>
  <w:style w:type="character" w:customStyle="1" w:styleId="SubtitleChar">
    <w:name w:val="Subtitle Char"/>
    <w:basedOn w:val="DefaultParagraphFont"/>
    <w:link w:val="Subtitle"/>
    <w:uiPriority w:val="11"/>
    <w:locked/>
    <w:rsid w:val="002F6A76"/>
    <w:rPr>
      <w:rFonts w:ascii="Arial" w:hAnsi="Arial" w:cs="Arial"/>
      <w:b/>
      <w:bCs/>
      <w:sz w:val="24"/>
      <w:szCs w:val="24"/>
    </w:rPr>
  </w:style>
  <w:style w:type="character" w:styleId="FollowedHyperlink">
    <w:name w:val="FollowedHyperlink"/>
    <w:basedOn w:val="DefaultParagraphFont"/>
    <w:uiPriority w:val="99"/>
    <w:semiHidden/>
    <w:unhideWhenUsed/>
    <w:rsid w:val="008E1C34"/>
    <w:rPr>
      <w:rFonts w:cs="Times New Roman"/>
      <w:color w:val="800080"/>
      <w:u w:val="single"/>
    </w:rPr>
  </w:style>
  <w:style w:type="paragraph" w:styleId="ListParagraph">
    <w:name w:val="List Paragraph"/>
    <w:basedOn w:val="Normal"/>
    <w:uiPriority w:val="34"/>
    <w:qFormat/>
    <w:rsid w:val="0010631D"/>
    <w:pPr>
      <w:ind w:left="720"/>
      <w:contextualSpacing/>
    </w:pPr>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1744637904">
      <w:marLeft w:val="0"/>
      <w:marRight w:val="0"/>
      <w:marTop w:val="0"/>
      <w:marBottom w:val="0"/>
      <w:divBdr>
        <w:top w:val="none" w:sz="0" w:space="0" w:color="auto"/>
        <w:left w:val="none" w:sz="0" w:space="0" w:color="auto"/>
        <w:bottom w:val="none" w:sz="0" w:space="0" w:color="auto"/>
        <w:right w:val="none" w:sz="0" w:space="0" w:color="auto"/>
      </w:divBdr>
    </w:div>
    <w:div w:id="1744637905">
      <w:marLeft w:val="0"/>
      <w:marRight w:val="0"/>
      <w:marTop w:val="0"/>
      <w:marBottom w:val="0"/>
      <w:divBdr>
        <w:top w:val="none" w:sz="0" w:space="0" w:color="auto"/>
        <w:left w:val="none" w:sz="0" w:space="0" w:color="auto"/>
        <w:bottom w:val="none" w:sz="0" w:space="0" w:color="auto"/>
        <w:right w:val="none" w:sz="0" w:space="0" w:color="auto"/>
      </w:divBdr>
    </w:div>
    <w:div w:id="1744637906">
      <w:marLeft w:val="0"/>
      <w:marRight w:val="0"/>
      <w:marTop w:val="0"/>
      <w:marBottom w:val="0"/>
      <w:divBdr>
        <w:top w:val="none" w:sz="0" w:space="0" w:color="auto"/>
        <w:left w:val="none" w:sz="0" w:space="0" w:color="auto"/>
        <w:bottom w:val="none" w:sz="0" w:space="0" w:color="auto"/>
        <w:right w:val="none" w:sz="0" w:space="0" w:color="auto"/>
      </w:divBdr>
    </w:div>
    <w:div w:id="1744637907">
      <w:marLeft w:val="0"/>
      <w:marRight w:val="0"/>
      <w:marTop w:val="0"/>
      <w:marBottom w:val="0"/>
      <w:divBdr>
        <w:top w:val="none" w:sz="0" w:space="0" w:color="auto"/>
        <w:left w:val="none" w:sz="0" w:space="0" w:color="auto"/>
        <w:bottom w:val="none" w:sz="0" w:space="0" w:color="auto"/>
        <w:right w:val="none" w:sz="0" w:space="0" w:color="auto"/>
      </w:divBdr>
    </w:div>
    <w:div w:id="1744637908">
      <w:marLeft w:val="0"/>
      <w:marRight w:val="0"/>
      <w:marTop w:val="0"/>
      <w:marBottom w:val="0"/>
      <w:divBdr>
        <w:top w:val="none" w:sz="0" w:space="0" w:color="auto"/>
        <w:left w:val="none" w:sz="0" w:space="0" w:color="auto"/>
        <w:bottom w:val="none" w:sz="0" w:space="0" w:color="auto"/>
        <w:right w:val="none" w:sz="0" w:space="0" w:color="auto"/>
      </w:divBdr>
    </w:div>
    <w:div w:id="1744637909">
      <w:marLeft w:val="0"/>
      <w:marRight w:val="0"/>
      <w:marTop w:val="0"/>
      <w:marBottom w:val="0"/>
      <w:divBdr>
        <w:top w:val="none" w:sz="0" w:space="0" w:color="auto"/>
        <w:left w:val="none" w:sz="0" w:space="0" w:color="auto"/>
        <w:bottom w:val="none" w:sz="0" w:space="0" w:color="auto"/>
        <w:right w:val="none" w:sz="0" w:space="0" w:color="auto"/>
      </w:divBdr>
    </w:div>
    <w:div w:id="1744637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indinfo@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ca.gov/SSD/Older-Individuals-Who-R-Bli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haliwa\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26F5-04D1-40D6-AB7D-32ECDA1B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1</Pages>
  <Words>234</Words>
  <Characters>1335</Characters>
  <Application>Microsoft Office Word</Application>
  <DocSecurity>4</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Dhaliwal </dc:creator>
  <cp:keywords/>
  <dc:description/>
  <cp:lastModifiedBy>egomez</cp:lastModifiedBy>
  <cp:revision>2</cp:revision>
  <cp:lastPrinted>2012-06-21T20:03:00Z</cp:lastPrinted>
  <dcterms:created xsi:type="dcterms:W3CDTF">2013-03-19T15:39:00Z</dcterms:created>
  <dcterms:modified xsi:type="dcterms:W3CDTF">2013-03-19T15:39:00Z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