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2D" w:rsidRDefault="006E4C2D" w:rsidP="00A47380"/>
    <w:p w:rsidR="00AF708E" w:rsidRPr="00A47380" w:rsidRDefault="00A47380" w:rsidP="00A47380">
      <w:pPr>
        <w:jc w:val="center"/>
        <w:rPr>
          <w:b/>
          <w:sz w:val="32"/>
          <w:szCs w:val="32"/>
        </w:rPr>
      </w:pPr>
      <w:r w:rsidRPr="00A47380">
        <w:rPr>
          <w:b/>
          <w:sz w:val="32"/>
          <w:szCs w:val="32"/>
        </w:rPr>
        <w:t>California Department of Rehabilitation</w:t>
      </w:r>
    </w:p>
    <w:p w:rsidR="00A47380" w:rsidRPr="00682002" w:rsidRDefault="00A47380" w:rsidP="00A47380">
      <w:pPr>
        <w:rPr>
          <w:sz w:val="32"/>
          <w:szCs w:val="32"/>
        </w:rPr>
      </w:pPr>
    </w:p>
    <w:p w:rsidR="001D5D1B" w:rsidRPr="00547ED8" w:rsidRDefault="001D5D1B" w:rsidP="001D5D1B">
      <w:pPr>
        <w:ind w:right="180"/>
      </w:pPr>
      <w:r w:rsidRPr="00547ED8">
        <w:t>The California Department of Rehabilitation was established in 1963</w:t>
      </w:r>
      <w:r>
        <w:t xml:space="preserve"> and </w:t>
      </w:r>
      <w:r w:rsidRPr="006E4C2D">
        <w:t>works in partnership with consumers and other stakeholders to provide services and advocacy resulting in employment, independent living and equality for individuals with disabiliti</w:t>
      </w:r>
      <w:r>
        <w:t>es</w:t>
      </w:r>
      <w:r w:rsidRPr="00547ED8">
        <w:t>.</w:t>
      </w:r>
      <w:r>
        <w:t xml:space="preserve"> </w:t>
      </w:r>
      <w:r w:rsidRPr="00547ED8">
        <w:t xml:space="preserve"> </w:t>
      </w:r>
    </w:p>
    <w:p w:rsidR="00A47380" w:rsidRDefault="00A47380" w:rsidP="00A47380">
      <w:pPr>
        <w:rPr>
          <w:sz w:val="32"/>
          <w:szCs w:val="32"/>
        </w:rPr>
      </w:pPr>
    </w:p>
    <w:p w:rsidR="001D5D1B" w:rsidRPr="00E06FD4" w:rsidRDefault="001D5D1B" w:rsidP="001D5D1B">
      <w:pPr>
        <w:ind w:right="180"/>
        <w:rPr>
          <w:b/>
          <w:sz w:val="32"/>
          <w:szCs w:val="32"/>
        </w:rPr>
      </w:pPr>
      <w:r>
        <w:rPr>
          <w:b/>
          <w:sz w:val="32"/>
          <w:szCs w:val="32"/>
        </w:rPr>
        <w:t>DOR</w:t>
      </w:r>
      <w:r w:rsidRPr="00E06FD4">
        <w:rPr>
          <w:b/>
          <w:sz w:val="32"/>
          <w:szCs w:val="32"/>
        </w:rPr>
        <w:t xml:space="preserve"> Programs</w:t>
      </w:r>
    </w:p>
    <w:p w:rsidR="001D5D1B" w:rsidRPr="00B423D3" w:rsidRDefault="001D5D1B" w:rsidP="001D5D1B">
      <w:pPr>
        <w:ind w:right="180"/>
        <w:jc w:val="center"/>
        <w:rPr>
          <w:sz w:val="32"/>
          <w:szCs w:val="32"/>
        </w:rPr>
      </w:pPr>
    </w:p>
    <w:p w:rsidR="001D5D1B" w:rsidRPr="00E97285" w:rsidRDefault="001D5D1B" w:rsidP="001D5D1B">
      <w:pPr>
        <w:pStyle w:val="BodyText"/>
        <w:ind w:right="180"/>
        <w:jc w:val="left"/>
        <w:rPr>
          <w:b/>
          <w:u w:val="single"/>
        </w:rPr>
      </w:pPr>
      <w:r w:rsidRPr="00E97285">
        <w:rPr>
          <w:b/>
          <w:u w:val="single"/>
        </w:rPr>
        <w:t>Vocational Rehabilitation Program</w:t>
      </w:r>
    </w:p>
    <w:p w:rsidR="001D5D1B" w:rsidRPr="00905613" w:rsidRDefault="001D5D1B" w:rsidP="001D5D1B">
      <w:pPr>
        <w:pStyle w:val="BodyText"/>
        <w:ind w:right="180"/>
        <w:jc w:val="left"/>
      </w:pPr>
      <w:r w:rsidRPr="00682002">
        <w:t>The DOR administers the</w:t>
      </w:r>
      <w:r w:rsidRPr="000B2CA2">
        <w:rPr>
          <w:szCs w:val="28"/>
        </w:rPr>
        <w:t xml:space="preserve"> largest vocational rehabilitation program in the country.</w:t>
      </w:r>
      <w:r>
        <w:t xml:space="preserve"> With over 80 locations throughout California, the DOR provides services to increase the quality and quantity of employment outcomes for people with a full range of physical and psychiatric disabilities.  S</w:t>
      </w:r>
      <w:r w:rsidRPr="00905613">
        <w:t>ervices</w:t>
      </w:r>
      <w:r>
        <w:t xml:space="preserve"> are tailored</w:t>
      </w:r>
      <w:r w:rsidRPr="00905613">
        <w:t xml:space="preserve"> to each person individually to ensure a greater chance for success. </w:t>
      </w:r>
      <w:r>
        <w:t>A vocational rehabilitation</w:t>
      </w:r>
      <w:r w:rsidRPr="00905613">
        <w:t xml:space="preserve"> </w:t>
      </w:r>
      <w:r>
        <w:t xml:space="preserve">team </w:t>
      </w:r>
      <w:r w:rsidRPr="00905613">
        <w:t>work</w:t>
      </w:r>
      <w:r>
        <w:t>s</w:t>
      </w:r>
      <w:r w:rsidRPr="00905613">
        <w:t xml:space="preserve"> closely with each job seeker to establish the best combination of services, and resources necessary to prepare for, find and retain employment. </w:t>
      </w:r>
      <w:r>
        <w:t xml:space="preserve"> At any given time, the DOR serves approximately 115,000 individuals with disabilities.</w:t>
      </w:r>
    </w:p>
    <w:p w:rsidR="001D5D1B" w:rsidRPr="00905613" w:rsidRDefault="001D5D1B" w:rsidP="001D5D1B">
      <w:pPr>
        <w:ind w:right="180" w:hanging="1440"/>
        <w:contextualSpacing/>
        <w:jc w:val="both"/>
      </w:pPr>
    </w:p>
    <w:p w:rsidR="001D5D1B" w:rsidRPr="00EA0542" w:rsidRDefault="001D5D1B" w:rsidP="001D5D1B">
      <w:pPr>
        <w:pStyle w:val="BodyText"/>
        <w:ind w:right="180"/>
        <w:jc w:val="left"/>
      </w:pPr>
      <w:r>
        <w:t xml:space="preserve">The vocational rehabilitation program is not an entitlement program. Rather, only those individuals who meet eligibility requirements and have the most significant disabilities receive services.  The DOR’s Order of Selection process is prescribed in federal law, and is required when requests for services exceed budgetary resources.  Nationwide, for every $1 in vocational rehabilitation funds expended to assist people with disabilities obtain and retain employment, there is a $6 return on investment.  More specifically, as individuals become employed, they cycle off of public benefits and become contributing taxpayers.  The DOR reported nearly </w:t>
      </w:r>
      <w:r>
        <w:rPr>
          <w:szCs w:val="28"/>
        </w:rPr>
        <w:t>11,000</w:t>
      </w:r>
      <w:r>
        <w:t xml:space="preserve"> successful employment outcomes in the fiscal year 2009-2010.</w:t>
      </w:r>
    </w:p>
    <w:p w:rsidR="00A47380" w:rsidRDefault="00A47380" w:rsidP="00A47380">
      <w:pPr>
        <w:ind w:hanging="1080"/>
        <w:contextualSpacing/>
        <w:rPr>
          <w:szCs w:val="28"/>
          <w:u w:val="single"/>
        </w:rPr>
      </w:pPr>
    </w:p>
    <w:p w:rsidR="00A47380" w:rsidRPr="00A47380" w:rsidRDefault="00A47380" w:rsidP="00A47380">
      <w:pPr>
        <w:tabs>
          <w:tab w:val="left" w:pos="1170"/>
        </w:tabs>
        <w:contextualSpacing/>
        <w:rPr>
          <w:b/>
          <w:szCs w:val="28"/>
          <w:u w:val="single"/>
        </w:rPr>
      </w:pPr>
      <w:r w:rsidRPr="00A47380">
        <w:rPr>
          <w:b/>
          <w:szCs w:val="28"/>
          <w:u w:val="single"/>
        </w:rPr>
        <w:t>Services may include:</w:t>
      </w:r>
    </w:p>
    <w:p w:rsidR="00A47380" w:rsidRDefault="00A47380" w:rsidP="00A47380">
      <w:pPr>
        <w:ind w:hanging="1080"/>
        <w:contextualSpacing/>
        <w:sectPr w:rsidR="00A47380" w:rsidSect="00A47380">
          <w:footerReference w:type="default" r:id="rId8"/>
          <w:footerReference w:type="first" r:id="rId9"/>
          <w:type w:val="continuous"/>
          <w:pgSz w:w="12240" w:h="15840" w:code="1"/>
          <w:pgMar w:top="1440" w:right="1440" w:bottom="1440" w:left="1440" w:header="720" w:footer="720" w:gutter="0"/>
          <w:cols w:space="720"/>
          <w:docGrid w:linePitch="381"/>
        </w:sectPr>
      </w:pPr>
    </w:p>
    <w:p w:rsidR="00A47380" w:rsidRPr="00905613" w:rsidRDefault="00A47380" w:rsidP="001D5D1B">
      <w:pPr>
        <w:contextualSpacing/>
      </w:pPr>
      <w:r w:rsidRPr="00905613">
        <w:lastRenderedPageBreak/>
        <w:t>•Career assessment and counseling</w:t>
      </w:r>
      <w:r>
        <w:tab/>
      </w:r>
      <w:r>
        <w:tab/>
      </w:r>
      <w:r w:rsidRPr="00905613">
        <w:t>•Assistive technology</w:t>
      </w:r>
    </w:p>
    <w:p w:rsidR="00A47380" w:rsidRDefault="00A47380" w:rsidP="001D5D1B">
      <w:pPr>
        <w:contextualSpacing/>
      </w:pPr>
      <w:r w:rsidRPr="00905613">
        <w:t>•Job search and interview skills</w:t>
      </w:r>
    </w:p>
    <w:p w:rsidR="00A47380" w:rsidRPr="00905613" w:rsidRDefault="00A47380" w:rsidP="001D5D1B">
      <w:pPr>
        <w:contextualSpacing/>
      </w:pPr>
      <w:r w:rsidRPr="00905613">
        <w:t>•</w:t>
      </w:r>
      <w:r>
        <w:t>Independent living skills</w:t>
      </w:r>
    </w:p>
    <w:p w:rsidR="00A47380" w:rsidRPr="00905613" w:rsidRDefault="00A47380" w:rsidP="001D5D1B">
      <w:pPr>
        <w:contextualSpacing/>
      </w:pPr>
      <w:r w:rsidRPr="00905613">
        <w:t>•Career education and training</w:t>
      </w:r>
    </w:p>
    <w:p w:rsidR="00A47380" w:rsidRDefault="00A47380" w:rsidP="001D5D1B">
      <w:pPr>
        <w:pStyle w:val="BodyText"/>
        <w:jc w:val="left"/>
        <w:sectPr w:rsidR="00A47380" w:rsidSect="00A47380">
          <w:type w:val="continuous"/>
          <w:pgSz w:w="12240" w:h="15840" w:code="1"/>
          <w:pgMar w:top="1440" w:right="1440" w:bottom="1440" w:left="1440" w:header="720" w:footer="720" w:gutter="0"/>
          <w:cols w:space="720"/>
          <w:docGrid w:linePitch="381"/>
        </w:sectPr>
      </w:pPr>
    </w:p>
    <w:p w:rsidR="00A47380" w:rsidRDefault="00A47380" w:rsidP="001D5D1B">
      <w:pPr>
        <w:pStyle w:val="BodyText"/>
        <w:jc w:val="left"/>
        <w:rPr>
          <w:b/>
          <w:u w:val="single"/>
        </w:rPr>
      </w:pPr>
    </w:p>
    <w:p w:rsidR="00A47380" w:rsidRPr="00E97285" w:rsidRDefault="00A47380" w:rsidP="00A47380">
      <w:pPr>
        <w:pStyle w:val="BodyText"/>
        <w:jc w:val="left"/>
        <w:rPr>
          <w:b/>
          <w:u w:val="single"/>
        </w:rPr>
      </w:pPr>
      <w:r w:rsidRPr="00E97285">
        <w:rPr>
          <w:b/>
          <w:u w:val="single"/>
        </w:rPr>
        <w:lastRenderedPageBreak/>
        <w:t>Independent Living</w:t>
      </w:r>
      <w:r w:rsidR="009A5C78">
        <w:rPr>
          <w:b/>
          <w:u w:val="single"/>
        </w:rPr>
        <w:t xml:space="preserve"> Program</w:t>
      </w:r>
      <w:r w:rsidRPr="00E97285">
        <w:rPr>
          <w:b/>
          <w:u w:val="single"/>
        </w:rPr>
        <w:t xml:space="preserve"> </w:t>
      </w:r>
    </w:p>
    <w:p w:rsidR="001D5D1B" w:rsidRDefault="001D5D1B" w:rsidP="001D5D1B">
      <w:pPr>
        <w:pStyle w:val="BodyText"/>
        <w:ind w:right="180"/>
        <w:jc w:val="left"/>
      </w:pPr>
      <w:r>
        <w:t>With federal work reimbursements from the Social Security Administration, the DOR funds 29 Independent Living Centers in California which provide independent living services to over 30,000 individuals who are aged and/or have significant disabilities to live independently outside of institutions consistent with the 1999 Supreme Court Olmstead Decision.</w:t>
      </w:r>
    </w:p>
    <w:p w:rsidR="00A47380" w:rsidRPr="000C0FA8" w:rsidRDefault="00A47380" w:rsidP="00A47380">
      <w:pPr>
        <w:pStyle w:val="BodyText"/>
        <w:rPr>
          <w:u w:val="single"/>
        </w:rPr>
      </w:pPr>
    </w:p>
    <w:p w:rsidR="00A47380" w:rsidRPr="00E97285" w:rsidRDefault="00A47380" w:rsidP="00A47380">
      <w:pPr>
        <w:pStyle w:val="BodyText"/>
        <w:autoSpaceDE w:val="0"/>
        <w:autoSpaceDN w:val="0"/>
        <w:adjustRightInd w:val="0"/>
        <w:jc w:val="left"/>
        <w:rPr>
          <w:b/>
          <w:szCs w:val="19"/>
          <w:u w:val="single"/>
        </w:rPr>
      </w:pPr>
      <w:r w:rsidRPr="00E97285">
        <w:rPr>
          <w:b/>
          <w:szCs w:val="19"/>
          <w:u w:val="single"/>
        </w:rPr>
        <w:t>Additional Programs</w:t>
      </w:r>
    </w:p>
    <w:p w:rsidR="00A47380" w:rsidRDefault="00A47380" w:rsidP="00A47380">
      <w:pPr>
        <w:pStyle w:val="Pa2"/>
        <w:spacing w:line="240" w:lineRule="auto"/>
        <w:rPr>
          <w:rFonts w:ascii="Arial" w:hAnsi="Arial" w:cs="Arial"/>
          <w:bCs/>
          <w:sz w:val="28"/>
          <w:szCs w:val="28"/>
        </w:rPr>
        <w:sectPr w:rsidR="00A47380" w:rsidSect="00A47380">
          <w:type w:val="continuous"/>
          <w:pgSz w:w="12240" w:h="15840" w:code="1"/>
          <w:pgMar w:top="1440" w:right="1440" w:bottom="1440" w:left="1440" w:header="720" w:footer="720" w:gutter="0"/>
          <w:cols w:space="720"/>
          <w:titlePg/>
          <w:docGrid w:linePitch="381"/>
        </w:sectPr>
      </w:pPr>
    </w:p>
    <w:p w:rsidR="00A47380" w:rsidRPr="0070317F" w:rsidRDefault="00A47380" w:rsidP="008B3542">
      <w:pPr>
        <w:pStyle w:val="Pa2"/>
        <w:tabs>
          <w:tab w:val="left" w:pos="180"/>
        </w:tabs>
        <w:spacing w:line="240" w:lineRule="auto"/>
        <w:rPr>
          <w:rFonts w:ascii="Arial" w:hAnsi="Arial" w:cs="Arial"/>
          <w:bCs/>
          <w:sz w:val="28"/>
          <w:szCs w:val="28"/>
        </w:rPr>
      </w:pPr>
      <w:r w:rsidRPr="0070317F">
        <w:rPr>
          <w:rFonts w:ascii="Arial" w:hAnsi="Arial" w:cs="Arial"/>
          <w:bCs/>
          <w:sz w:val="28"/>
          <w:szCs w:val="28"/>
        </w:rPr>
        <w:t>Assistive Technology Program</w:t>
      </w:r>
      <w:r>
        <w:rPr>
          <w:rFonts w:ascii="Arial" w:hAnsi="Arial" w:cs="Arial"/>
          <w:bCs/>
          <w:sz w:val="28"/>
          <w:szCs w:val="28"/>
        </w:rPr>
        <w:tab/>
      </w:r>
      <w:r>
        <w:rPr>
          <w:rFonts w:ascii="Arial" w:hAnsi="Arial" w:cs="Arial"/>
          <w:bCs/>
          <w:sz w:val="28"/>
          <w:szCs w:val="28"/>
        </w:rPr>
        <w:tab/>
      </w:r>
      <w:r w:rsidRPr="0070317F">
        <w:rPr>
          <w:rFonts w:ascii="Arial" w:hAnsi="Arial" w:cs="Arial"/>
          <w:bCs/>
          <w:sz w:val="28"/>
          <w:szCs w:val="28"/>
        </w:rPr>
        <w:t>Blind Field Services</w:t>
      </w:r>
    </w:p>
    <w:p w:rsidR="00A47380" w:rsidRPr="00C6361E" w:rsidRDefault="00A47380" w:rsidP="008B3542">
      <w:pPr>
        <w:pStyle w:val="Pa2"/>
        <w:tabs>
          <w:tab w:val="left" w:pos="180"/>
        </w:tabs>
        <w:spacing w:line="240" w:lineRule="auto"/>
        <w:rPr>
          <w:rFonts w:ascii="Arial" w:hAnsi="Arial" w:cs="Arial"/>
          <w:bCs/>
          <w:sz w:val="28"/>
          <w:szCs w:val="28"/>
        </w:rPr>
      </w:pPr>
      <w:r w:rsidRPr="00C6361E">
        <w:rPr>
          <w:rFonts w:ascii="Arial" w:hAnsi="Arial" w:cs="Arial"/>
          <w:bCs/>
          <w:sz w:val="28"/>
          <w:szCs w:val="28"/>
        </w:rPr>
        <w:t>Business Enterprises Program</w:t>
      </w:r>
      <w:r w:rsidRPr="00C6361E">
        <w:rPr>
          <w:rFonts w:ascii="Arial" w:hAnsi="Arial" w:cs="Arial"/>
          <w:bCs/>
          <w:sz w:val="28"/>
          <w:szCs w:val="28"/>
        </w:rPr>
        <w:tab/>
      </w:r>
      <w:r w:rsidRPr="00C6361E">
        <w:rPr>
          <w:rFonts w:ascii="Arial" w:hAnsi="Arial" w:cs="Arial"/>
          <w:bCs/>
          <w:sz w:val="28"/>
          <w:szCs w:val="28"/>
        </w:rPr>
        <w:tab/>
      </w:r>
      <w:r>
        <w:rPr>
          <w:rFonts w:ascii="Arial" w:hAnsi="Arial" w:cs="Arial"/>
          <w:bCs/>
          <w:sz w:val="28"/>
          <w:szCs w:val="28"/>
        </w:rPr>
        <w:t>Client Assistance Program</w:t>
      </w:r>
    </w:p>
    <w:p w:rsidR="00A47380" w:rsidRPr="00C6361E" w:rsidRDefault="00A47380" w:rsidP="008B3542">
      <w:pPr>
        <w:pStyle w:val="Pa2"/>
        <w:tabs>
          <w:tab w:val="left" w:pos="180"/>
        </w:tabs>
        <w:spacing w:line="240" w:lineRule="auto"/>
        <w:rPr>
          <w:rFonts w:ascii="Arial" w:hAnsi="Arial" w:cs="Arial"/>
          <w:bCs/>
          <w:sz w:val="28"/>
          <w:szCs w:val="28"/>
        </w:rPr>
      </w:pPr>
      <w:r w:rsidRPr="00C6361E">
        <w:rPr>
          <w:rFonts w:ascii="Arial" w:hAnsi="Arial" w:cs="Arial"/>
          <w:bCs/>
          <w:sz w:val="28"/>
          <w:szCs w:val="28"/>
        </w:rPr>
        <w:t>Deaf and Hard of Hearing Section</w:t>
      </w:r>
      <w:r w:rsidRPr="00C6361E">
        <w:rPr>
          <w:rFonts w:ascii="Arial" w:hAnsi="Arial" w:cs="Arial"/>
          <w:bCs/>
          <w:sz w:val="28"/>
          <w:szCs w:val="28"/>
        </w:rPr>
        <w:tab/>
      </w:r>
      <w:r w:rsidR="001D5D1B">
        <w:rPr>
          <w:rFonts w:ascii="Arial" w:hAnsi="Arial" w:cs="Arial"/>
          <w:bCs/>
          <w:sz w:val="28"/>
          <w:szCs w:val="28"/>
        </w:rPr>
        <w:tab/>
      </w:r>
      <w:r w:rsidRPr="00C6361E">
        <w:rPr>
          <w:rFonts w:ascii="Arial" w:hAnsi="Arial" w:cs="Arial"/>
          <w:bCs/>
          <w:sz w:val="28"/>
          <w:szCs w:val="28"/>
        </w:rPr>
        <w:t>Disability Access Services</w:t>
      </w:r>
    </w:p>
    <w:p w:rsidR="00A47380" w:rsidRPr="00C6361E" w:rsidRDefault="00A47380" w:rsidP="008B3542">
      <w:pPr>
        <w:pStyle w:val="Pa2"/>
        <w:tabs>
          <w:tab w:val="left" w:pos="180"/>
        </w:tabs>
        <w:spacing w:line="240" w:lineRule="auto"/>
        <w:rPr>
          <w:rFonts w:ascii="Arial" w:hAnsi="Arial" w:cs="Arial"/>
          <w:bCs/>
          <w:sz w:val="28"/>
          <w:szCs w:val="28"/>
        </w:rPr>
      </w:pPr>
      <w:r w:rsidRPr="00C6361E">
        <w:rPr>
          <w:rFonts w:ascii="Arial" w:hAnsi="Arial" w:cs="Arial"/>
          <w:bCs/>
          <w:sz w:val="28"/>
          <w:szCs w:val="28"/>
        </w:rPr>
        <w:t xml:space="preserve">Mental Health Cooperative Programs </w:t>
      </w:r>
      <w:r w:rsidRPr="00C6361E">
        <w:rPr>
          <w:rFonts w:ascii="Arial" w:hAnsi="Arial" w:cs="Arial"/>
          <w:bCs/>
          <w:sz w:val="28"/>
          <w:szCs w:val="28"/>
        </w:rPr>
        <w:tab/>
        <w:t>Older Individuals who are Blind</w:t>
      </w:r>
    </w:p>
    <w:p w:rsidR="00A47380" w:rsidRPr="00C6361E" w:rsidRDefault="00A47380" w:rsidP="008B3542">
      <w:pPr>
        <w:pStyle w:val="Pa2"/>
        <w:tabs>
          <w:tab w:val="left" w:pos="180"/>
        </w:tabs>
        <w:spacing w:line="240" w:lineRule="auto"/>
        <w:rPr>
          <w:rFonts w:ascii="Arial" w:hAnsi="Arial" w:cs="Arial"/>
          <w:bCs/>
          <w:sz w:val="28"/>
          <w:szCs w:val="28"/>
        </w:rPr>
      </w:pPr>
      <w:r w:rsidRPr="00C6361E">
        <w:rPr>
          <w:rFonts w:ascii="Arial" w:hAnsi="Arial" w:cs="Arial"/>
          <w:bCs/>
          <w:sz w:val="28"/>
          <w:szCs w:val="28"/>
        </w:rPr>
        <w:t>Orientation Center for the Blind</w:t>
      </w:r>
      <w:r w:rsidRPr="00C6361E">
        <w:rPr>
          <w:rFonts w:ascii="Arial" w:hAnsi="Arial" w:cs="Arial"/>
          <w:bCs/>
          <w:sz w:val="28"/>
          <w:szCs w:val="28"/>
        </w:rPr>
        <w:tab/>
      </w:r>
      <w:r w:rsidRPr="00C6361E">
        <w:rPr>
          <w:rFonts w:ascii="Arial" w:hAnsi="Arial" w:cs="Arial"/>
          <w:bCs/>
          <w:sz w:val="28"/>
          <w:szCs w:val="28"/>
        </w:rPr>
        <w:tab/>
        <w:t>Supported Employment Program</w:t>
      </w:r>
    </w:p>
    <w:p w:rsidR="00A47380" w:rsidRPr="00C6361E" w:rsidRDefault="00A47380" w:rsidP="008B3542">
      <w:pPr>
        <w:pStyle w:val="Pa2"/>
        <w:tabs>
          <w:tab w:val="left" w:pos="180"/>
        </w:tabs>
        <w:spacing w:line="240" w:lineRule="auto"/>
        <w:rPr>
          <w:rFonts w:ascii="Arial" w:hAnsi="Arial" w:cs="Arial"/>
          <w:bCs/>
          <w:sz w:val="28"/>
          <w:szCs w:val="28"/>
        </w:rPr>
      </w:pPr>
      <w:r w:rsidRPr="00C6361E">
        <w:rPr>
          <w:rFonts w:ascii="Arial" w:hAnsi="Arial" w:cs="Arial"/>
          <w:bCs/>
          <w:sz w:val="28"/>
          <w:szCs w:val="28"/>
        </w:rPr>
        <w:t>Transition Partnership Program</w:t>
      </w:r>
      <w:r w:rsidRPr="00C6361E">
        <w:rPr>
          <w:rFonts w:ascii="Arial" w:hAnsi="Arial" w:cs="Arial"/>
          <w:bCs/>
          <w:sz w:val="28"/>
          <w:szCs w:val="28"/>
        </w:rPr>
        <w:tab/>
      </w:r>
      <w:r w:rsidRPr="00C6361E">
        <w:rPr>
          <w:rFonts w:ascii="Arial" w:hAnsi="Arial" w:cs="Arial"/>
          <w:bCs/>
          <w:sz w:val="28"/>
          <w:szCs w:val="28"/>
        </w:rPr>
        <w:tab/>
        <w:t>Traumatic Brain Injury Program</w:t>
      </w:r>
    </w:p>
    <w:p w:rsidR="00A47380" w:rsidRPr="00C6361E" w:rsidRDefault="00A47380" w:rsidP="008B3542">
      <w:pPr>
        <w:pStyle w:val="Pa2"/>
        <w:tabs>
          <w:tab w:val="left" w:pos="180"/>
        </w:tabs>
        <w:spacing w:line="240" w:lineRule="auto"/>
        <w:rPr>
          <w:rFonts w:ascii="Arial" w:hAnsi="Arial" w:cs="Arial"/>
          <w:bCs/>
          <w:sz w:val="28"/>
          <w:szCs w:val="28"/>
        </w:rPr>
      </w:pPr>
      <w:r w:rsidRPr="00C6361E">
        <w:rPr>
          <w:rFonts w:ascii="Arial" w:hAnsi="Arial" w:cs="Arial"/>
          <w:bCs/>
          <w:sz w:val="28"/>
          <w:szCs w:val="28"/>
        </w:rPr>
        <w:t>Workforce Development Section</w:t>
      </w:r>
    </w:p>
    <w:p w:rsidR="00A47380" w:rsidRDefault="00A47380" w:rsidP="008B3542">
      <w:pPr>
        <w:pStyle w:val="BodyText"/>
        <w:autoSpaceDE w:val="0"/>
        <w:autoSpaceDN w:val="0"/>
        <w:adjustRightInd w:val="0"/>
        <w:jc w:val="left"/>
        <w:rPr>
          <w:szCs w:val="19"/>
        </w:rPr>
        <w:sectPr w:rsidR="00A47380" w:rsidSect="00A47380">
          <w:type w:val="continuous"/>
          <w:pgSz w:w="12240" w:h="15840" w:code="1"/>
          <w:pgMar w:top="1440" w:right="1440" w:bottom="1440" w:left="1440" w:header="720" w:footer="720" w:gutter="0"/>
          <w:cols w:space="720"/>
          <w:docGrid w:linePitch="212"/>
        </w:sectPr>
      </w:pPr>
    </w:p>
    <w:p w:rsidR="00A47380" w:rsidRDefault="00A47380" w:rsidP="00A47380">
      <w:pPr>
        <w:pStyle w:val="BodyText"/>
        <w:autoSpaceDE w:val="0"/>
        <w:autoSpaceDN w:val="0"/>
        <w:adjustRightInd w:val="0"/>
        <w:jc w:val="left"/>
        <w:rPr>
          <w:szCs w:val="19"/>
        </w:rPr>
      </w:pPr>
    </w:p>
    <w:p w:rsidR="00A47380" w:rsidRDefault="00A47380" w:rsidP="00A47380">
      <w:pPr>
        <w:pStyle w:val="BodyText"/>
        <w:autoSpaceDE w:val="0"/>
        <w:autoSpaceDN w:val="0"/>
        <w:adjustRightInd w:val="0"/>
        <w:jc w:val="left"/>
        <w:rPr>
          <w:szCs w:val="19"/>
        </w:rPr>
      </w:pPr>
      <w:r w:rsidRPr="0070317F">
        <w:rPr>
          <w:szCs w:val="19"/>
        </w:rPr>
        <w:t xml:space="preserve">For </w:t>
      </w:r>
      <w:r>
        <w:rPr>
          <w:szCs w:val="19"/>
        </w:rPr>
        <w:t xml:space="preserve">more information on the DOR's programs, visit our website </w:t>
      </w:r>
      <w:hyperlink r:id="rId10" w:history="1">
        <w:r w:rsidRPr="00203810">
          <w:rPr>
            <w:rStyle w:val="Hyperlink"/>
            <w:szCs w:val="19"/>
          </w:rPr>
          <w:t>www.dor.ca.gov</w:t>
        </w:r>
      </w:hyperlink>
    </w:p>
    <w:p w:rsidR="00A47380" w:rsidRPr="00C00DB5" w:rsidRDefault="00A47380" w:rsidP="00A47380"/>
    <w:p w:rsidR="00A47380" w:rsidRPr="00E97285" w:rsidRDefault="00A47380" w:rsidP="00A47380">
      <w:pPr>
        <w:pStyle w:val="BodyText"/>
        <w:jc w:val="left"/>
        <w:rPr>
          <w:b/>
          <w:u w:val="single"/>
        </w:rPr>
      </w:pPr>
      <w:r w:rsidRPr="00E97285">
        <w:rPr>
          <w:b/>
          <w:u w:val="single"/>
        </w:rPr>
        <w:t>Funding</w:t>
      </w:r>
    </w:p>
    <w:p w:rsidR="001D5D1B" w:rsidRDefault="001D5D1B" w:rsidP="001D5D1B">
      <w:pPr>
        <w:autoSpaceDE w:val="0"/>
        <w:autoSpaceDN w:val="0"/>
        <w:adjustRightInd w:val="0"/>
        <w:ind w:right="180"/>
        <w:rPr>
          <w:szCs w:val="28"/>
        </w:rPr>
      </w:pPr>
      <w:r>
        <w:t xml:space="preserve">DOR </w:t>
      </w:r>
      <w:r w:rsidRPr="00547ED8">
        <w:t xml:space="preserve">operates under the California Health and Human Services Agency and in accordance with the </w:t>
      </w:r>
      <w:r>
        <w:t xml:space="preserve">federal </w:t>
      </w:r>
      <w:r w:rsidRPr="00547ED8">
        <w:t xml:space="preserve">Rehabilitation Act of 1973, as amended </w:t>
      </w:r>
      <w:r>
        <w:t xml:space="preserve">by </w:t>
      </w:r>
      <w:r w:rsidRPr="003A3F76">
        <w:rPr>
          <w:szCs w:val="28"/>
        </w:rPr>
        <w:t xml:space="preserve">Title IV </w:t>
      </w:r>
      <w:r>
        <w:rPr>
          <w:szCs w:val="28"/>
        </w:rPr>
        <w:t>of the Workforce Investment Act of 1998</w:t>
      </w:r>
      <w:r w:rsidRPr="003A3F76">
        <w:rPr>
          <w:szCs w:val="28"/>
        </w:rPr>
        <w:t xml:space="preserve"> and, as such, administers federal matching funds.  </w:t>
      </w:r>
      <w:r>
        <w:rPr>
          <w:szCs w:val="28"/>
        </w:rPr>
        <w:t xml:space="preserve">Vocational rehabilitation </w:t>
      </w:r>
      <w:r w:rsidRPr="003A3F76">
        <w:rPr>
          <w:szCs w:val="28"/>
        </w:rPr>
        <w:t xml:space="preserve">services are funded with 78.7% federal dollars and 21.3% matching funds, part of which are provided by the </w:t>
      </w:r>
      <w:r>
        <w:rPr>
          <w:szCs w:val="28"/>
        </w:rPr>
        <w:t>s</w:t>
      </w:r>
      <w:r w:rsidRPr="003A3F76">
        <w:rPr>
          <w:szCs w:val="28"/>
        </w:rPr>
        <w:t xml:space="preserve">tate </w:t>
      </w:r>
      <w:r>
        <w:rPr>
          <w:szCs w:val="28"/>
        </w:rPr>
        <w:t>g</w:t>
      </w:r>
      <w:r w:rsidRPr="003A3F76">
        <w:rPr>
          <w:szCs w:val="28"/>
        </w:rPr>
        <w:t xml:space="preserve">eneral </w:t>
      </w:r>
      <w:r>
        <w:rPr>
          <w:szCs w:val="28"/>
        </w:rPr>
        <w:t>f</w:t>
      </w:r>
      <w:r w:rsidRPr="003A3F76">
        <w:rPr>
          <w:szCs w:val="28"/>
        </w:rPr>
        <w:t>und, and part by public agencies through DOR’s cooperative program agreements.  For every $1 in funds the State contributes, DOR receives $4 in federal funds.  The DOR's overall FY 2011-2012 budget is $418 million, of which, $55 million of that is from the General Fund</w:t>
      </w:r>
      <w:r>
        <w:rPr>
          <w:szCs w:val="28"/>
        </w:rPr>
        <w:t>.</w:t>
      </w:r>
    </w:p>
    <w:p w:rsidR="0084271A" w:rsidRDefault="0084271A" w:rsidP="00A47380">
      <w:pPr>
        <w:autoSpaceDE w:val="0"/>
        <w:autoSpaceDN w:val="0"/>
        <w:adjustRightInd w:val="0"/>
        <w:rPr>
          <w:szCs w:val="28"/>
        </w:rPr>
      </w:pPr>
    </w:p>
    <w:p w:rsidR="0084271A" w:rsidRPr="004373AA" w:rsidRDefault="0084271A" w:rsidP="0084271A">
      <w:pPr>
        <w:rPr>
          <w:b/>
          <w:bCs/>
          <w:caps/>
        </w:rPr>
      </w:pPr>
      <w:r w:rsidRPr="004373AA">
        <w:rPr>
          <w:b/>
          <w:bCs/>
        </w:rPr>
        <w:t>For More Information</w:t>
      </w:r>
    </w:p>
    <w:p w:rsidR="0084271A" w:rsidRPr="0084271A" w:rsidRDefault="0084271A" w:rsidP="0084271A">
      <w:pPr>
        <w:pStyle w:val="NoSpacing"/>
        <w:rPr>
          <w:rFonts w:ascii="Arial" w:hAnsi="Arial" w:cs="Arial"/>
          <w:color w:val="0000FF"/>
          <w:sz w:val="28"/>
          <w:szCs w:val="28"/>
          <w:lang/>
        </w:rPr>
      </w:pPr>
      <w:r w:rsidRPr="002D2FAD">
        <w:rPr>
          <w:rFonts w:ascii="Arial" w:hAnsi="Arial" w:cs="Arial"/>
          <w:sz w:val="28"/>
          <w:szCs w:val="28"/>
        </w:rPr>
        <w:t>Department of Rehabilitation</w:t>
      </w:r>
      <w:r>
        <w:rPr>
          <w:szCs w:val="19"/>
          <w:lang/>
        </w:rPr>
        <w:tab/>
      </w:r>
      <w:r>
        <w:rPr>
          <w:szCs w:val="19"/>
          <w:lang/>
        </w:rPr>
        <w:tab/>
      </w:r>
      <w:r>
        <w:rPr>
          <w:szCs w:val="19"/>
          <w:lang/>
        </w:rPr>
        <w:tab/>
      </w:r>
      <w:r>
        <w:rPr>
          <w:szCs w:val="19"/>
          <w:lang/>
        </w:rPr>
        <w:tab/>
      </w:r>
      <w:hyperlink r:id="rId11" w:history="1">
        <w:r w:rsidR="00A849F4" w:rsidRPr="00D725B4">
          <w:rPr>
            <w:rStyle w:val="Hyperlink"/>
            <w:rFonts w:ascii="Arial" w:hAnsi="Arial" w:cs="Arial"/>
            <w:sz w:val="28"/>
            <w:szCs w:val="28"/>
            <w:lang/>
          </w:rPr>
          <w:t>externalaffairs@dor.ca.gov</w:t>
        </w:r>
      </w:hyperlink>
      <w:r w:rsidR="00A849F4">
        <w:rPr>
          <w:rFonts w:ascii="Arial" w:hAnsi="Arial" w:cs="Arial"/>
          <w:color w:val="0000FF"/>
          <w:sz w:val="28"/>
          <w:szCs w:val="28"/>
          <w:lang/>
        </w:rPr>
        <w:t xml:space="preserve"> </w:t>
      </w:r>
    </w:p>
    <w:p w:rsidR="0084271A" w:rsidRPr="0084271A" w:rsidRDefault="0084271A" w:rsidP="0084271A">
      <w:pPr>
        <w:pStyle w:val="NoSpacing"/>
        <w:rPr>
          <w:rFonts w:ascii="Arial" w:hAnsi="Arial" w:cs="Arial"/>
          <w:sz w:val="28"/>
          <w:szCs w:val="28"/>
        </w:rPr>
      </w:pPr>
      <w:r w:rsidRPr="0084271A">
        <w:rPr>
          <w:rFonts w:ascii="Arial" w:hAnsi="Arial" w:cs="Arial"/>
          <w:sz w:val="28"/>
          <w:szCs w:val="28"/>
        </w:rPr>
        <w:t>721 Capitol Mall</w:t>
      </w:r>
      <w:r w:rsidRPr="0084271A">
        <w:rPr>
          <w:rFonts w:ascii="Arial" w:hAnsi="Arial" w:cs="Arial"/>
          <w:sz w:val="28"/>
          <w:szCs w:val="28"/>
        </w:rPr>
        <w:tab/>
      </w:r>
      <w:r w:rsidRPr="0084271A">
        <w:rPr>
          <w:rFonts w:ascii="Arial" w:hAnsi="Arial" w:cs="Arial"/>
          <w:sz w:val="28"/>
          <w:szCs w:val="28"/>
        </w:rPr>
        <w:tab/>
      </w:r>
      <w:r w:rsidRPr="0084271A">
        <w:rPr>
          <w:rFonts w:ascii="Arial" w:hAnsi="Arial" w:cs="Arial"/>
          <w:sz w:val="28"/>
          <w:szCs w:val="28"/>
        </w:rPr>
        <w:tab/>
      </w:r>
      <w:r w:rsidRPr="0084271A">
        <w:rPr>
          <w:rFonts w:ascii="Arial" w:hAnsi="Arial" w:cs="Arial"/>
          <w:sz w:val="28"/>
          <w:szCs w:val="28"/>
        </w:rPr>
        <w:tab/>
      </w:r>
      <w:r w:rsidRPr="0084271A">
        <w:rPr>
          <w:rFonts w:ascii="Arial" w:hAnsi="Arial" w:cs="Arial"/>
          <w:sz w:val="28"/>
          <w:szCs w:val="28"/>
        </w:rPr>
        <w:tab/>
      </w:r>
      <w:r w:rsidRPr="0084271A">
        <w:rPr>
          <w:rFonts w:ascii="Arial" w:hAnsi="Arial" w:cs="Arial"/>
          <w:sz w:val="28"/>
          <w:szCs w:val="28"/>
        </w:rPr>
        <w:tab/>
      </w:r>
      <w:hyperlink r:id="rId12" w:history="1">
        <w:r w:rsidRPr="0084271A">
          <w:rPr>
            <w:rStyle w:val="Hyperlink"/>
            <w:rFonts w:ascii="Arial" w:hAnsi="Arial" w:cs="Arial"/>
            <w:sz w:val="28"/>
            <w:szCs w:val="28"/>
            <w:lang/>
          </w:rPr>
          <w:t>www.dor.ca.gov</w:t>
        </w:r>
      </w:hyperlink>
      <w:hyperlink r:id="rId13" w:history="1"/>
    </w:p>
    <w:p w:rsidR="0084271A" w:rsidRPr="004373AA" w:rsidRDefault="0084271A" w:rsidP="0084271A">
      <w:r w:rsidRPr="004373AA">
        <w:t>Sacramento, CA 95814</w:t>
      </w:r>
    </w:p>
    <w:p w:rsidR="0084271A" w:rsidRDefault="0084271A" w:rsidP="0084271A">
      <w:pPr>
        <w:rPr>
          <w:szCs w:val="19"/>
          <w:lang/>
        </w:rPr>
      </w:pPr>
      <w:r w:rsidRPr="004373AA">
        <w:rPr>
          <w:szCs w:val="19"/>
          <w:lang/>
        </w:rPr>
        <w:t xml:space="preserve">(916) </w:t>
      </w:r>
      <w:r w:rsidR="00A849F4">
        <w:rPr>
          <w:szCs w:val="19"/>
          <w:lang/>
        </w:rPr>
        <w:t>324-1313</w:t>
      </w:r>
    </w:p>
    <w:p w:rsidR="001D5D1B" w:rsidRDefault="001D5D1B" w:rsidP="0084271A">
      <w:r>
        <w:rPr>
          <w:szCs w:val="19"/>
          <w:lang/>
        </w:rPr>
        <w:t>(916) 558-5807 TTY</w:t>
      </w:r>
    </w:p>
    <w:p w:rsidR="0084271A" w:rsidRDefault="0084271A" w:rsidP="0084271A">
      <w:pPr>
        <w:autoSpaceDE w:val="0"/>
        <w:autoSpaceDN w:val="0"/>
        <w:adjustRightInd w:val="0"/>
        <w:rPr>
          <w:szCs w:val="28"/>
        </w:rPr>
      </w:pPr>
    </w:p>
    <w:p w:rsidR="0084271A" w:rsidRDefault="0084271A">
      <w:pPr>
        <w:autoSpaceDE w:val="0"/>
        <w:autoSpaceDN w:val="0"/>
        <w:adjustRightInd w:val="0"/>
        <w:rPr>
          <w:szCs w:val="28"/>
        </w:rPr>
      </w:pPr>
    </w:p>
    <w:sectPr w:rsidR="0084271A" w:rsidSect="00A47380">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1E" w:rsidRDefault="00C6361E">
      <w:r>
        <w:separator/>
      </w:r>
    </w:p>
  </w:endnote>
  <w:endnote w:type="continuationSeparator" w:id="0">
    <w:p w:rsidR="00C6361E" w:rsidRDefault="00C63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1E" w:rsidRDefault="00C6361E" w:rsidP="00C6361E">
    <w:pPr>
      <w:pStyle w:val="Footer"/>
      <w:jc w:val="right"/>
      <w:rPr>
        <w:sz w:val="20"/>
      </w:rPr>
    </w:pPr>
    <w:r>
      <w:rPr>
        <w:sz w:val="20"/>
      </w:rPr>
      <w:t>Information presented is reflective of 2010-2011</w:t>
    </w:r>
  </w:p>
  <w:p w:rsidR="00C6361E" w:rsidRDefault="00C6361E" w:rsidP="00C6361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1E" w:rsidRDefault="00C6361E" w:rsidP="00C6361E">
    <w:pPr>
      <w:pStyle w:val="Footer"/>
      <w:jc w:val="right"/>
      <w:rPr>
        <w:sz w:val="20"/>
      </w:rPr>
    </w:pPr>
    <w:r>
      <w:rPr>
        <w:sz w:val="20"/>
      </w:rPr>
      <w:t>Information presented is reflective of 2010-2011</w:t>
    </w:r>
  </w:p>
  <w:p w:rsidR="00C6361E" w:rsidRDefault="00C636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1E" w:rsidRDefault="00C6361E">
    <w:pPr>
      <w:pStyle w:val="Footer"/>
      <w:jc w:val="right"/>
      <w:rPr>
        <w:rStyle w:val="PageNumber"/>
        <w:rFonts w:cs="Arial"/>
        <w:sz w:val="20"/>
      </w:rPr>
    </w:pP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sidR="001D5D1B">
      <w:rPr>
        <w:rStyle w:val="PageNumber"/>
        <w:rFonts w:cs="Arial"/>
        <w:noProof/>
        <w:sz w:val="20"/>
      </w:rPr>
      <w:t>3</w:t>
    </w:r>
    <w:r>
      <w:rPr>
        <w:rStyle w:val="PageNumber"/>
        <w:rFonts w:cs="Arial"/>
        <w:sz w:val="20"/>
      </w:rPr>
      <w:fldChar w:fldCharType="end"/>
    </w:r>
    <w:r>
      <w:rPr>
        <w:rStyle w:val="PageNumber"/>
        <w:rFonts w:cs="Arial"/>
        <w:sz w:val="20"/>
      </w:rPr>
      <w:t xml:space="preserve"> of </w:t>
    </w:r>
    <w:r>
      <w:rPr>
        <w:rStyle w:val="PageNumber"/>
        <w:rFonts w:cs="Arial"/>
        <w:sz w:val="20"/>
      </w:rPr>
      <w:fldChar w:fldCharType="begin"/>
    </w:r>
    <w:r>
      <w:rPr>
        <w:rStyle w:val="PageNumber"/>
        <w:rFonts w:cs="Arial"/>
        <w:sz w:val="20"/>
      </w:rPr>
      <w:instrText xml:space="preserve"> NUMPAGES </w:instrText>
    </w:r>
    <w:r>
      <w:rPr>
        <w:rStyle w:val="PageNumber"/>
        <w:rFonts w:cs="Arial"/>
        <w:sz w:val="20"/>
      </w:rPr>
      <w:fldChar w:fldCharType="separate"/>
    </w:r>
    <w:r w:rsidR="001D5D1B">
      <w:rPr>
        <w:rStyle w:val="PageNumber"/>
        <w:rFonts w:cs="Arial"/>
        <w:noProof/>
        <w:sz w:val="20"/>
      </w:rPr>
      <w:t>3</w:t>
    </w:r>
    <w:r>
      <w:rPr>
        <w:rStyle w:val="PageNumber"/>
        <w:rFonts w:cs="Arial"/>
        <w:sz w:val="20"/>
      </w:rPr>
      <w:fldChar w:fldCharType="end"/>
    </w:r>
  </w:p>
  <w:p w:rsidR="00C6361E" w:rsidRDefault="00C6361E">
    <w:pPr>
      <w:pStyle w:val="Footer"/>
      <w:jc w:val="right"/>
      <w:rPr>
        <w:sz w:val="20"/>
      </w:rPr>
    </w:pPr>
    <w:r>
      <w:rPr>
        <w:sz w:val="20"/>
      </w:rPr>
      <w:t>Information presented is reflective of 2010-2011</w:t>
    </w:r>
  </w:p>
  <w:p w:rsidR="00C6361E" w:rsidRDefault="00C6361E" w:rsidP="00493E9A">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1E" w:rsidRDefault="00C6361E">
      <w:r>
        <w:separator/>
      </w:r>
    </w:p>
  </w:footnote>
  <w:footnote w:type="continuationSeparator" w:id="0">
    <w:p w:rsidR="00C6361E" w:rsidRDefault="00C63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A2C95C"/>
    <w:lvl w:ilvl="0">
      <w:numFmt w:val="decimal"/>
      <w:lvlText w:val="*"/>
      <w:lvlJc w:val="left"/>
      <w:rPr>
        <w:rFonts w:cs="Times New Roman"/>
      </w:rPr>
    </w:lvl>
  </w:abstractNum>
  <w:abstractNum w:abstractNumId="1">
    <w:nsid w:val="00501BF1"/>
    <w:multiLevelType w:val="hybridMultilevel"/>
    <w:tmpl w:val="80C6A210"/>
    <w:lvl w:ilvl="0" w:tplc="7AD480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D5469"/>
    <w:multiLevelType w:val="hybridMultilevel"/>
    <w:tmpl w:val="25C8F05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700"/>
        </w:tabs>
        <w:ind w:left="2700" w:hanging="360"/>
      </w:pPr>
      <w:rPr>
        <w:rFonts w:cs="Times New Roman"/>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docVars>
    <w:docVar w:name="dgnword-docGUID" w:val="{7B76DD5E-F6C3-4EBD-94A7-0B6AC977C26D}"/>
    <w:docVar w:name="dgnword-eventsink" w:val="44035096"/>
  </w:docVars>
  <w:rsids>
    <w:rsidRoot w:val="006E4C2D"/>
    <w:rsid w:val="0004623B"/>
    <w:rsid w:val="00060CD3"/>
    <w:rsid w:val="000B2CA2"/>
    <w:rsid w:val="000C0FA8"/>
    <w:rsid w:val="001D47E7"/>
    <w:rsid w:val="001D5D1B"/>
    <w:rsid w:val="00203810"/>
    <w:rsid w:val="002D2FAD"/>
    <w:rsid w:val="002D4068"/>
    <w:rsid w:val="00320F32"/>
    <w:rsid w:val="003A3F76"/>
    <w:rsid w:val="003B374E"/>
    <w:rsid w:val="004373AA"/>
    <w:rsid w:val="00493E9A"/>
    <w:rsid w:val="00547ED8"/>
    <w:rsid w:val="00613090"/>
    <w:rsid w:val="00682002"/>
    <w:rsid w:val="0069438B"/>
    <w:rsid w:val="006E4C2D"/>
    <w:rsid w:val="0070317F"/>
    <w:rsid w:val="0084271A"/>
    <w:rsid w:val="008670E0"/>
    <w:rsid w:val="008B3542"/>
    <w:rsid w:val="00905613"/>
    <w:rsid w:val="009A5C78"/>
    <w:rsid w:val="00A47380"/>
    <w:rsid w:val="00A849F4"/>
    <w:rsid w:val="00A917B3"/>
    <w:rsid w:val="00AA29EA"/>
    <w:rsid w:val="00AC1DFA"/>
    <w:rsid w:val="00AF708E"/>
    <w:rsid w:val="00B423D3"/>
    <w:rsid w:val="00BE3AEF"/>
    <w:rsid w:val="00C00DB5"/>
    <w:rsid w:val="00C05855"/>
    <w:rsid w:val="00C23705"/>
    <w:rsid w:val="00C526BF"/>
    <w:rsid w:val="00C6361E"/>
    <w:rsid w:val="00C76D5C"/>
    <w:rsid w:val="00D26858"/>
    <w:rsid w:val="00D65D28"/>
    <w:rsid w:val="00D725B4"/>
    <w:rsid w:val="00DD3F91"/>
    <w:rsid w:val="00E00645"/>
    <w:rsid w:val="00E06FD4"/>
    <w:rsid w:val="00E914E0"/>
    <w:rsid w:val="00E97285"/>
    <w:rsid w:val="00E97572"/>
    <w:rsid w:val="00EA0542"/>
    <w:rsid w:val="00EB42A9"/>
    <w:rsid w:val="00EE2AAC"/>
    <w:rsid w:val="00F37F81"/>
    <w:rsid w:val="00FB2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4"/>
    </w:rPr>
  </w:style>
  <w:style w:type="paragraph" w:styleId="Heading1">
    <w:name w:val="heading 1"/>
    <w:basedOn w:val="Normal"/>
    <w:next w:val="Normal"/>
    <w:link w:val="Heading1Char"/>
    <w:uiPriority w:val="9"/>
    <w:qFormat/>
    <w:pPr>
      <w:keepNext/>
      <w:autoSpaceDE w:val="0"/>
      <w:autoSpaceDN w:val="0"/>
      <w:adjustRightInd w:val="0"/>
      <w:spacing w:before="100" w:after="100"/>
      <w:jc w:val="both"/>
      <w:outlineLvl w:val="0"/>
    </w:pPr>
    <w:rPr>
      <w:szCs w:val="28"/>
      <w:u w:val="single"/>
    </w:rPr>
  </w:style>
  <w:style w:type="paragraph" w:styleId="Heading2">
    <w:name w:val="heading 2"/>
    <w:basedOn w:val="Normal"/>
    <w:next w:val="Normal"/>
    <w:link w:val="Heading2Char"/>
    <w:uiPriority w:val="9"/>
    <w:qFormat/>
    <w:pPr>
      <w:keepNext/>
      <w:outlineLvl w:val="1"/>
    </w:pPr>
    <w:rPr>
      <w:u w:val="single"/>
    </w:rPr>
  </w:style>
  <w:style w:type="paragraph" w:styleId="Heading3">
    <w:name w:val="heading 3"/>
    <w:basedOn w:val="Normal"/>
    <w:next w:val="Normal"/>
    <w:link w:val="Heading3Char"/>
    <w:uiPriority w:val="9"/>
    <w:qFormat/>
    <w:pPr>
      <w:keepNext/>
      <w:outlineLvl w:val="2"/>
    </w:pPr>
    <w:rPr>
      <w:rFonts w:eastAsia="MS Mincho"/>
      <w:b/>
      <w:bCs/>
    </w:rPr>
  </w:style>
  <w:style w:type="paragraph" w:styleId="Heading4">
    <w:name w:val="heading 4"/>
    <w:basedOn w:val="Normal"/>
    <w:next w:val="Normal"/>
    <w:link w:val="Heading4Char"/>
    <w:uiPriority w:val="9"/>
    <w:qFormat/>
    <w:pPr>
      <w:keepNext/>
      <w:tabs>
        <w:tab w:val="left" w:pos="5186"/>
        <w:tab w:val="left" w:pos="6466"/>
        <w:tab w:val="left" w:pos="7499"/>
        <w:tab w:val="left" w:pos="10211"/>
      </w:tabs>
      <w:outlineLvl w:val="3"/>
    </w:pPr>
    <w:rPr>
      <w:b/>
      <w:bCs/>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Arial" w:hAnsi="Arial" w:cs="Arial"/>
    </w:rPr>
  </w:style>
  <w:style w:type="character" w:styleId="FootnoteReference">
    <w:name w:val="footnote reference"/>
    <w:basedOn w:val="DefaultParagraphFont"/>
    <w:uiPriority w:val="99"/>
    <w:semiHidden/>
    <w:rPr>
      <w:rFonts w:cs="Times New Roman"/>
      <w:vertAlign w:val="superscript"/>
    </w:rPr>
  </w:style>
  <w:style w:type="paragraph" w:styleId="BodyTextIndent3">
    <w:name w:val="Body Text Indent 3"/>
    <w:basedOn w:val="Normal"/>
    <w:link w:val="BodyTextIndent3Char"/>
    <w:uiPriority w:val="99"/>
    <w:semiHidden/>
    <w:pPr>
      <w:tabs>
        <w:tab w:val="left" w:pos="540"/>
        <w:tab w:val="left" w:pos="1080"/>
      </w:tabs>
      <w:spacing w:line="240" w:lineRule="atLeast"/>
      <w:ind w:left="540"/>
    </w:pPr>
    <w:rPr>
      <w:rFonts w:ascii="Times New Roman" w:hAnsi="Times New Roman" w:cs="Times New Roman"/>
      <w:color w:val="000000"/>
      <w:sz w:val="24"/>
      <w:szCs w:val="20"/>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styleId="BodyText">
    <w:name w:val="Body Text"/>
    <w:basedOn w:val="Normal"/>
    <w:link w:val="BodyTextChar"/>
    <w:uiPriority w:val="99"/>
    <w:semiHidden/>
    <w:pPr>
      <w:jc w:val="both"/>
    </w:pPr>
  </w:style>
  <w:style w:type="character" w:customStyle="1" w:styleId="BodyTextChar">
    <w:name w:val="Body Text Char"/>
    <w:basedOn w:val="DefaultParagraphFont"/>
    <w:link w:val="BodyText"/>
    <w:uiPriority w:val="99"/>
    <w:semiHidden/>
    <w:locked/>
    <w:rsid w:val="00EA0542"/>
    <w:rPr>
      <w:rFonts w:ascii="Arial" w:hAnsi="Arial" w:cs="Arial"/>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semiHidden/>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Arial"/>
    </w:rPr>
  </w:style>
  <w:style w:type="paragraph" w:styleId="NormalWeb">
    <w:name w:val="Normal (Web)"/>
    <w:basedOn w:val="Normal"/>
    <w:uiPriority w:val="99"/>
    <w:unhideWhenUsed/>
    <w:rsid w:val="000B2CA2"/>
    <w:pPr>
      <w:spacing w:before="168" w:after="216"/>
    </w:pPr>
    <w:rPr>
      <w:rFonts w:ascii="Times New Roman" w:hAnsi="Times New Roman" w:cs="Times New Roman"/>
      <w:sz w:val="24"/>
    </w:rPr>
  </w:style>
  <w:style w:type="paragraph" w:customStyle="1" w:styleId="Default">
    <w:name w:val="Default"/>
    <w:rsid w:val="0070317F"/>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70317F"/>
    <w:pPr>
      <w:spacing w:line="481" w:lineRule="atLeast"/>
    </w:pPr>
    <w:rPr>
      <w:rFonts w:cs="Times New Roman"/>
      <w:color w:val="auto"/>
    </w:rPr>
  </w:style>
  <w:style w:type="character" w:customStyle="1" w:styleId="A6">
    <w:name w:val="A6"/>
    <w:uiPriority w:val="99"/>
    <w:rsid w:val="0070317F"/>
    <w:rPr>
      <w:b/>
      <w:color w:val="000000"/>
      <w:sz w:val="36"/>
    </w:rPr>
  </w:style>
  <w:style w:type="paragraph" w:customStyle="1" w:styleId="Pa2">
    <w:name w:val="Pa2"/>
    <w:basedOn w:val="Default"/>
    <w:next w:val="Default"/>
    <w:uiPriority w:val="99"/>
    <w:rsid w:val="0070317F"/>
    <w:pPr>
      <w:spacing w:line="241" w:lineRule="atLeast"/>
    </w:pPr>
    <w:rPr>
      <w:rFonts w:cs="Times New Roman"/>
      <w:color w:val="auto"/>
    </w:rPr>
  </w:style>
  <w:style w:type="character" w:styleId="Hyperlink">
    <w:name w:val="Hyperlink"/>
    <w:basedOn w:val="DefaultParagraphFont"/>
    <w:uiPriority w:val="99"/>
    <w:unhideWhenUsed/>
    <w:rsid w:val="0070317F"/>
    <w:rPr>
      <w:rFonts w:cs="Times New Roman"/>
      <w:color w:val="0000FF"/>
      <w:u w:val="single"/>
    </w:rPr>
  </w:style>
  <w:style w:type="paragraph" w:customStyle="1" w:styleId="Address1">
    <w:name w:val="Address 1"/>
    <w:next w:val="Normal"/>
    <w:rsid w:val="00A47380"/>
    <w:rPr>
      <w:rFonts w:ascii="Tahoma" w:hAnsi="Tahoma" w:cs="Arial"/>
      <w:spacing w:val="10"/>
      <w:kern w:val="28"/>
      <w:sz w:val="16"/>
      <w:szCs w:val="16"/>
    </w:rPr>
  </w:style>
  <w:style w:type="paragraph" w:styleId="NoSpacing">
    <w:name w:val="No Spacing"/>
    <w:uiPriority w:val="1"/>
    <w:qFormat/>
    <w:rsid w:val="0084271A"/>
  </w:style>
</w:styles>
</file>

<file path=word/webSettings.xml><?xml version="1.0" encoding="utf-8"?>
<w:webSettings xmlns:r="http://schemas.openxmlformats.org/officeDocument/2006/relationships" xmlns:w="http://schemas.openxmlformats.org/wordprocessingml/2006/main">
  <w:divs>
    <w:div w:id="2056391025">
      <w:marLeft w:val="0"/>
      <w:marRight w:val="0"/>
      <w:marTop w:val="0"/>
      <w:marBottom w:val="0"/>
      <w:divBdr>
        <w:top w:val="none" w:sz="0" w:space="0" w:color="auto"/>
        <w:left w:val="none" w:sz="0" w:space="0" w:color="auto"/>
        <w:bottom w:val="none" w:sz="0" w:space="0" w:color="auto"/>
        <w:right w:val="none" w:sz="0" w:space="0" w:color="auto"/>
      </w:divBdr>
      <w:divsChild>
        <w:div w:id="2056391024">
          <w:marLeft w:val="0"/>
          <w:marRight w:val="0"/>
          <w:marTop w:val="0"/>
          <w:marBottom w:val="0"/>
          <w:divBdr>
            <w:top w:val="none" w:sz="0" w:space="0" w:color="auto"/>
            <w:left w:val="none" w:sz="0" w:space="0" w:color="auto"/>
            <w:bottom w:val="none" w:sz="0" w:space="0" w:color="auto"/>
            <w:right w:val="none" w:sz="0" w:space="0" w:color="auto"/>
          </w:divBdr>
          <w:divsChild>
            <w:div w:id="2056391026">
              <w:marLeft w:val="3980"/>
              <w:marRight w:val="0"/>
              <w:marTop w:val="0"/>
              <w:marBottom w:val="0"/>
              <w:divBdr>
                <w:top w:val="none" w:sz="0" w:space="0" w:color="auto"/>
                <w:left w:val="none" w:sz="0" w:space="0" w:color="auto"/>
                <w:bottom w:val="none" w:sz="0" w:space="0" w:color="auto"/>
                <w:right w:val="none" w:sz="0" w:space="0" w:color="auto"/>
              </w:divBdr>
              <w:divsChild>
                <w:div w:id="2056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affairs@dor.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r.c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C6B2-0D73-48A3-9D29-8C8105C0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4</DocSecurity>
  <Lines>26</Lines>
  <Paragraphs>7</Paragraphs>
  <ScaleCrop>false</ScaleCrop>
  <Company>State of California</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Rehabilitation</dc:title>
  <dc:subject/>
  <dc:creator>nkawamot</dc:creator>
  <cp:keywords/>
  <dc:description/>
  <cp:lastModifiedBy>egomez</cp:lastModifiedBy>
  <cp:revision>2</cp:revision>
  <cp:lastPrinted>2009-03-11T17:01:00Z</cp:lastPrinted>
  <dcterms:created xsi:type="dcterms:W3CDTF">2013-03-19T15:40:00Z</dcterms:created>
  <dcterms:modified xsi:type="dcterms:W3CDTF">2013-03-19T15:40:00Z</dcterms:modified>
</cp:coreProperties>
</file>