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60" w:rsidRDefault="00241860" w:rsidP="00241860">
      <w:pPr>
        <w:jc w:val="center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La Ley de Tecnología, Educación y Accesibilidad en la Universidad y en la Educación Superior,</w:t>
      </w:r>
    </w:p>
    <w:p w:rsidR="002F1F9A" w:rsidRDefault="006B681F" w:rsidP="00241860">
      <w:pPr>
        <w:jc w:val="center"/>
        <w:rPr>
          <w:rFonts w:ascii="Arial" w:hAnsi="Arial" w:cs="Arial"/>
          <w:color w:val="333333"/>
          <w:lang w:val="es-ES"/>
        </w:rPr>
      </w:pPr>
      <w:proofErr w:type="spellStart"/>
      <w:r>
        <w:rPr>
          <w:rFonts w:ascii="Arial" w:hAnsi="Arial" w:cs="Arial"/>
          <w:color w:val="333333"/>
          <w:lang w:val="es-ES"/>
        </w:rPr>
        <w:t>Techno</w:t>
      </w:r>
      <w:r w:rsidR="002F1F9A">
        <w:rPr>
          <w:rFonts w:ascii="Arial" w:hAnsi="Arial" w:cs="Arial"/>
          <w:color w:val="333333"/>
          <w:lang w:val="es-ES"/>
        </w:rPr>
        <w:t>logy</w:t>
      </w:r>
      <w:proofErr w:type="spellEnd"/>
      <w:r w:rsidR="003966A1">
        <w:rPr>
          <w:rFonts w:ascii="Arial" w:hAnsi="Arial" w:cs="Arial"/>
          <w:color w:val="333333"/>
          <w:lang w:val="es-ES"/>
        </w:rPr>
        <w:t>,</w:t>
      </w:r>
      <w:r w:rsidR="00BC490D">
        <w:rPr>
          <w:rFonts w:ascii="Arial" w:hAnsi="Arial" w:cs="Arial"/>
          <w:color w:val="333333"/>
          <w:lang w:val="es-ES"/>
        </w:rPr>
        <w:t xml:space="preserve"> </w:t>
      </w:r>
      <w:proofErr w:type="spellStart"/>
      <w:r w:rsidR="00BC490D">
        <w:rPr>
          <w:rFonts w:ascii="Arial" w:hAnsi="Arial" w:cs="Arial"/>
          <w:color w:val="333333"/>
          <w:lang w:val="es-ES"/>
        </w:rPr>
        <w:t>Education</w:t>
      </w:r>
      <w:proofErr w:type="spellEnd"/>
      <w:r w:rsidR="00480260">
        <w:rPr>
          <w:rFonts w:ascii="Arial" w:hAnsi="Arial" w:cs="Arial"/>
          <w:color w:val="333333"/>
          <w:lang w:val="es-ES"/>
        </w:rPr>
        <w:t xml:space="preserve"> and </w:t>
      </w:r>
      <w:proofErr w:type="spellStart"/>
      <w:r w:rsidR="00480260">
        <w:rPr>
          <w:rFonts w:ascii="Arial" w:hAnsi="Arial" w:cs="Arial"/>
          <w:color w:val="333333"/>
          <w:lang w:val="es-ES"/>
        </w:rPr>
        <w:t>Accesibility</w:t>
      </w:r>
      <w:proofErr w:type="spellEnd"/>
      <w:r w:rsidR="006F6B81">
        <w:rPr>
          <w:rFonts w:ascii="Arial" w:hAnsi="Arial" w:cs="Arial"/>
          <w:color w:val="333333"/>
          <w:lang w:val="es-ES"/>
        </w:rPr>
        <w:t xml:space="preserve"> in </w:t>
      </w:r>
      <w:proofErr w:type="spellStart"/>
      <w:r w:rsidR="006F6B81">
        <w:rPr>
          <w:rFonts w:ascii="Arial" w:hAnsi="Arial" w:cs="Arial"/>
          <w:color w:val="333333"/>
          <w:lang w:val="es-ES"/>
        </w:rPr>
        <w:t>College</w:t>
      </w:r>
      <w:proofErr w:type="spellEnd"/>
      <w:r w:rsidR="00CD557A">
        <w:rPr>
          <w:rFonts w:ascii="Arial" w:hAnsi="Arial" w:cs="Arial"/>
          <w:color w:val="333333"/>
          <w:lang w:val="es-ES"/>
        </w:rPr>
        <w:t xml:space="preserve"> and </w:t>
      </w:r>
      <w:proofErr w:type="spellStart"/>
      <w:r w:rsidR="00CD557A">
        <w:rPr>
          <w:rFonts w:ascii="Arial" w:hAnsi="Arial" w:cs="Arial"/>
          <w:color w:val="333333"/>
          <w:lang w:val="es-ES"/>
        </w:rPr>
        <w:t>Higher</w:t>
      </w:r>
      <w:proofErr w:type="spellEnd"/>
      <w:r w:rsidR="00CD557A">
        <w:rPr>
          <w:rFonts w:ascii="Arial" w:hAnsi="Arial" w:cs="Arial"/>
          <w:color w:val="333333"/>
          <w:lang w:val="es-ES"/>
        </w:rPr>
        <w:t xml:space="preserve"> </w:t>
      </w:r>
      <w:proofErr w:type="spellStart"/>
      <w:r w:rsidR="00CD557A">
        <w:rPr>
          <w:rFonts w:ascii="Arial" w:hAnsi="Arial" w:cs="Arial"/>
          <w:color w:val="333333"/>
          <w:lang w:val="es-ES"/>
        </w:rPr>
        <w:t>Education</w:t>
      </w:r>
      <w:proofErr w:type="spellEnd"/>
      <w:r w:rsidR="00CD557A">
        <w:rPr>
          <w:rFonts w:ascii="Arial" w:hAnsi="Arial" w:cs="Arial"/>
          <w:color w:val="333333"/>
          <w:lang w:val="es-ES"/>
        </w:rPr>
        <w:t xml:space="preserve"> </w:t>
      </w:r>
      <w:proofErr w:type="spellStart"/>
      <w:r w:rsidR="00CD557A">
        <w:rPr>
          <w:rFonts w:ascii="Arial" w:hAnsi="Arial" w:cs="Arial"/>
          <w:color w:val="333333"/>
          <w:lang w:val="es-ES"/>
        </w:rPr>
        <w:t>Act</w:t>
      </w:r>
      <w:proofErr w:type="spellEnd"/>
      <w:r w:rsidR="000D5E5A">
        <w:rPr>
          <w:rFonts w:ascii="Arial" w:hAnsi="Arial" w:cs="Arial"/>
          <w:color w:val="333333"/>
          <w:lang w:val="es-ES"/>
        </w:rPr>
        <w:t>.</w:t>
      </w:r>
    </w:p>
    <w:p w:rsidR="002F1F9A" w:rsidRDefault="00D22B38" w:rsidP="00241860">
      <w:pPr>
        <w:jc w:val="center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Hoja de Datos</w:t>
      </w:r>
    </w:p>
    <w:p w:rsidR="002F1F9A" w:rsidRDefault="00644AF5" w:rsidP="00241860">
      <w:pPr>
        <w:jc w:val="center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Hasta que los colegios y universidades no tengan</w:t>
      </w:r>
      <w:r w:rsidR="00640C34">
        <w:rPr>
          <w:rFonts w:ascii="Arial" w:hAnsi="Arial" w:cs="Arial"/>
          <w:color w:val="333333"/>
          <w:lang w:val="es-ES"/>
        </w:rPr>
        <w:t xml:space="preserve"> directrices de accesibilidad</w:t>
      </w:r>
      <w:r w:rsidR="00754334">
        <w:rPr>
          <w:rFonts w:ascii="Arial" w:hAnsi="Arial" w:cs="Arial"/>
          <w:color w:val="333333"/>
          <w:lang w:val="es-ES"/>
        </w:rPr>
        <w:t xml:space="preserve"> en la</w:t>
      </w:r>
      <w:r w:rsidR="005866D2">
        <w:rPr>
          <w:rFonts w:ascii="Arial" w:hAnsi="Arial" w:cs="Arial"/>
          <w:color w:val="333333"/>
          <w:lang w:val="es-ES"/>
        </w:rPr>
        <w:t xml:space="preserve"> tecnología,</w:t>
      </w:r>
      <w:r w:rsidR="00BA6254">
        <w:rPr>
          <w:rFonts w:ascii="Arial" w:hAnsi="Arial" w:cs="Arial"/>
          <w:color w:val="333333"/>
          <w:lang w:val="es-ES"/>
        </w:rPr>
        <w:t xml:space="preserve"> a los estudiantes universitarios se les negará</w:t>
      </w:r>
      <w:r w:rsidR="00D4484C">
        <w:rPr>
          <w:rFonts w:ascii="Arial" w:hAnsi="Arial" w:cs="Arial"/>
          <w:color w:val="333333"/>
          <w:lang w:val="es-ES"/>
        </w:rPr>
        <w:t xml:space="preserve"> crítico</w:t>
      </w:r>
      <w:r w:rsidR="005F2FA0">
        <w:rPr>
          <w:rFonts w:ascii="Arial" w:hAnsi="Arial" w:cs="Arial"/>
          <w:color w:val="333333"/>
          <w:lang w:val="es-ES"/>
        </w:rPr>
        <w:t xml:space="preserve"> acceso </w:t>
      </w:r>
      <w:r w:rsidR="00C44604">
        <w:rPr>
          <w:rFonts w:ascii="Arial" w:hAnsi="Arial" w:cs="Arial"/>
          <w:color w:val="333333"/>
          <w:lang w:val="es-ES"/>
        </w:rPr>
        <w:t xml:space="preserve"> a </w:t>
      </w:r>
      <w:r w:rsidR="009E10D6">
        <w:rPr>
          <w:rFonts w:ascii="Arial" w:hAnsi="Arial" w:cs="Arial"/>
          <w:color w:val="333333"/>
          <w:lang w:val="es-ES"/>
        </w:rPr>
        <w:t xml:space="preserve">los </w:t>
      </w:r>
      <w:r w:rsidR="00C44604">
        <w:rPr>
          <w:rFonts w:ascii="Arial" w:hAnsi="Arial" w:cs="Arial"/>
          <w:color w:val="333333"/>
          <w:lang w:val="es-ES"/>
        </w:rPr>
        <w:t xml:space="preserve">materiales </w:t>
      </w:r>
      <w:r w:rsidR="00893478">
        <w:rPr>
          <w:rFonts w:ascii="Arial" w:hAnsi="Arial" w:cs="Arial"/>
          <w:color w:val="333333"/>
          <w:lang w:val="es-ES"/>
        </w:rPr>
        <w:t xml:space="preserve">didácticos </w:t>
      </w:r>
      <w:r w:rsidR="00C44604">
        <w:rPr>
          <w:rFonts w:ascii="Arial" w:hAnsi="Arial" w:cs="Arial"/>
          <w:color w:val="333333"/>
          <w:lang w:val="es-ES"/>
        </w:rPr>
        <w:t xml:space="preserve">de </w:t>
      </w:r>
      <w:r w:rsidR="009E10D6">
        <w:rPr>
          <w:rFonts w:ascii="Arial" w:hAnsi="Arial" w:cs="Arial"/>
          <w:color w:val="333333"/>
          <w:lang w:val="es-ES"/>
        </w:rPr>
        <w:t xml:space="preserve">los </w:t>
      </w:r>
      <w:r w:rsidR="00C44604">
        <w:rPr>
          <w:rFonts w:ascii="Arial" w:hAnsi="Arial" w:cs="Arial"/>
          <w:color w:val="333333"/>
          <w:lang w:val="es-ES"/>
        </w:rPr>
        <w:t>cursos</w:t>
      </w:r>
      <w:r w:rsidR="00507039">
        <w:rPr>
          <w:rFonts w:ascii="Arial" w:hAnsi="Arial" w:cs="Arial"/>
          <w:color w:val="333333"/>
          <w:lang w:val="es-ES"/>
        </w:rPr>
        <w:t>.</w:t>
      </w:r>
    </w:p>
    <w:p w:rsidR="004E3939" w:rsidRDefault="00241860" w:rsidP="00241860">
      <w:pPr>
        <w:jc w:val="center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 xml:space="preserve">La evolución de la tecnología ha cambiado fundamentalmente el sistema educativo. El ámbito de aplicación de los materiales de instrucción utilizados para facilitar el proceso de enseñanza y aprendizaje en las instituciones de educación superior se ha expandido. Contenido curricular se presenta en forma de libros digitales, archivos PDF, páginas web, etc.; y la mayor parte de este contenido es entregado mediante la tecnología, como </w:t>
      </w:r>
      <w:r>
        <w:rPr>
          <w:rFonts w:ascii="Verdana" w:hAnsi="Verdana" w:cs="Arial"/>
          <w:i/>
          <w:iCs/>
          <w:color w:val="3E3E3E"/>
          <w:sz w:val="20"/>
          <w:szCs w:val="20"/>
          <w:lang w:val="es-ES_tradnl"/>
        </w:rPr>
        <w:t>módulos de enseñanza por computadora</w:t>
      </w:r>
      <w:r w:rsidR="00606E05">
        <w:rPr>
          <w:rFonts w:ascii="Arial" w:hAnsi="Arial" w:cs="Arial"/>
          <w:color w:val="333333"/>
          <w:lang w:val="es-ES"/>
        </w:rPr>
        <w:t>, y aplicaciones.</w:t>
      </w:r>
    </w:p>
    <w:p w:rsidR="006F4B43" w:rsidRDefault="003C1692" w:rsidP="003C1692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mundo de la impresión es intrínsecamente inaccesible para los estudiantes con discapacidades, pero la tecnología ofrece la posibilidad de ampliar el círculo de participación. Y los estudios han encontrado que, de los seis millones de estudiantes con </w:t>
      </w:r>
      <w:r w:rsidR="0099492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más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dificultades para leer en el sistema, el número de personas que van a continuar su educación post-secundaria es</w:t>
      </w:r>
      <w:r w:rsidR="00555C0F">
        <w:rPr>
          <w:rFonts w:ascii="Arial" w:eastAsia="Times New Roman" w:hAnsi="Arial" w:cs="Arial"/>
          <w:color w:val="222222"/>
          <w:sz w:val="24"/>
          <w:szCs w:val="24"/>
          <w:lang w:val="es-ES"/>
        </w:rPr>
        <w:t>tá creciendo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.1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Los estudiantes ciegos se enfrentan a barreras insuperables para la educación. En lugar de cumplir la promesa de la igualdad de acceso, la tecnología ha creado más problemas </w:t>
      </w:r>
      <w:r w:rsidR="00F56E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el mundo de la impresión </w:t>
      </w:r>
      <w:r w:rsidR="000D26BA">
        <w:rPr>
          <w:rFonts w:ascii="Arial" w:eastAsia="Times New Roman" w:hAnsi="Arial" w:cs="Arial"/>
          <w:color w:val="222222"/>
          <w:sz w:val="24"/>
          <w:szCs w:val="24"/>
          <w:lang w:val="es-ES"/>
        </w:rPr>
        <w:t>haya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hecho. Los datos muestran que los estudiantes con discapacidad se enfrentan a una variedad de desafíos, incluyendo la falta de matrícula, </w:t>
      </w:r>
      <w:r w:rsidR="00384F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por el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solo hecho de </w:t>
      </w:r>
      <w:r w:rsidR="000929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y universidades se están </w:t>
      </w:r>
      <w:r w:rsidR="00EE0ADF">
        <w:rPr>
          <w:rFonts w:ascii="Arial" w:eastAsia="Times New Roman" w:hAnsi="Arial" w:cs="Arial"/>
          <w:color w:val="222222"/>
          <w:sz w:val="24"/>
          <w:szCs w:val="24"/>
          <w:lang w:val="es-ES"/>
        </w:rPr>
        <w:t>atasca</w:t>
      </w:r>
      <w:r w:rsidR="008A6EAB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9E6035">
        <w:rPr>
          <w:rFonts w:ascii="Arial" w:eastAsia="Times New Roman" w:hAnsi="Arial" w:cs="Arial"/>
          <w:color w:val="222222"/>
          <w:sz w:val="24"/>
          <w:szCs w:val="24"/>
          <w:lang w:val="es-ES"/>
        </w:rPr>
        <w:t>do</w:t>
      </w:r>
      <w:r w:rsidR="00EE0A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640B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modelo </w:t>
      </w:r>
      <w:r w:rsidR="00640B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adaptación </w:t>
      </w:r>
      <w:r w:rsidR="008F27AB">
        <w:rPr>
          <w:rFonts w:ascii="Arial" w:eastAsia="Times New Roman" w:hAnsi="Arial" w:cs="Arial"/>
          <w:color w:val="222222"/>
          <w:sz w:val="24"/>
          <w:szCs w:val="24"/>
          <w:lang w:val="es-ES"/>
        </w:rPr>
        <w:t>de software personalizado</w:t>
      </w:r>
      <w:r w:rsidR="00BA7B3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lugar de abrazar </w:t>
      </w:r>
      <w:r w:rsidR="00C9344B">
        <w:rPr>
          <w:rFonts w:ascii="Arial" w:eastAsia="Times New Roman" w:hAnsi="Arial" w:cs="Arial"/>
          <w:color w:val="222222"/>
          <w:sz w:val="24"/>
          <w:szCs w:val="24"/>
          <w:lang w:val="es-ES"/>
        </w:rPr>
        <w:t>la acces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ibili</w:t>
      </w:r>
      <w:r w:rsidR="00C9344B">
        <w:rPr>
          <w:rFonts w:ascii="Arial" w:eastAsia="Times New Roman" w:hAnsi="Arial" w:cs="Arial"/>
          <w:color w:val="222222"/>
          <w:sz w:val="24"/>
          <w:szCs w:val="24"/>
          <w:lang w:val="es-ES"/>
        </w:rPr>
        <w:t>dad</w:t>
      </w:r>
      <w:r w:rsidR="009225C1">
        <w:rPr>
          <w:rFonts w:ascii="Arial" w:eastAsia="Times New Roman" w:hAnsi="Arial" w:cs="Arial"/>
          <w:color w:val="222222"/>
          <w:sz w:val="24"/>
          <w:szCs w:val="24"/>
          <w:lang w:val="es-ES"/>
        </w:rPr>
        <w:t>.2 Colegios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despl</w:t>
      </w:r>
      <w:r w:rsidR="00156C28">
        <w:rPr>
          <w:rFonts w:ascii="Arial" w:eastAsia="Times New Roman" w:hAnsi="Arial" w:cs="Arial"/>
          <w:color w:val="222222"/>
          <w:sz w:val="24"/>
          <w:szCs w:val="24"/>
          <w:lang w:val="es-ES"/>
        </w:rPr>
        <w:t>iegan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tecnología inaccesi</w:t>
      </w:r>
      <w:r w:rsidR="00831F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ble y luego </w:t>
      </w:r>
      <w:r w:rsidR="00AC2D27">
        <w:rPr>
          <w:rFonts w:ascii="Arial" w:eastAsia="Times New Roman" w:hAnsi="Arial" w:cs="Arial"/>
          <w:color w:val="222222"/>
          <w:sz w:val="24"/>
          <w:szCs w:val="24"/>
          <w:lang w:val="es-ES"/>
        </w:rPr>
        <w:t>modifican y modernizan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otra versión para estudiantes ciegos , por lo general</w:t>
      </w:r>
      <w:r w:rsidR="00725BD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37C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después de muchas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semanas de clase, creando un paisaje de "separados pero iguales" con barreras casi impenetrables. Con sólo una tasa de empleo del 20 por ciento 3, </w:t>
      </w:r>
      <w:r w:rsidR="0001679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los estudiantes ciegos no se les debe negar el acceso de la misma cosa que hubiese asegurado una participación plena.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Instituciones de educación superior necesitan ayuda para identificar material accesible y cumplir con las leyes de no discriminación. </w:t>
      </w:r>
      <w:r w:rsidR="00242D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Sección 504 de la Ley de Rehabilitación y los títulos II y III de </w:t>
      </w:r>
      <w:r w:rsidR="009D6C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Ley 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Americanos con </w:t>
      </w:r>
      <w:r w:rsidR="00BD279C">
        <w:rPr>
          <w:rFonts w:ascii="Arial" w:eastAsia="Times New Roman" w:hAnsi="Arial" w:cs="Arial"/>
          <w:color w:val="222222"/>
          <w:sz w:val="24"/>
          <w:szCs w:val="24"/>
          <w:lang w:val="es-ES"/>
        </w:rPr>
        <w:t>Discapacidades</w:t>
      </w:r>
      <w:r w:rsidR="00297FB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D27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>Americans</w:t>
      </w:r>
      <w:proofErr w:type="spellEnd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>with</w:t>
      </w:r>
      <w:proofErr w:type="spellEnd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>Disabilities</w:t>
      </w:r>
      <w:proofErr w:type="spellEnd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>Act</w:t>
      </w:r>
      <w:proofErr w:type="spellEnd"/>
      <w:r w:rsidR="004B439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1E0E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requiere </w:t>
      </w:r>
      <w:r w:rsidR="007A665C">
        <w:rPr>
          <w:rFonts w:ascii="Arial" w:eastAsia="Times New Roman" w:hAnsi="Arial" w:cs="Arial"/>
          <w:color w:val="222222"/>
          <w:sz w:val="24"/>
          <w:szCs w:val="24"/>
          <w:lang w:val="es-ES"/>
        </w:rPr>
        <w:t>que</w:t>
      </w:r>
      <w:r w:rsidR="00BD27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</w:t>
      </w:r>
      <w:r w:rsidR="008E5C6F">
        <w:rPr>
          <w:rFonts w:ascii="Arial" w:eastAsia="Times New Roman" w:hAnsi="Arial" w:cs="Arial"/>
          <w:color w:val="222222"/>
          <w:sz w:val="24"/>
          <w:szCs w:val="24"/>
          <w:lang w:val="es-ES"/>
        </w:rPr>
        <w:t>s colegios</w:t>
      </w:r>
      <w:r w:rsidR="00CE1CB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CE1CB6">
        <w:rPr>
          <w:rFonts w:ascii="Arial" w:eastAsia="Times New Roman" w:hAnsi="Arial" w:cs="Arial"/>
          <w:color w:val="222222"/>
          <w:sz w:val="24"/>
          <w:szCs w:val="24"/>
          <w:lang w:val="es-ES"/>
        </w:rPr>
        <w:t>ofre</w:t>
      </w:r>
      <w:r w:rsidR="00F90170">
        <w:rPr>
          <w:rFonts w:ascii="Arial" w:eastAsia="Times New Roman" w:hAnsi="Arial" w:cs="Arial"/>
          <w:color w:val="222222"/>
          <w:sz w:val="24"/>
          <w:szCs w:val="24"/>
          <w:lang w:val="es-ES"/>
        </w:rPr>
        <w:t>z</w:t>
      </w:r>
      <w:r w:rsidR="00CE1CB6">
        <w:rPr>
          <w:rFonts w:ascii="Arial" w:eastAsia="Times New Roman" w:hAnsi="Arial" w:cs="Arial"/>
          <w:color w:val="222222"/>
          <w:sz w:val="24"/>
          <w:szCs w:val="24"/>
          <w:lang w:val="es-ES"/>
        </w:rPr>
        <w:t>ccan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igualdad de acceso, y en 2010, los Departamentos de Justicia y de Educación </w:t>
      </w:r>
      <w:r w:rsidR="00FB2F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los Estados Unidos </w:t>
      </w:r>
      <w:r w:rsidR="007C3E9E">
        <w:rPr>
          <w:rFonts w:ascii="Arial" w:eastAsia="Times New Roman" w:hAnsi="Arial" w:cs="Arial"/>
          <w:color w:val="222222"/>
          <w:sz w:val="24"/>
          <w:szCs w:val="24"/>
          <w:lang w:val="es-ES"/>
        </w:rPr>
        <w:t>aclararon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el uso de la tecnología ina</w:t>
      </w:r>
      <w:r w:rsidR="006A1D29">
        <w:rPr>
          <w:rFonts w:ascii="Arial" w:eastAsia="Times New Roman" w:hAnsi="Arial" w:cs="Arial"/>
          <w:color w:val="222222"/>
          <w:sz w:val="24"/>
          <w:szCs w:val="24"/>
          <w:lang w:val="es-ES"/>
        </w:rPr>
        <w:t>ccesible está prohibido</w:t>
      </w:r>
      <w:r w:rsidR="006C441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esta</w:t>
      </w:r>
      <w:r w:rsidR="00045579">
        <w:rPr>
          <w:rFonts w:ascii="Arial" w:eastAsia="Times New Roman" w:hAnsi="Arial" w:cs="Arial"/>
          <w:color w:val="222222"/>
          <w:sz w:val="24"/>
          <w:szCs w:val="24"/>
          <w:lang w:val="es-ES"/>
        </w:rPr>
        <w:t>s leye</w:t>
      </w:r>
      <w:r w:rsidR="00326F8E">
        <w:rPr>
          <w:rFonts w:ascii="Arial" w:eastAsia="Times New Roman" w:hAnsi="Arial" w:cs="Arial"/>
          <w:color w:val="222222"/>
          <w:sz w:val="24"/>
          <w:szCs w:val="24"/>
          <w:lang w:val="es-ES"/>
        </w:rPr>
        <w:t>s.4 En los cinco años desde entonces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más de una docena de instituciones han enfrentad</w:t>
      </w:r>
      <w:r w:rsidR="00204AE7">
        <w:rPr>
          <w:rFonts w:ascii="Arial" w:eastAsia="Times New Roman" w:hAnsi="Arial" w:cs="Arial"/>
          <w:color w:val="222222"/>
          <w:sz w:val="24"/>
          <w:szCs w:val="24"/>
          <w:lang w:val="es-ES"/>
        </w:rPr>
        <w:t>o acciones legales por usar tecnología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inaccesible</w:t>
      </w:r>
      <w:r w:rsidR="0098604C">
        <w:rPr>
          <w:rFonts w:ascii="Arial" w:eastAsia="Times New Roman" w:hAnsi="Arial" w:cs="Arial"/>
          <w:color w:val="222222"/>
          <w:sz w:val="24"/>
          <w:szCs w:val="24"/>
          <w:lang w:val="es-ES"/>
        </w:rPr>
        <w:t>5</w:t>
      </w:r>
      <w:r w:rsidR="008D5B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las quejas van en aumento. La m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ayoría de los litigios termina</w:t>
      </w:r>
      <w:r w:rsidR="00D24586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A50B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un compromiso del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50B3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 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ab</w:t>
      </w:r>
      <w:r w:rsidR="00FB0C45">
        <w:rPr>
          <w:rFonts w:ascii="Arial" w:eastAsia="Times New Roman" w:hAnsi="Arial" w:cs="Arial"/>
          <w:color w:val="222222"/>
          <w:sz w:val="24"/>
          <w:szCs w:val="24"/>
          <w:lang w:val="es-ES"/>
        </w:rPr>
        <w:t>razar la accesibilidad, pero ese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compromiso no hace mucho en </w:t>
      </w:r>
      <w:r w:rsidR="003F42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mercado </w:t>
      </w:r>
      <w:r w:rsidR="001D3FBF">
        <w:rPr>
          <w:rFonts w:ascii="Arial" w:eastAsia="Times New Roman" w:hAnsi="Arial" w:cs="Arial"/>
          <w:color w:val="222222"/>
          <w:sz w:val="24"/>
          <w:szCs w:val="24"/>
          <w:lang w:val="es-ES"/>
        </w:rPr>
        <w:t>de coordinación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275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educación superior</w:t>
      </w:r>
      <w:r w:rsidR="007347D5">
        <w:rPr>
          <w:rFonts w:ascii="Arial" w:eastAsia="Times New Roman" w:hAnsi="Arial" w:cs="Arial"/>
          <w:color w:val="222222"/>
          <w:sz w:val="24"/>
          <w:szCs w:val="24"/>
          <w:lang w:val="es-ES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se olvida sobre todo acerca de los estudiantes ciegos.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Soluciones de accesibilidad están disponibles, pero las </w:t>
      </w:r>
      <w:r w:rsidR="00EB68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directrices </w:t>
      </w:r>
      <w:r w:rsidR="000C2736">
        <w:rPr>
          <w:rFonts w:ascii="Arial" w:eastAsia="Times New Roman" w:hAnsi="Arial" w:cs="Arial"/>
          <w:color w:val="222222"/>
          <w:sz w:val="24"/>
          <w:szCs w:val="24"/>
          <w:lang w:val="es-ES"/>
        </w:rPr>
        <w:t>son sumamente</w:t>
      </w:r>
      <w:r w:rsidR="005067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necesaria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para orientar el mercado. Requisitos de igualdad de acceso no tienen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cr</w:t>
      </w:r>
      <w:r w:rsidR="003E3D9B">
        <w:rPr>
          <w:rFonts w:ascii="Arial" w:eastAsia="Times New Roman" w:hAnsi="Arial" w:cs="Arial"/>
          <w:color w:val="222222"/>
          <w:sz w:val="24"/>
          <w:szCs w:val="24"/>
          <w:lang w:val="es-ES"/>
        </w:rPr>
        <w:t>iterios de accesibilidad que lo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AA33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pueden utilizar cuand</w:t>
      </w:r>
      <w:r w:rsidR="00E561DC">
        <w:rPr>
          <w:rFonts w:ascii="Arial" w:eastAsia="Times New Roman" w:hAnsi="Arial" w:cs="Arial"/>
          <w:color w:val="222222"/>
          <w:sz w:val="24"/>
          <w:szCs w:val="24"/>
          <w:lang w:val="es-ES"/>
        </w:rPr>
        <w:t>o se selecciona la tecnología. Con i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nnovaciones </w:t>
      </w:r>
      <w:r w:rsidR="0075601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texto a voz, </w:t>
      </w:r>
      <w:proofErr w:type="spellStart"/>
      <w:r w:rsidR="00FB1776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BB76FD">
        <w:rPr>
          <w:rFonts w:ascii="Arial" w:eastAsia="Times New Roman" w:hAnsi="Arial" w:cs="Arial"/>
          <w:color w:val="222222"/>
          <w:sz w:val="24"/>
          <w:szCs w:val="24"/>
          <w:lang w:val="es-ES"/>
        </w:rPr>
        <w:t>efreshable</w:t>
      </w:r>
      <w:proofErr w:type="spellEnd"/>
      <w:r w:rsidR="00BB76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braille y otras opciones de accesibilidad </w:t>
      </w:r>
      <w:r w:rsidR="006016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están ampliamente disponibles, los desarrolladores y fabricantes </w:t>
      </w:r>
      <w:r w:rsidR="002C29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sólo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incorporarán soluciones que son </w:t>
      </w:r>
      <w:r w:rsidR="00BE153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exigidas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por el mercado. Se necesitan directri</w:t>
      </w:r>
      <w:r w:rsidR="00310399">
        <w:rPr>
          <w:rFonts w:ascii="Arial" w:eastAsia="Times New Roman" w:hAnsi="Arial" w:cs="Arial"/>
          <w:color w:val="222222"/>
          <w:sz w:val="24"/>
          <w:szCs w:val="24"/>
          <w:lang w:val="es-ES"/>
        </w:rPr>
        <w:t>ces de accesibilidad para que lo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3103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puedan racionalizar la demanda, estimular el mercado, e identificar</w:t>
      </w:r>
      <w:r w:rsidR="003C55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mejor material accesible. Si lo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4832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que buscan evitar litigios abrazan este camino voluntario para el cumplimiento, los estudiantes ciegos verdaderamente alcanzar</w:t>
      </w:r>
      <w:r w:rsidR="00135DD9">
        <w:rPr>
          <w:rFonts w:ascii="Arial" w:eastAsia="Times New Roman" w:hAnsi="Arial" w:cs="Arial"/>
          <w:color w:val="222222"/>
          <w:sz w:val="24"/>
          <w:szCs w:val="24"/>
          <w:lang w:val="es-ES"/>
        </w:rPr>
        <w:t>án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igualdad de acceso.</w:t>
      </w:r>
    </w:p>
    <w:p w:rsidR="006F4B43" w:rsidRDefault="006F4B43" w:rsidP="006F4B43">
      <w:pPr>
        <w:jc w:val="center"/>
        <w:rPr>
          <w:rFonts w:ascii="Arial" w:hAnsi="Arial" w:cs="Arial"/>
          <w:color w:val="333333"/>
          <w:lang w:val="es-ES"/>
        </w:rPr>
      </w:pPr>
      <w:r>
        <w:rPr>
          <w:rFonts w:ascii="Arial" w:hAnsi="Arial" w:cs="Arial"/>
          <w:color w:val="333333"/>
          <w:lang w:val="es-ES"/>
        </w:rPr>
        <w:t>La Ley de Tecnología, Educación y Accesibilidad en la Univers</w:t>
      </w:r>
      <w:r w:rsidR="00DF35A6">
        <w:rPr>
          <w:rFonts w:ascii="Arial" w:hAnsi="Arial" w:cs="Arial"/>
          <w:color w:val="333333"/>
          <w:lang w:val="es-ES"/>
        </w:rPr>
        <w:t>idad y en la Educación Superior:</w:t>
      </w:r>
    </w:p>
    <w:p w:rsidR="006F4B43" w:rsidRDefault="006F4B43" w:rsidP="006F4B43">
      <w:pPr>
        <w:jc w:val="center"/>
        <w:rPr>
          <w:rFonts w:ascii="Arial" w:hAnsi="Arial" w:cs="Arial"/>
          <w:color w:val="333333"/>
          <w:lang w:val="es-ES"/>
        </w:rPr>
      </w:pPr>
      <w:proofErr w:type="spellStart"/>
      <w:r>
        <w:rPr>
          <w:rFonts w:ascii="Arial" w:hAnsi="Arial" w:cs="Arial"/>
          <w:color w:val="333333"/>
          <w:lang w:val="es-ES"/>
        </w:rPr>
        <w:t>Technology</w:t>
      </w:r>
      <w:proofErr w:type="spellEnd"/>
      <w:r>
        <w:rPr>
          <w:rFonts w:ascii="Arial" w:hAnsi="Arial" w:cs="Arial"/>
          <w:color w:val="333333"/>
          <w:lang w:val="es-ES"/>
        </w:rPr>
        <w:t xml:space="preserve">, </w:t>
      </w:r>
      <w:proofErr w:type="spellStart"/>
      <w:r>
        <w:rPr>
          <w:rFonts w:ascii="Arial" w:hAnsi="Arial" w:cs="Arial"/>
          <w:color w:val="333333"/>
          <w:lang w:val="es-ES"/>
        </w:rPr>
        <w:t>Education</w:t>
      </w:r>
      <w:proofErr w:type="spellEnd"/>
      <w:r>
        <w:rPr>
          <w:rFonts w:ascii="Arial" w:hAnsi="Arial" w:cs="Arial"/>
          <w:color w:val="333333"/>
          <w:lang w:val="es-ES"/>
        </w:rPr>
        <w:t xml:space="preserve"> and </w:t>
      </w:r>
      <w:proofErr w:type="spellStart"/>
      <w:r>
        <w:rPr>
          <w:rFonts w:ascii="Arial" w:hAnsi="Arial" w:cs="Arial"/>
          <w:color w:val="333333"/>
          <w:lang w:val="es-ES"/>
        </w:rPr>
        <w:t>Accesibility</w:t>
      </w:r>
      <w:proofErr w:type="spellEnd"/>
      <w:r>
        <w:rPr>
          <w:rFonts w:ascii="Arial" w:hAnsi="Arial" w:cs="Arial"/>
          <w:color w:val="333333"/>
          <w:lang w:val="es-ES"/>
        </w:rPr>
        <w:t xml:space="preserve"> in </w:t>
      </w:r>
      <w:proofErr w:type="spellStart"/>
      <w:r>
        <w:rPr>
          <w:rFonts w:ascii="Arial" w:hAnsi="Arial" w:cs="Arial"/>
          <w:color w:val="333333"/>
          <w:lang w:val="es-ES"/>
        </w:rPr>
        <w:t>Co</w:t>
      </w:r>
      <w:r w:rsidR="000F6A60">
        <w:rPr>
          <w:rFonts w:ascii="Arial" w:hAnsi="Arial" w:cs="Arial"/>
          <w:color w:val="333333"/>
          <w:lang w:val="es-ES"/>
        </w:rPr>
        <w:t>llege</w:t>
      </w:r>
      <w:proofErr w:type="spellEnd"/>
      <w:r w:rsidR="000F6A60">
        <w:rPr>
          <w:rFonts w:ascii="Arial" w:hAnsi="Arial" w:cs="Arial"/>
          <w:color w:val="333333"/>
          <w:lang w:val="es-ES"/>
        </w:rPr>
        <w:t xml:space="preserve"> and </w:t>
      </w:r>
      <w:proofErr w:type="spellStart"/>
      <w:r w:rsidR="000F6A60">
        <w:rPr>
          <w:rFonts w:ascii="Arial" w:hAnsi="Arial" w:cs="Arial"/>
          <w:color w:val="333333"/>
          <w:lang w:val="es-ES"/>
        </w:rPr>
        <w:t>Higher</w:t>
      </w:r>
      <w:proofErr w:type="spellEnd"/>
      <w:r w:rsidR="000F6A60">
        <w:rPr>
          <w:rFonts w:ascii="Arial" w:hAnsi="Arial" w:cs="Arial"/>
          <w:color w:val="333333"/>
          <w:lang w:val="es-ES"/>
        </w:rPr>
        <w:t xml:space="preserve"> </w:t>
      </w:r>
      <w:proofErr w:type="spellStart"/>
      <w:r w:rsidR="000F6A60">
        <w:rPr>
          <w:rFonts w:ascii="Arial" w:hAnsi="Arial" w:cs="Arial"/>
          <w:color w:val="333333"/>
          <w:lang w:val="es-ES"/>
        </w:rPr>
        <w:t>Education</w:t>
      </w:r>
      <w:proofErr w:type="spellEnd"/>
      <w:r w:rsidR="000F6A60">
        <w:rPr>
          <w:rFonts w:ascii="Arial" w:hAnsi="Arial" w:cs="Arial"/>
          <w:color w:val="333333"/>
          <w:lang w:val="es-ES"/>
        </w:rPr>
        <w:t xml:space="preserve"> </w:t>
      </w:r>
      <w:proofErr w:type="spellStart"/>
      <w:r w:rsidR="000F6A60">
        <w:rPr>
          <w:rFonts w:ascii="Arial" w:hAnsi="Arial" w:cs="Arial"/>
          <w:color w:val="333333"/>
          <w:lang w:val="es-ES"/>
        </w:rPr>
        <w:t>Act</w:t>
      </w:r>
      <w:proofErr w:type="spellEnd"/>
      <w:r w:rsidR="000F6A60">
        <w:rPr>
          <w:rFonts w:ascii="Arial" w:hAnsi="Arial" w:cs="Arial"/>
          <w:color w:val="333333"/>
          <w:lang w:val="es-ES"/>
        </w:rPr>
        <w:t>:</w:t>
      </w:r>
    </w:p>
    <w:p w:rsidR="003C1692" w:rsidRPr="00B57969" w:rsidRDefault="003C1692" w:rsidP="00B57969">
      <w:pPr>
        <w:jc w:val="center"/>
        <w:rPr>
          <w:rFonts w:ascii="Arial" w:hAnsi="Arial" w:cs="Arial"/>
          <w:color w:val="333333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Desarrolla las directrices de accesibilidad para los materiales </w:t>
      </w:r>
      <w:r w:rsidR="00350B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instrucción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se usan en la educación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postsecundaria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 Una Comisión basada en el propósito tiene la tarea de desarrollar criterios de accesibilidad para materiales de instruc</w:t>
      </w:r>
      <w:r w:rsidR="00E23884">
        <w:rPr>
          <w:rFonts w:ascii="Arial" w:eastAsia="Times New Roman" w:hAnsi="Arial" w:cs="Arial"/>
          <w:color w:val="222222"/>
          <w:sz w:val="24"/>
          <w:szCs w:val="24"/>
          <w:lang w:val="es-ES"/>
        </w:rPr>
        <w:t>ción y los sistemas de entrega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2388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tecnologías que se utilizan para acced</w:t>
      </w:r>
      <w:r w:rsidR="003C4BA9">
        <w:rPr>
          <w:rFonts w:ascii="Arial" w:eastAsia="Times New Roman" w:hAnsi="Arial" w:cs="Arial"/>
          <w:color w:val="222222"/>
          <w:sz w:val="24"/>
          <w:szCs w:val="24"/>
          <w:lang w:val="es-ES"/>
        </w:rPr>
        <w:t>er a esos materiales para que lo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3C4B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</w:t>
      </w:r>
      <w:r w:rsidR="00FC450A">
        <w:rPr>
          <w:rFonts w:ascii="Arial" w:eastAsia="Times New Roman" w:hAnsi="Arial" w:cs="Arial"/>
          <w:color w:val="222222"/>
          <w:sz w:val="24"/>
          <w:szCs w:val="24"/>
          <w:lang w:val="es-ES"/>
        </w:rPr>
        <w:t>y los desarrolladores pueda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n identificar lo que hace un producto utilizable por los ciegos.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Proporciona </w:t>
      </w:r>
      <w:r w:rsidR="00102C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alicientes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para que las insti</w:t>
      </w:r>
      <w:r w:rsidR="00D647E7">
        <w:rPr>
          <w:rFonts w:ascii="Arial" w:eastAsia="Times New Roman" w:hAnsi="Arial" w:cs="Arial"/>
          <w:color w:val="222222"/>
          <w:sz w:val="24"/>
          <w:szCs w:val="24"/>
          <w:lang w:val="es-ES"/>
        </w:rPr>
        <w:t>tuciones de educación superior sigan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directrices. Instituciones de educación superior que </w:t>
      </w:r>
      <w:r w:rsidR="007E032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únicamente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utilizan la tecnología que se ajusta a las directrices se considerará</w:t>
      </w:r>
      <w:r w:rsidR="00F77CE6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cu</w:t>
      </w:r>
      <w:r w:rsidR="00AB76C0">
        <w:rPr>
          <w:rFonts w:ascii="Arial" w:eastAsia="Times New Roman" w:hAnsi="Arial" w:cs="Arial"/>
          <w:color w:val="222222"/>
          <w:sz w:val="24"/>
          <w:szCs w:val="24"/>
          <w:lang w:val="es-ES"/>
        </w:rPr>
        <w:t>mplimiento de lo dispuesto en la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028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Sección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504 de la Ley de Rehabilitación y los títulos II y III de la Ley de </w:t>
      </w:r>
      <w:r w:rsidR="0035687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A82D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Americanos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Discapacidades</w:t>
      </w:r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>Americans</w:t>
      </w:r>
      <w:proofErr w:type="spellEnd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>with</w:t>
      </w:r>
      <w:proofErr w:type="spellEnd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>Disabilities</w:t>
      </w:r>
      <w:proofErr w:type="spellEnd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>Act</w:t>
      </w:r>
      <w:proofErr w:type="spellEnd"/>
      <w:r w:rsidR="007B06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que se refieren a la ut</w:t>
      </w:r>
      <w:r w:rsidR="00512DF5">
        <w:rPr>
          <w:rFonts w:ascii="Arial" w:eastAsia="Times New Roman" w:hAnsi="Arial" w:cs="Arial"/>
          <w:color w:val="222222"/>
          <w:sz w:val="24"/>
          <w:szCs w:val="24"/>
          <w:lang w:val="es-ES"/>
        </w:rPr>
        <w:t>ilización de la tecnología de los colegios</w:t>
      </w:r>
      <w:r w:rsidR="00114433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1443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Ofrece flexibilidad para lo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114433">
        <w:rPr>
          <w:rFonts w:ascii="Arial" w:eastAsia="Times New Roman" w:hAnsi="Arial" w:cs="Arial"/>
          <w:color w:val="222222"/>
          <w:sz w:val="24"/>
          <w:szCs w:val="24"/>
          <w:lang w:val="es-ES"/>
        </w:rPr>
        <w:t>colegios</w:t>
      </w:r>
      <w:r w:rsidR="0038406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1144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E7014">
        <w:rPr>
          <w:rFonts w:ascii="Arial" w:eastAsia="Times New Roman" w:hAnsi="Arial" w:cs="Arial"/>
          <w:color w:val="222222"/>
          <w:sz w:val="24"/>
          <w:szCs w:val="24"/>
          <w:lang w:val="es-ES"/>
        </w:rPr>
        <w:t>al tiempo que reitera</w:t>
      </w:r>
      <w:r w:rsidR="00C632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aún se apliquen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obligaciones preexistentes. Los colegios y las universidades están autorizados a utilizar el material que no se ajuste a las directrices, siempre y cuando todavía se honran las leyes de igualdad de acceso. El cumplimiento de las directrices es sólo un</w:t>
      </w:r>
      <w:r w:rsidR="00E34A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camino para el cumplimiento; lo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E34A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colegios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pueden seguir un camino diferente, pero perderán la protección juríd</w:t>
      </w:r>
      <w:r w:rsidR="00EB0E6B">
        <w:rPr>
          <w:rFonts w:ascii="Arial" w:eastAsia="Times New Roman" w:hAnsi="Arial" w:cs="Arial"/>
          <w:color w:val="222222"/>
          <w:sz w:val="24"/>
          <w:szCs w:val="24"/>
          <w:lang w:val="es-ES"/>
        </w:rPr>
        <w:t>ica de puerto seguro.</w:t>
      </w:r>
      <w:r w:rsidR="00EB0E6B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Eliminemos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</w:t>
      </w:r>
      <w:r w:rsidR="000B4F5F">
        <w:rPr>
          <w:rFonts w:ascii="Arial" w:eastAsia="Times New Roman" w:hAnsi="Arial" w:cs="Arial"/>
          <w:color w:val="222222"/>
          <w:sz w:val="24"/>
          <w:szCs w:val="24"/>
          <w:lang w:val="es-ES"/>
        </w:rPr>
        <w:t>obstáculos a IGUALDAD EN EL SALÓN DE CLASE.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Copatrocinador de la Ley </w:t>
      </w:r>
      <w:r w:rsidR="00525718">
        <w:rPr>
          <w:rFonts w:ascii="Arial" w:hAnsi="Arial" w:cs="Arial"/>
          <w:color w:val="333333"/>
          <w:lang w:val="es-ES"/>
        </w:rPr>
        <w:t>de Tecnología, Educación y Accesibilidad en la Universidad y en la Educación Superior,</w:t>
      </w:r>
      <w:r w:rsidR="00B57969">
        <w:rPr>
          <w:rFonts w:ascii="Arial" w:hAnsi="Arial" w:cs="Arial"/>
          <w:color w:val="333333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TEACH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Para más información </w:t>
      </w:r>
      <w:r w:rsidR="003D5A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póngase en </w:t>
      </w:r>
      <w:r w:rsidR="00857DE0">
        <w:rPr>
          <w:rFonts w:ascii="Arial" w:eastAsia="Times New Roman" w:hAnsi="Arial" w:cs="Arial"/>
          <w:color w:val="222222"/>
          <w:sz w:val="24"/>
          <w:szCs w:val="24"/>
          <w:lang w:val="es-ES"/>
        </w:rPr>
        <w:t>contacto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con: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Lauren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McLarney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Gerente de Asuntos Gubernamentales, Federación Nacional de Ciegos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Teléfono: (410) 659-9314, Ext. 2207. Correo electrónico: lmclarney@nfb.org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copatrocinar en el Senado, comuníquese con: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Katie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Neal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Asistente Legislativo, el senador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Orrin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Hatch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(R-UT)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Teléfono: (202) 224-5251. Email: katie_neal@hatch.senate.gov, 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Louis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Katz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Corresponsal Legislativo, el senador Elizabeth Warren (D-MA)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Te</w:t>
      </w:r>
      <w:r w:rsidR="00D326CD">
        <w:rPr>
          <w:rFonts w:ascii="Arial" w:eastAsia="Times New Roman" w:hAnsi="Arial" w:cs="Arial"/>
          <w:color w:val="222222"/>
          <w:sz w:val="24"/>
          <w:szCs w:val="24"/>
          <w:lang w:val="es-ES"/>
        </w:rPr>
        <w:t>léfono: (202) 224 a 4.543. Correo Electrónico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: louis_katz@warren.senate.gov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Para más información visite: www.nfb.org/teach</w:t>
      </w:r>
    </w:p>
    <w:p w:rsidR="003C1692" w:rsidRDefault="0075028B" w:rsidP="003C1692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>
        <w:rPr>
          <w:rFonts w:ascii="Arial" w:eastAsia="Times New Roman" w:hAnsi="Arial" w:cs="Arial"/>
          <w:vanish/>
          <w:color w:val="777777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5pt;height:29.25pt" o:ole="">
            <v:imagedata r:id="rId4" o:title=""/>
          </v:shape>
          <w:control r:id="rId5" w:name="DefaultOcxName" w:shapeid="_x0000_i1029"/>
        </w:object>
      </w:r>
    </w:p>
    <w:p w:rsidR="003C1692" w:rsidRDefault="003C1692" w:rsidP="003C1692">
      <w:pPr>
        <w:rPr>
          <w:rFonts w:asciiTheme="minorHAnsi" w:eastAsiaTheme="minorHAnsi" w:hAnsiTheme="minorHAnsi" w:cstheme="minorBidi"/>
        </w:rPr>
      </w:pPr>
    </w:p>
    <w:p w:rsidR="003C1692" w:rsidRDefault="003C1692" w:rsidP="00241860">
      <w:pPr>
        <w:jc w:val="center"/>
        <w:rPr>
          <w:rFonts w:ascii="Arial" w:hAnsi="Arial" w:cs="Arial"/>
          <w:color w:val="333333"/>
          <w:lang w:val="es-ES"/>
        </w:rPr>
      </w:pPr>
    </w:p>
    <w:sectPr w:rsidR="003C1692" w:rsidSect="005F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04C9"/>
    <w:rsid w:val="000114A8"/>
    <w:rsid w:val="00016796"/>
    <w:rsid w:val="00045579"/>
    <w:rsid w:val="0005682B"/>
    <w:rsid w:val="00063DBF"/>
    <w:rsid w:val="00092940"/>
    <w:rsid w:val="000B3963"/>
    <w:rsid w:val="000B4F5F"/>
    <w:rsid w:val="000C2736"/>
    <w:rsid w:val="000D1A78"/>
    <w:rsid w:val="000D26BA"/>
    <w:rsid w:val="000D5E5A"/>
    <w:rsid w:val="000F40AC"/>
    <w:rsid w:val="000F6A60"/>
    <w:rsid w:val="00102C62"/>
    <w:rsid w:val="00114433"/>
    <w:rsid w:val="00122D5E"/>
    <w:rsid w:val="00127DF6"/>
    <w:rsid w:val="00133C2F"/>
    <w:rsid w:val="00135DD9"/>
    <w:rsid w:val="001510C2"/>
    <w:rsid w:val="00151643"/>
    <w:rsid w:val="00151DF2"/>
    <w:rsid w:val="00156C28"/>
    <w:rsid w:val="00175656"/>
    <w:rsid w:val="001D11A7"/>
    <w:rsid w:val="001D3FBF"/>
    <w:rsid w:val="001E0E55"/>
    <w:rsid w:val="001E2256"/>
    <w:rsid w:val="00204AE7"/>
    <w:rsid w:val="00221033"/>
    <w:rsid w:val="00225712"/>
    <w:rsid w:val="00241860"/>
    <w:rsid w:val="00242D69"/>
    <w:rsid w:val="00251D6D"/>
    <w:rsid w:val="00252539"/>
    <w:rsid w:val="00255B65"/>
    <w:rsid w:val="00297FBB"/>
    <w:rsid w:val="002A072D"/>
    <w:rsid w:val="002B28B4"/>
    <w:rsid w:val="002C298E"/>
    <w:rsid w:val="002E7A13"/>
    <w:rsid w:val="002F1F9A"/>
    <w:rsid w:val="00310399"/>
    <w:rsid w:val="003157EC"/>
    <w:rsid w:val="00326F8E"/>
    <w:rsid w:val="0034429B"/>
    <w:rsid w:val="00350B7F"/>
    <w:rsid w:val="00356871"/>
    <w:rsid w:val="00384063"/>
    <w:rsid w:val="00384F81"/>
    <w:rsid w:val="003966A1"/>
    <w:rsid w:val="003B6A72"/>
    <w:rsid w:val="003C1692"/>
    <w:rsid w:val="003C4BA9"/>
    <w:rsid w:val="003C55DA"/>
    <w:rsid w:val="003D57D1"/>
    <w:rsid w:val="003D5A92"/>
    <w:rsid w:val="003E3D9B"/>
    <w:rsid w:val="003F4238"/>
    <w:rsid w:val="0042202C"/>
    <w:rsid w:val="0043133D"/>
    <w:rsid w:val="004618B4"/>
    <w:rsid w:val="00480260"/>
    <w:rsid w:val="0048323C"/>
    <w:rsid w:val="00494698"/>
    <w:rsid w:val="004952CE"/>
    <w:rsid w:val="00496CD9"/>
    <w:rsid w:val="004B439E"/>
    <w:rsid w:val="004E3939"/>
    <w:rsid w:val="004F312F"/>
    <w:rsid w:val="005049BF"/>
    <w:rsid w:val="0050675A"/>
    <w:rsid w:val="00507039"/>
    <w:rsid w:val="00512DF5"/>
    <w:rsid w:val="00525718"/>
    <w:rsid w:val="00544428"/>
    <w:rsid w:val="00555C0F"/>
    <w:rsid w:val="00557D09"/>
    <w:rsid w:val="005655A5"/>
    <w:rsid w:val="005866D2"/>
    <w:rsid w:val="005967CD"/>
    <w:rsid w:val="005A7EC6"/>
    <w:rsid w:val="005C4751"/>
    <w:rsid w:val="005F2FA0"/>
    <w:rsid w:val="005F55F3"/>
    <w:rsid w:val="006016B4"/>
    <w:rsid w:val="006028A9"/>
    <w:rsid w:val="00606E05"/>
    <w:rsid w:val="00640B99"/>
    <w:rsid w:val="00640C34"/>
    <w:rsid w:val="00644AF5"/>
    <w:rsid w:val="006640C5"/>
    <w:rsid w:val="00673B4F"/>
    <w:rsid w:val="006A1D29"/>
    <w:rsid w:val="006A5E65"/>
    <w:rsid w:val="006A788B"/>
    <w:rsid w:val="006B681F"/>
    <w:rsid w:val="006C3A17"/>
    <w:rsid w:val="006C4418"/>
    <w:rsid w:val="006C468A"/>
    <w:rsid w:val="006D0A4B"/>
    <w:rsid w:val="006F4B43"/>
    <w:rsid w:val="006F6B81"/>
    <w:rsid w:val="007107F5"/>
    <w:rsid w:val="00725BD1"/>
    <w:rsid w:val="007347D5"/>
    <w:rsid w:val="0075028B"/>
    <w:rsid w:val="00750696"/>
    <w:rsid w:val="00754334"/>
    <w:rsid w:val="00756011"/>
    <w:rsid w:val="00782616"/>
    <w:rsid w:val="007A25E2"/>
    <w:rsid w:val="007A665C"/>
    <w:rsid w:val="007B06AB"/>
    <w:rsid w:val="007C3E9E"/>
    <w:rsid w:val="007D7608"/>
    <w:rsid w:val="007E0324"/>
    <w:rsid w:val="00813F6D"/>
    <w:rsid w:val="00831FC2"/>
    <w:rsid w:val="00844E72"/>
    <w:rsid w:val="00857DE0"/>
    <w:rsid w:val="00893478"/>
    <w:rsid w:val="008A6517"/>
    <w:rsid w:val="008A6EAB"/>
    <w:rsid w:val="008D5B00"/>
    <w:rsid w:val="008E5C6F"/>
    <w:rsid w:val="008F0098"/>
    <w:rsid w:val="008F27AB"/>
    <w:rsid w:val="008F4657"/>
    <w:rsid w:val="009225C1"/>
    <w:rsid w:val="00935500"/>
    <w:rsid w:val="009421BE"/>
    <w:rsid w:val="00965E31"/>
    <w:rsid w:val="00973814"/>
    <w:rsid w:val="0098604C"/>
    <w:rsid w:val="00994921"/>
    <w:rsid w:val="00995DF3"/>
    <w:rsid w:val="009A34B6"/>
    <w:rsid w:val="009A7611"/>
    <w:rsid w:val="009C18C3"/>
    <w:rsid w:val="009D6C4E"/>
    <w:rsid w:val="009D7BB9"/>
    <w:rsid w:val="009E10D6"/>
    <w:rsid w:val="009E1486"/>
    <w:rsid w:val="009E6035"/>
    <w:rsid w:val="009E7014"/>
    <w:rsid w:val="00A01C13"/>
    <w:rsid w:val="00A13512"/>
    <w:rsid w:val="00A152FB"/>
    <w:rsid w:val="00A50B36"/>
    <w:rsid w:val="00A82DA3"/>
    <w:rsid w:val="00AA335B"/>
    <w:rsid w:val="00AB76C0"/>
    <w:rsid w:val="00AC2D27"/>
    <w:rsid w:val="00AD791B"/>
    <w:rsid w:val="00AF3554"/>
    <w:rsid w:val="00AF6DBA"/>
    <w:rsid w:val="00B36226"/>
    <w:rsid w:val="00B57969"/>
    <w:rsid w:val="00BA6254"/>
    <w:rsid w:val="00BA7B35"/>
    <w:rsid w:val="00BB0D23"/>
    <w:rsid w:val="00BB4151"/>
    <w:rsid w:val="00BB76FD"/>
    <w:rsid w:val="00BC228B"/>
    <w:rsid w:val="00BC490D"/>
    <w:rsid w:val="00BD279C"/>
    <w:rsid w:val="00BD3AE3"/>
    <w:rsid w:val="00BD695E"/>
    <w:rsid w:val="00BE1531"/>
    <w:rsid w:val="00C27500"/>
    <w:rsid w:val="00C32B82"/>
    <w:rsid w:val="00C356CC"/>
    <w:rsid w:val="00C37C75"/>
    <w:rsid w:val="00C44604"/>
    <w:rsid w:val="00C45B05"/>
    <w:rsid w:val="00C45D3D"/>
    <w:rsid w:val="00C632F6"/>
    <w:rsid w:val="00C9344B"/>
    <w:rsid w:val="00CC1F79"/>
    <w:rsid w:val="00CD557A"/>
    <w:rsid w:val="00CE1CB6"/>
    <w:rsid w:val="00CF7EAD"/>
    <w:rsid w:val="00D22B38"/>
    <w:rsid w:val="00D24586"/>
    <w:rsid w:val="00D30DC5"/>
    <w:rsid w:val="00D326CD"/>
    <w:rsid w:val="00D4484C"/>
    <w:rsid w:val="00D647E7"/>
    <w:rsid w:val="00D81BA0"/>
    <w:rsid w:val="00D8231D"/>
    <w:rsid w:val="00D8352D"/>
    <w:rsid w:val="00D86AF6"/>
    <w:rsid w:val="00DC4F32"/>
    <w:rsid w:val="00DF35A6"/>
    <w:rsid w:val="00E01695"/>
    <w:rsid w:val="00E10C18"/>
    <w:rsid w:val="00E12C46"/>
    <w:rsid w:val="00E23884"/>
    <w:rsid w:val="00E34A98"/>
    <w:rsid w:val="00E561DC"/>
    <w:rsid w:val="00E71A30"/>
    <w:rsid w:val="00E81803"/>
    <w:rsid w:val="00E85FC6"/>
    <w:rsid w:val="00EB0E6B"/>
    <w:rsid w:val="00EB44DE"/>
    <w:rsid w:val="00EB68A0"/>
    <w:rsid w:val="00EB7456"/>
    <w:rsid w:val="00EC22B3"/>
    <w:rsid w:val="00ED5294"/>
    <w:rsid w:val="00EE0ADF"/>
    <w:rsid w:val="00F24F1D"/>
    <w:rsid w:val="00F56E79"/>
    <w:rsid w:val="00F77CE6"/>
    <w:rsid w:val="00F90170"/>
    <w:rsid w:val="00FB0C45"/>
    <w:rsid w:val="00FB1776"/>
    <w:rsid w:val="00FB2FB8"/>
    <w:rsid w:val="00FC04C9"/>
    <w:rsid w:val="00FC450A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931</Words>
  <Characters>5312</Characters>
  <Application>Microsoft Office Word</Application>
  <DocSecurity>0</DocSecurity>
  <Lines>44</Lines>
  <Paragraphs>12</Paragraphs>
  <ScaleCrop>false</ScaleCrop>
  <Company>Toshiba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220</cp:revision>
  <dcterms:created xsi:type="dcterms:W3CDTF">2015-01-15T15:12:00Z</dcterms:created>
  <dcterms:modified xsi:type="dcterms:W3CDTF">2015-01-15T17:10:00Z</dcterms:modified>
</cp:coreProperties>
</file>