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7B4A" w14:textId="77777777" w:rsidR="00226FA7" w:rsidRPr="00F25099" w:rsidRDefault="00226FA7">
      <w:pPr>
        <w:rPr>
          <w:rFonts w:asciiTheme="minorHAnsi" w:hAnsiTheme="minorHAnsi" w:cstheme="minorHAnsi"/>
          <w:sz w:val="24"/>
        </w:rPr>
      </w:pPr>
    </w:p>
    <w:p w14:paraId="0CB0A306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6F6AC830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6E8EBD50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7501AB35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3AC678FF" w14:textId="4EE01C14" w:rsidR="00607901" w:rsidRPr="006F037D" w:rsidRDefault="006D50D9" w:rsidP="00170F3D">
      <w:pPr>
        <w:pStyle w:val="Heading1"/>
      </w:pPr>
      <w:r w:rsidRPr="006F037D">
        <w:t>TWENTY-FIRST CENTURY WEBSITE</w:t>
      </w:r>
      <w:r w:rsidR="008C48A8" w:rsidRPr="006F037D">
        <w:t>S &amp; APPLICATIONS</w:t>
      </w:r>
      <w:r w:rsidRPr="006F037D">
        <w:t xml:space="preserve"> ACCESSIBILITY</w:t>
      </w:r>
      <w:r w:rsidR="00607901" w:rsidRPr="006F037D">
        <w:t xml:space="preserve"> ACT</w:t>
      </w:r>
    </w:p>
    <w:p w14:paraId="607F396E" w14:textId="68B2288E" w:rsidR="0063436E" w:rsidRPr="00F25099" w:rsidRDefault="00E85A3E" w:rsidP="007E3B42">
      <w:pPr>
        <w:pStyle w:val="Heading2"/>
      </w:pPr>
      <w:r w:rsidRPr="00F25099">
        <w:t>Issue</w:t>
      </w:r>
      <w:r w:rsidR="00F25099">
        <w:t>—</w:t>
      </w:r>
      <w:r w:rsidR="00607901" w:rsidRPr="00F25099">
        <w:t xml:space="preserve">Websites are required by law to be accessible, but </w:t>
      </w:r>
      <w:r w:rsidR="00FA1D6A" w:rsidRPr="00F25099">
        <w:t>without implementing regulations</w:t>
      </w:r>
      <w:r w:rsidR="000F62FC" w:rsidRPr="00F25099">
        <w:t>,</w:t>
      </w:r>
      <w:r w:rsidR="00FA1D6A" w:rsidRPr="00F25099">
        <w:t xml:space="preserve"> </w:t>
      </w:r>
      <w:r w:rsidR="00607901" w:rsidRPr="00F25099">
        <w:t xml:space="preserve">most </w:t>
      </w:r>
      <w:r w:rsidR="00607901" w:rsidRPr="007E3B42">
        <w:t>businesses</w:t>
      </w:r>
      <w:r w:rsidR="00607901" w:rsidRPr="00F25099">
        <w:t xml:space="preserve"> and retailers have little understanding of what accessible means.</w:t>
      </w:r>
      <w:r w:rsidRPr="00F25099">
        <w:br/>
      </w:r>
    </w:p>
    <w:p w14:paraId="0BCB093B" w14:textId="09413280" w:rsidR="00607901" w:rsidRPr="00F25099" w:rsidRDefault="00607901" w:rsidP="00607901">
      <w:pPr>
        <w:widowControl w:val="0"/>
        <w:autoSpaceDE w:val="0"/>
        <w:autoSpaceDN w:val="0"/>
        <w:ind w:left="120" w:right="468"/>
        <w:contextualSpacing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Websites and mobile applications are an essential part of modern living. </w:t>
      </w:r>
      <w:r w:rsidRPr="00F25099">
        <w:rPr>
          <w:rFonts w:asciiTheme="minorHAnsi" w:eastAsia="Arial" w:hAnsiTheme="minorHAnsi" w:cstheme="minorHAnsi"/>
          <w:sz w:val="24"/>
        </w:rPr>
        <w:t>More than 313 million Americans use the internet</w:t>
      </w:r>
      <w:r w:rsidR="00B4397D" w:rsidRPr="00F25099">
        <w:rPr>
          <w:rFonts w:asciiTheme="minorHAnsi" w:eastAsia="Arial" w:hAnsiTheme="minorHAnsi" w:cstheme="minorHAnsi"/>
          <w:sz w:val="24"/>
        </w:rPr>
        <w:t>,</w:t>
      </w:r>
      <w:r w:rsidRPr="00F25099">
        <w:rPr>
          <w:rFonts w:asciiTheme="minorHAnsi" w:eastAsia="Arial" w:hAnsiTheme="minorHAnsi" w:cstheme="minorHAnsi"/>
          <w:sz w:val="24"/>
          <w:vertAlign w:val="superscript"/>
        </w:rPr>
        <w:endnoteReference w:id="1"/>
      </w:r>
      <w:r w:rsidR="00B4397D" w:rsidRPr="00F25099">
        <w:rPr>
          <w:rFonts w:asciiTheme="minorHAnsi" w:eastAsia="Arial" w:hAnsiTheme="minorHAnsi" w:cstheme="minorHAnsi"/>
          <w:sz w:val="24"/>
        </w:rPr>
        <w:t xml:space="preserve"> and 81 percent of Americans say that they access the internet at least once each day.</w:t>
      </w:r>
      <w:r w:rsidR="00B4397D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2"/>
      </w:r>
      <w:r w:rsidRPr="00F25099">
        <w:rPr>
          <w:rFonts w:asciiTheme="minorHAnsi" w:eastAsia="Arial" w:hAnsiTheme="minorHAnsi" w:cstheme="minorHAnsi"/>
          <w:sz w:val="24"/>
        </w:rPr>
        <w:t xml:space="preserve"> </w:t>
      </w:r>
      <w:r w:rsidR="00247798" w:rsidRPr="00F25099">
        <w:rPr>
          <w:rFonts w:asciiTheme="minorHAnsi" w:eastAsia="Arial" w:hAnsiTheme="minorHAnsi" w:cstheme="minorHAnsi"/>
          <w:sz w:val="24"/>
        </w:rPr>
        <w:t xml:space="preserve">The </w:t>
      </w:r>
      <w:r w:rsidR="00B4397D" w:rsidRPr="00F25099">
        <w:rPr>
          <w:rFonts w:asciiTheme="minorHAnsi" w:eastAsia="Arial" w:hAnsiTheme="minorHAnsi" w:cstheme="minorHAnsi"/>
          <w:sz w:val="24"/>
        </w:rPr>
        <w:t xml:space="preserve">need to access websites and </w:t>
      </w:r>
      <w:r w:rsidR="00431312" w:rsidRPr="00F25099">
        <w:rPr>
          <w:rFonts w:asciiTheme="minorHAnsi" w:eastAsia="Arial" w:hAnsiTheme="minorHAnsi" w:cstheme="minorHAnsi"/>
          <w:sz w:val="24"/>
        </w:rPr>
        <w:t>mobile applications doesn’t stop when it reaches Americans with disabilities. According to t</w:t>
      </w:r>
      <w:r w:rsidRPr="00F25099">
        <w:rPr>
          <w:rFonts w:asciiTheme="minorHAnsi" w:eastAsia="Arial" w:hAnsiTheme="minorHAnsi" w:cstheme="minorHAnsi"/>
          <w:sz w:val="24"/>
        </w:rPr>
        <w:t xml:space="preserve">he American Community Survey, conducted by the United States Census Bureau, there are approximately </w:t>
      </w:r>
      <w:r w:rsidR="00734BD5" w:rsidRPr="00F25099">
        <w:rPr>
          <w:rFonts w:asciiTheme="minorHAnsi" w:eastAsia="Arial" w:hAnsiTheme="minorHAnsi" w:cstheme="minorHAnsi"/>
          <w:sz w:val="24"/>
        </w:rPr>
        <w:t xml:space="preserve">forty </w:t>
      </w:r>
      <w:r w:rsidRPr="00F25099">
        <w:rPr>
          <w:rFonts w:asciiTheme="minorHAnsi" w:eastAsia="Arial" w:hAnsiTheme="minorHAnsi" w:cstheme="minorHAnsi"/>
          <w:sz w:val="24"/>
        </w:rPr>
        <w:t>million Americans who currently have a disability.</w:t>
      </w:r>
      <w:r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3"/>
      </w:r>
      <w:r w:rsidR="00B4397D" w:rsidRPr="00F25099">
        <w:rPr>
          <w:rFonts w:asciiTheme="minorHAnsi" w:eastAsia="Arial" w:hAnsiTheme="minorHAnsi" w:cstheme="minorHAnsi"/>
          <w:sz w:val="24"/>
        </w:rPr>
        <w:t xml:space="preserve"> </w:t>
      </w:r>
      <w:r w:rsidR="00431312" w:rsidRPr="00F25099">
        <w:rPr>
          <w:rFonts w:asciiTheme="minorHAnsi" w:eastAsia="Arial" w:hAnsiTheme="minorHAnsi" w:cstheme="minorHAnsi"/>
          <w:sz w:val="24"/>
        </w:rPr>
        <w:t>Based on th</w:t>
      </w:r>
      <w:r w:rsidR="003B434E" w:rsidRPr="00F25099">
        <w:rPr>
          <w:rFonts w:asciiTheme="minorHAnsi" w:eastAsia="Arial" w:hAnsiTheme="minorHAnsi" w:cstheme="minorHAnsi"/>
          <w:sz w:val="24"/>
        </w:rPr>
        <w:t>e numbers above, it is more than</w:t>
      </w:r>
      <w:r w:rsidR="00431312" w:rsidRPr="00F25099">
        <w:rPr>
          <w:rFonts w:asciiTheme="minorHAnsi" w:eastAsia="Arial" w:hAnsiTheme="minorHAnsi" w:cstheme="minorHAnsi"/>
          <w:sz w:val="24"/>
        </w:rPr>
        <w:t xml:space="preserve"> reasonable to assume that </w:t>
      </w:r>
      <w:proofErr w:type="gramStart"/>
      <w:r w:rsidR="00431312" w:rsidRPr="00F25099">
        <w:rPr>
          <w:rFonts w:asciiTheme="minorHAnsi" w:eastAsia="Arial" w:hAnsiTheme="minorHAnsi" w:cstheme="minorHAnsi"/>
          <w:sz w:val="24"/>
        </w:rPr>
        <w:t>the vast majority of</w:t>
      </w:r>
      <w:proofErr w:type="gramEnd"/>
      <w:r w:rsidR="00431312" w:rsidRPr="00F25099">
        <w:rPr>
          <w:rFonts w:asciiTheme="minorHAnsi" w:eastAsia="Arial" w:hAnsiTheme="minorHAnsi" w:cstheme="minorHAnsi"/>
          <w:sz w:val="24"/>
        </w:rPr>
        <w:t xml:space="preserve"> them are </w:t>
      </w:r>
      <w:r w:rsidR="00D32B0C" w:rsidRPr="00F25099">
        <w:rPr>
          <w:rFonts w:asciiTheme="minorHAnsi" w:eastAsia="Arial" w:hAnsiTheme="minorHAnsi" w:cstheme="minorHAnsi"/>
          <w:sz w:val="24"/>
        </w:rPr>
        <w:t>trying to use</w:t>
      </w:r>
      <w:r w:rsidR="00431312" w:rsidRPr="00F25099">
        <w:rPr>
          <w:rFonts w:asciiTheme="minorHAnsi" w:eastAsia="Arial" w:hAnsiTheme="minorHAnsi" w:cstheme="minorHAnsi"/>
          <w:sz w:val="24"/>
        </w:rPr>
        <w:t xml:space="preserve"> websites and mobile applications.</w:t>
      </w:r>
      <w:r w:rsidR="00247798" w:rsidRPr="00F25099">
        <w:rPr>
          <w:rFonts w:asciiTheme="minorHAnsi" w:eastAsia="Arial" w:hAnsiTheme="minorHAnsi" w:cstheme="minorHAnsi"/>
          <w:sz w:val="24"/>
        </w:rPr>
        <w:t xml:space="preserve"> </w:t>
      </w:r>
    </w:p>
    <w:p w14:paraId="072DCEDD" w14:textId="77777777" w:rsidR="00607901" w:rsidRPr="00F25099" w:rsidRDefault="00607901" w:rsidP="00607901">
      <w:pPr>
        <w:widowControl w:val="0"/>
        <w:autoSpaceDE w:val="0"/>
        <w:autoSpaceDN w:val="0"/>
        <w:ind w:left="120" w:right="468"/>
        <w:contextualSpacing/>
        <w:rPr>
          <w:rFonts w:asciiTheme="minorHAnsi" w:eastAsia="Arial" w:hAnsiTheme="minorHAnsi" w:cstheme="minorHAnsi"/>
          <w:sz w:val="24"/>
        </w:rPr>
      </w:pPr>
    </w:p>
    <w:p w14:paraId="0365B122" w14:textId="39FE8807" w:rsidR="00607901" w:rsidRPr="00F25099" w:rsidRDefault="000C0DE1" w:rsidP="00607901">
      <w:pPr>
        <w:widowControl w:val="0"/>
        <w:autoSpaceDE w:val="0"/>
        <w:autoSpaceDN w:val="0"/>
        <w:spacing w:before="2"/>
        <w:ind w:left="120" w:right="320"/>
        <w:contextualSpacing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>The Department of Justice announced its</w:t>
      </w:r>
      <w:r w:rsidR="00607901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intention to publish accessible website regulations more than a decade ago.</w:t>
      </w:r>
      <w:r w:rsidR="00611697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</w:t>
      </w:r>
      <w:r w:rsidR="00611697" w:rsidRPr="00F25099">
        <w:rPr>
          <w:rFonts w:asciiTheme="minorHAnsi" w:eastAsia="Arial" w:hAnsiTheme="minorHAnsi" w:cstheme="minorHAnsi"/>
          <w:sz w:val="24"/>
        </w:rPr>
        <w:t>On July 26, 2010, the twentieth anniversary of the passage of the Americans with Disabilities Act</w:t>
      </w:r>
      <w:r w:rsidR="007316E2" w:rsidRPr="00F25099">
        <w:rPr>
          <w:rFonts w:asciiTheme="minorHAnsi" w:eastAsia="Arial" w:hAnsiTheme="minorHAnsi" w:cstheme="minorHAnsi"/>
          <w:sz w:val="24"/>
        </w:rPr>
        <w:t xml:space="preserve"> (ADA)</w:t>
      </w:r>
      <w:r w:rsidR="00611697" w:rsidRPr="00F25099">
        <w:rPr>
          <w:rFonts w:asciiTheme="minorHAnsi" w:eastAsia="Arial" w:hAnsiTheme="minorHAnsi" w:cstheme="minorHAnsi"/>
          <w:sz w:val="24"/>
        </w:rPr>
        <w:t xml:space="preserve">, </w:t>
      </w:r>
      <w:r w:rsidRPr="00F25099">
        <w:rPr>
          <w:rFonts w:asciiTheme="minorHAnsi" w:eastAsia="Arial" w:hAnsiTheme="minorHAnsi" w:cstheme="minorHAnsi"/>
          <w:sz w:val="24"/>
        </w:rPr>
        <w:t>the government published</w:t>
      </w:r>
      <w:r w:rsidR="00611697" w:rsidRPr="00F25099">
        <w:rPr>
          <w:rFonts w:asciiTheme="minorHAnsi" w:eastAsia="Arial" w:hAnsiTheme="minorHAnsi" w:cstheme="minorHAnsi"/>
          <w:sz w:val="24"/>
        </w:rPr>
        <w:t xml:space="preserve"> an advance notice of proposed rulemaking to address website accessibility.</w:t>
      </w:r>
      <w:r w:rsidR="003E6F16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4"/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After that initial announcement</w:t>
      </w:r>
      <w:r w:rsidR="002D3FAA" w:rsidRPr="00F25099">
        <w:rPr>
          <w:rFonts w:asciiTheme="minorHAnsi" w:eastAsia="Arial" w:hAnsiTheme="minorHAnsi" w:cstheme="minorHAnsi"/>
          <w:sz w:val="24"/>
        </w:rPr>
        <w:t>,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no further action </w:t>
      </w:r>
      <w:r w:rsidR="002D3FAA" w:rsidRPr="00F25099">
        <w:rPr>
          <w:rFonts w:asciiTheme="minorHAnsi" w:eastAsia="Arial" w:hAnsiTheme="minorHAnsi" w:cstheme="minorHAnsi"/>
          <w:sz w:val="24"/>
        </w:rPr>
        <w:t>was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taken to substantially advance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 website accessibility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. </w:t>
      </w:r>
      <w:r w:rsidR="008B064B" w:rsidRPr="00F25099">
        <w:rPr>
          <w:rFonts w:asciiTheme="minorHAnsi" w:hAnsiTheme="minorHAnsi" w:cstheme="minorHAnsi"/>
          <w:sz w:val="24"/>
        </w:rPr>
        <w:t>Without regulations in place, blind an</w:t>
      </w:r>
      <w:r w:rsidR="000F62FC" w:rsidRPr="00F25099">
        <w:rPr>
          <w:rFonts w:asciiTheme="minorHAnsi" w:hAnsiTheme="minorHAnsi" w:cstheme="minorHAnsi"/>
          <w:sz w:val="24"/>
        </w:rPr>
        <w:t>d disabled Americans are not</w:t>
      </w:r>
      <w:r w:rsidR="008B064B" w:rsidRPr="00F25099">
        <w:rPr>
          <w:rFonts w:asciiTheme="minorHAnsi" w:hAnsiTheme="minorHAnsi" w:cstheme="minorHAnsi"/>
          <w:sz w:val="24"/>
        </w:rPr>
        <w:t xml:space="preserve"> </w:t>
      </w:r>
      <w:r w:rsidR="00EB1604" w:rsidRPr="00F25099">
        <w:rPr>
          <w:rFonts w:asciiTheme="minorHAnsi" w:hAnsiTheme="minorHAnsi" w:cstheme="minorHAnsi"/>
          <w:sz w:val="24"/>
        </w:rPr>
        <w:t xml:space="preserve">reliably </w:t>
      </w:r>
      <w:r w:rsidR="000F62FC" w:rsidRPr="00F25099">
        <w:rPr>
          <w:rFonts w:asciiTheme="minorHAnsi" w:hAnsiTheme="minorHAnsi" w:cstheme="minorHAnsi"/>
          <w:sz w:val="24"/>
        </w:rPr>
        <w:t xml:space="preserve">able </w:t>
      </w:r>
      <w:r w:rsidR="008B064B" w:rsidRPr="00F25099">
        <w:rPr>
          <w:rFonts w:asciiTheme="minorHAnsi" w:hAnsiTheme="minorHAnsi" w:cstheme="minorHAnsi"/>
          <w:sz w:val="24"/>
        </w:rPr>
        <w:t>to electronically access businesses, apply for jobs, and work at places due to the barriers created by inaccessible websites and mobile applications.</w:t>
      </w:r>
    </w:p>
    <w:p w14:paraId="6F490558" w14:textId="77777777" w:rsidR="00607901" w:rsidRPr="00F25099" w:rsidRDefault="00607901" w:rsidP="00607901">
      <w:pPr>
        <w:widowControl w:val="0"/>
        <w:autoSpaceDE w:val="0"/>
        <w:autoSpaceDN w:val="0"/>
        <w:spacing w:before="11"/>
        <w:contextualSpacing/>
        <w:rPr>
          <w:rFonts w:asciiTheme="minorHAnsi" w:eastAsia="Arial" w:hAnsiTheme="minorHAnsi" w:cstheme="minorHAnsi"/>
          <w:sz w:val="24"/>
        </w:rPr>
      </w:pPr>
    </w:p>
    <w:p w14:paraId="3F9B0E73" w14:textId="6881AECF" w:rsidR="000156C6" w:rsidRPr="00F25099" w:rsidRDefault="00607901" w:rsidP="00C905E1">
      <w:pPr>
        <w:ind w:left="90" w:right="360"/>
        <w:contextualSpacing/>
        <w:rPr>
          <w:rFonts w:asciiTheme="minorHAnsi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The past few years have seen a </w:t>
      </w:r>
      <w:r w:rsidR="009576F8" w:rsidRPr="00F25099">
        <w:rPr>
          <w:rFonts w:asciiTheme="minorHAnsi" w:eastAsia="Arial" w:hAnsiTheme="minorHAnsi" w:cstheme="minorHAnsi"/>
          <w:b/>
          <w:color w:val="ED1C24"/>
          <w:sz w:val="24"/>
        </w:rPr>
        <w:t>significant</w:t>
      </w: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increase in the prevalence of</w:t>
      </w:r>
      <w:bookmarkStart w:id="0" w:name="_Hlk61020997"/>
      <w:r w:rsidR="00E60D5E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so-called “click-by” lawsuits. </w:t>
      </w:r>
      <w:r w:rsidR="00E60D5E" w:rsidRPr="00F25099">
        <w:rPr>
          <w:rFonts w:asciiTheme="minorHAnsi" w:eastAsia="Arial" w:hAnsiTheme="minorHAnsi" w:cstheme="minorHAnsi"/>
          <w:sz w:val="24"/>
        </w:rPr>
        <w:t>Accessibility is readily achievable, but m</w:t>
      </w:r>
      <w:r w:rsidR="00530D5D" w:rsidRPr="00F25099">
        <w:rPr>
          <w:rFonts w:asciiTheme="minorHAnsi" w:eastAsia="Arial" w:hAnsiTheme="minorHAnsi" w:cstheme="minorHAnsi"/>
          <w:sz w:val="24"/>
        </w:rPr>
        <w:t>any b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usinesses </w:t>
      </w:r>
      <w:r w:rsidR="00E60D5E" w:rsidRPr="00F25099">
        <w:rPr>
          <w:rFonts w:asciiTheme="minorHAnsi" w:eastAsia="Arial" w:hAnsiTheme="minorHAnsi" w:cstheme="minorHAnsi"/>
          <w:sz w:val="24"/>
        </w:rPr>
        <w:t xml:space="preserve">that 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are required by law to make their websites accessible </w:t>
      </w:r>
      <w:r w:rsidR="0072757F" w:rsidRPr="00F25099">
        <w:rPr>
          <w:rFonts w:asciiTheme="minorHAnsi" w:eastAsia="Arial" w:hAnsiTheme="minorHAnsi" w:cstheme="minorHAnsi"/>
          <w:sz w:val="24"/>
        </w:rPr>
        <w:t xml:space="preserve">claim to </w:t>
      </w:r>
      <w:r w:rsidR="00686CA0" w:rsidRPr="00F25099">
        <w:rPr>
          <w:rFonts w:asciiTheme="minorHAnsi" w:eastAsia="Arial" w:hAnsiTheme="minorHAnsi" w:cstheme="minorHAnsi"/>
          <w:sz w:val="24"/>
        </w:rPr>
        <w:t>have no clear-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cut definition of what “accessible” actually means. </w:t>
      </w:r>
      <w:bookmarkEnd w:id="0"/>
      <w:r w:rsidR="002D3FAA" w:rsidRPr="00F25099">
        <w:rPr>
          <w:rFonts w:asciiTheme="minorHAnsi" w:eastAsia="Arial" w:hAnsiTheme="minorHAnsi" w:cstheme="minorHAnsi"/>
          <w:sz w:val="24"/>
        </w:rPr>
        <w:t xml:space="preserve">Meanwhile, people with disabilities must cope with inaccessible websites. </w:t>
      </w:r>
      <w:r w:rsidR="009576F8" w:rsidRPr="00F25099">
        <w:rPr>
          <w:rFonts w:asciiTheme="minorHAnsi" w:eastAsia="Arial" w:hAnsiTheme="minorHAnsi" w:cstheme="minorHAnsi"/>
          <w:sz w:val="24"/>
        </w:rPr>
        <w:t>ADA Title III lawsuits, which include website accessibility suits, hit record numbers in 2019, topping 11,000 for the first time.</w:t>
      </w:r>
      <w:r w:rsidR="009576F8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5"/>
      </w:r>
      <w:r w:rsidR="009576F8" w:rsidRPr="00F25099">
        <w:rPr>
          <w:rFonts w:asciiTheme="minorHAnsi" w:eastAsia="Arial" w:hAnsiTheme="minorHAnsi" w:cstheme="minorHAnsi"/>
          <w:sz w:val="24"/>
        </w:rPr>
        <w:t xml:space="preserve"> The number of lawsuits has been increasing steadily since 2013, when the figure was first tracked.</w:t>
      </w:r>
      <w:r w:rsidR="009576F8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6"/>
      </w:r>
      <w:r w:rsidR="009576F8" w:rsidRPr="00F25099">
        <w:rPr>
          <w:rFonts w:asciiTheme="minorHAnsi" w:eastAsia="Arial" w:hAnsiTheme="minorHAnsi" w:cstheme="minorHAnsi"/>
          <w:sz w:val="24"/>
        </w:rPr>
        <w:t xml:space="preserve"> </w:t>
      </w:r>
      <w:r w:rsidR="000156C6" w:rsidRPr="00F25099">
        <w:rPr>
          <w:rFonts w:asciiTheme="minorHAnsi" w:eastAsia="Arial" w:hAnsiTheme="minorHAnsi" w:cstheme="minorHAnsi"/>
          <w:sz w:val="24"/>
        </w:rPr>
        <w:t>B</w:t>
      </w:r>
      <w:r w:rsidR="000156C6" w:rsidRPr="00F25099">
        <w:rPr>
          <w:rFonts w:asciiTheme="minorHAnsi" w:hAnsiTheme="minorHAnsi" w:cstheme="minorHAnsi"/>
          <w:sz w:val="24"/>
        </w:rPr>
        <w:t xml:space="preserve">usinesses yearn for a clear definition of accessibility standards </w:t>
      </w:r>
      <w:r w:rsidR="00DC14CB" w:rsidRPr="00F25099">
        <w:rPr>
          <w:rFonts w:asciiTheme="minorHAnsi" w:hAnsiTheme="minorHAnsi" w:cstheme="minorHAnsi"/>
          <w:sz w:val="24"/>
        </w:rPr>
        <w:t>and to</w:t>
      </w:r>
      <w:r w:rsidR="000156C6" w:rsidRPr="00F25099">
        <w:rPr>
          <w:rFonts w:asciiTheme="minorHAnsi" w:hAnsiTheme="minorHAnsi" w:cstheme="minorHAnsi"/>
          <w:sz w:val="24"/>
        </w:rPr>
        <w:t xml:space="preserve"> be</w:t>
      </w:r>
      <w:r w:rsidR="00DC14CB" w:rsidRPr="00F25099">
        <w:rPr>
          <w:rFonts w:asciiTheme="minorHAnsi" w:hAnsiTheme="minorHAnsi" w:cstheme="minorHAnsi"/>
          <w:sz w:val="24"/>
        </w:rPr>
        <w:t xml:space="preserve"> able</w:t>
      </w:r>
      <w:r w:rsidR="000156C6" w:rsidRPr="00F25099">
        <w:rPr>
          <w:rFonts w:asciiTheme="minorHAnsi" w:hAnsiTheme="minorHAnsi" w:cstheme="minorHAnsi"/>
          <w:sz w:val="24"/>
        </w:rPr>
        <w:t xml:space="preserve"> to expand their potential customer pool to consumers they were not reaching before. </w:t>
      </w:r>
    </w:p>
    <w:p w14:paraId="583603E7" w14:textId="77777777" w:rsidR="009576F8" w:rsidRPr="00F25099" w:rsidRDefault="009576F8" w:rsidP="00607901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</w:p>
    <w:p w14:paraId="69B0F79E" w14:textId="5B1C2106" w:rsidR="009576F8" w:rsidRPr="00F25099" w:rsidRDefault="009576F8" w:rsidP="007E3B42">
      <w:pPr>
        <w:pStyle w:val="Heading2"/>
      </w:pPr>
      <w:r w:rsidRPr="00F25099">
        <w:rPr>
          <w:sz w:val="24"/>
        </w:rPr>
        <w:br w:type="page"/>
      </w:r>
      <w:r w:rsidR="0063436E" w:rsidRPr="00F25099">
        <w:lastRenderedPageBreak/>
        <w:t>Solution</w:t>
      </w:r>
      <w:r w:rsidR="00F25099">
        <w:rPr>
          <w:sz w:val="24"/>
        </w:rPr>
        <w:t>—</w:t>
      </w:r>
      <w:r w:rsidR="006D50D9" w:rsidRPr="00F25099">
        <w:t>Twenty-First Century Website</w:t>
      </w:r>
      <w:r w:rsidR="008C48A8" w:rsidRPr="00F25099">
        <w:t>s &amp; Applications</w:t>
      </w:r>
      <w:r w:rsidR="006D50D9" w:rsidRPr="00F25099">
        <w:t xml:space="preserve"> Accessibility</w:t>
      </w:r>
      <w:r w:rsidR="0063436E" w:rsidRPr="00F25099">
        <w:t xml:space="preserve"> Act</w:t>
      </w:r>
      <w:r w:rsidR="00DD39B4" w:rsidRPr="00F25099">
        <w:t xml:space="preserve"> will</w:t>
      </w:r>
      <w:r w:rsidR="0063436E" w:rsidRPr="00F25099">
        <w:t>:</w:t>
      </w:r>
    </w:p>
    <w:p w14:paraId="45184E00" w14:textId="77777777" w:rsidR="00DD39B4" w:rsidRPr="00F25099" w:rsidRDefault="00DD39B4" w:rsidP="0063436E">
      <w:pPr>
        <w:widowControl w:val="0"/>
        <w:autoSpaceDE w:val="0"/>
        <w:autoSpaceDN w:val="0"/>
        <w:ind w:left="119" w:right="161"/>
        <w:contextualSpacing/>
        <w:jc w:val="center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50753B87" w14:textId="5A9B4279" w:rsidR="00DD39B4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Direct the US </w:t>
      </w:r>
      <w:r w:rsidR="007316E2" w:rsidRPr="006F037D">
        <w:rPr>
          <w:rFonts w:asciiTheme="minorHAnsi" w:eastAsia="Arial" w:hAnsiTheme="minorHAnsi" w:cstheme="minorHAnsi"/>
          <w:b/>
          <w:color w:val="006699"/>
          <w:sz w:val="24"/>
        </w:rPr>
        <w:t>Access Board</w:t>
      </w:r>
      <w:r w:rsidR="00B664C2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to promulgate accessibility </w:t>
      </w:r>
      <w:r w:rsidR="004603C2" w:rsidRPr="006F037D">
        <w:rPr>
          <w:rFonts w:asciiTheme="minorHAnsi" w:eastAsia="Arial" w:hAnsiTheme="minorHAnsi" w:cstheme="minorHAnsi"/>
          <w:b/>
          <w:color w:val="006699"/>
          <w:sz w:val="24"/>
        </w:rPr>
        <w:t>guidelines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>.</w:t>
      </w:r>
      <w:r w:rsidRPr="006F037D">
        <w:rPr>
          <w:rFonts w:asciiTheme="minorHAnsi" w:eastAsia="Arial" w:hAnsiTheme="minorHAnsi" w:cstheme="minorHAnsi"/>
          <w:color w:val="006699"/>
          <w:sz w:val="24"/>
        </w:rPr>
        <w:t xml:space="preserve"> </w:t>
      </w:r>
      <w:r w:rsidR="00B664C2" w:rsidRPr="00F25099">
        <w:rPr>
          <w:rFonts w:asciiTheme="minorHAnsi" w:eastAsia="Arial" w:hAnsiTheme="minorHAnsi" w:cstheme="minorHAnsi"/>
          <w:sz w:val="24"/>
        </w:rPr>
        <w:t>The</w:t>
      </w:r>
      <w:r w:rsidR="007316E2" w:rsidRPr="00F25099">
        <w:rPr>
          <w:rFonts w:asciiTheme="minorHAnsi" w:eastAsia="Arial" w:hAnsiTheme="minorHAnsi" w:cstheme="minorHAnsi"/>
          <w:sz w:val="24"/>
        </w:rPr>
        <w:t xml:space="preserve"> US</w:t>
      </w:r>
      <w:r w:rsidR="00B664C2" w:rsidRPr="00F25099">
        <w:rPr>
          <w:rFonts w:asciiTheme="minorHAnsi" w:eastAsia="Arial" w:hAnsiTheme="minorHAnsi" w:cstheme="minorHAnsi"/>
          <w:sz w:val="24"/>
        </w:rPr>
        <w:t xml:space="preserve"> </w:t>
      </w:r>
      <w:r w:rsidR="007316E2" w:rsidRPr="00F25099">
        <w:rPr>
          <w:rFonts w:asciiTheme="minorHAnsi" w:eastAsia="Arial" w:hAnsiTheme="minorHAnsi" w:cstheme="minorHAnsi"/>
          <w:sz w:val="24"/>
        </w:rPr>
        <w:t>Access Board</w:t>
      </w:r>
      <w:r w:rsidRPr="00F25099">
        <w:rPr>
          <w:rFonts w:asciiTheme="minorHAnsi" w:eastAsia="Arial" w:hAnsiTheme="minorHAnsi" w:cstheme="minorHAnsi"/>
          <w:sz w:val="24"/>
        </w:rPr>
        <w:t xml:space="preserve"> will have </w:t>
      </w:r>
      <w:r w:rsidR="008C48A8" w:rsidRPr="00F25099">
        <w:rPr>
          <w:rFonts w:asciiTheme="minorHAnsi" w:eastAsia="Arial" w:hAnsiTheme="minorHAnsi" w:cstheme="minorHAnsi"/>
          <w:sz w:val="24"/>
        </w:rPr>
        <w:t>six</w:t>
      </w:r>
      <w:r w:rsidRPr="00F25099">
        <w:rPr>
          <w:rFonts w:asciiTheme="minorHAnsi" w:eastAsia="Arial" w:hAnsiTheme="minorHAnsi" w:cstheme="minorHAnsi"/>
          <w:sz w:val="24"/>
        </w:rPr>
        <w:t xml:space="preserve"> months following the enactment of the legislation to issue a notice of proposed rulemaking regarding website and mobile application accessibility, then an additional </w:t>
      </w:r>
      <w:r w:rsidR="008C48A8" w:rsidRPr="00F25099">
        <w:rPr>
          <w:rFonts w:asciiTheme="minorHAnsi" w:eastAsia="Arial" w:hAnsiTheme="minorHAnsi" w:cstheme="minorHAnsi"/>
          <w:sz w:val="24"/>
        </w:rPr>
        <w:t>six</w:t>
      </w:r>
      <w:r w:rsidRPr="00F25099">
        <w:rPr>
          <w:rFonts w:asciiTheme="minorHAnsi" w:eastAsia="Arial" w:hAnsiTheme="minorHAnsi" w:cstheme="minorHAnsi"/>
          <w:sz w:val="24"/>
        </w:rPr>
        <w:t xml:space="preserve"> months to issue the final rule. </w:t>
      </w:r>
    </w:p>
    <w:p w14:paraId="3C79889A" w14:textId="77777777" w:rsidR="00CB552A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0"/>
          <w:szCs w:val="20"/>
        </w:rPr>
      </w:pPr>
    </w:p>
    <w:p w14:paraId="1D7A5EA1" w14:textId="4C20F7F8" w:rsidR="00CB552A" w:rsidRPr="00F25099" w:rsidRDefault="00B664C2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Promulgate </w:t>
      </w:r>
      <w:r w:rsidR="004603C2" w:rsidRPr="006F037D">
        <w:rPr>
          <w:rFonts w:asciiTheme="minorHAnsi" w:eastAsia="Arial" w:hAnsiTheme="minorHAnsi" w:cstheme="minorHAnsi"/>
          <w:b/>
          <w:color w:val="006699"/>
          <w:sz w:val="24"/>
        </w:rPr>
        <w:t>guidelines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that strive to harmonize 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>with Section 508 standards.</w:t>
      </w:r>
      <w:r w:rsidR="00CB552A" w:rsidRPr="006F037D">
        <w:rPr>
          <w:rFonts w:asciiTheme="minorHAnsi" w:eastAsia="Arial" w:hAnsiTheme="minorHAnsi" w:cstheme="minorHAnsi"/>
          <w:color w:val="006699"/>
          <w:sz w:val="24"/>
        </w:rPr>
        <w:t xml:space="preserve"> </w:t>
      </w:r>
      <w:bookmarkStart w:id="1" w:name="_Hlk61021113"/>
      <w:r w:rsidR="00CB552A" w:rsidRPr="00F25099">
        <w:rPr>
          <w:rFonts w:asciiTheme="minorHAnsi" w:eastAsia="Arial" w:hAnsiTheme="minorHAnsi" w:cstheme="minorHAnsi"/>
          <w:sz w:val="24"/>
        </w:rPr>
        <w:t xml:space="preserve">The Section 508 standards </w:t>
      </w:r>
      <w:r w:rsidR="00EC6F7A" w:rsidRPr="00F25099">
        <w:rPr>
          <w:rFonts w:asciiTheme="minorHAnsi" w:eastAsia="Arial" w:hAnsiTheme="minorHAnsi" w:cstheme="minorHAnsi"/>
          <w:sz w:val="24"/>
        </w:rPr>
        <w:t>promulgated</w:t>
      </w:r>
      <w:r w:rsidRPr="00F25099">
        <w:rPr>
          <w:rFonts w:asciiTheme="minorHAnsi" w:eastAsia="Arial" w:hAnsiTheme="minorHAnsi" w:cstheme="minorHAnsi"/>
          <w:sz w:val="24"/>
        </w:rPr>
        <w:t xml:space="preserve"> by the US Access Board </w:t>
      </w:r>
      <w:r w:rsidR="00EC6F7A" w:rsidRPr="00F25099">
        <w:rPr>
          <w:rFonts w:asciiTheme="minorHAnsi" w:eastAsia="Arial" w:hAnsiTheme="minorHAnsi" w:cstheme="minorHAnsi"/>
          <w:sz w:val="24"/>
        </w:rPr>
        <w:t>on January 18, 2017</w:t>
      </w:r>
      <w:r w:rsidR="00E57BAD" w:rsidRPr="00F25099">
        <w:rPr>
          <w:rFonts w:asciiTheme="minorHAnsi" w:eastAsia="Arial" w:hAnsiTheme="minorHAnsi" w:cstheme="minorHAnsi"/>
          <w:sz w:val="24"/>
        </w:rPr>
        <w:t>,</w:t>
      </w:r>
      <w:r w:rsidR="00EC6F7A" w:rsidRPr="00F25099">
        <w:rPr>
          <w:rFonts w:asciiTheme="minorHAnsi" w:eastAsia="Arial" w:hAnsiTheme="minorHAnsi" w:cstheme="minorHAnsi"/>
          <w:sz w:val="24"/>
        </w:rPr>
        <w:t xml:space="preserve">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are </w:t>
      </w:r>
      <w:r w:rsidR="00EC6F7A" w:rsidRPr="00F25099">
        <w:rPr>
          <w:rFonts w:asciiTheme="minorHAnsi" w:eastAsia="Arial" w:hAnsiTheme="minorHAnsi" w:cstheme="minorHAnsi"/>
          <w:sz w:val="24"/>
        </w:rPr>
        <w:t>established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</w:t>
      </w:r>
      <w:r w:rsidR="004603C2" w:rsidRPr="00F25099">
        <w:rPr>
          <w:rFonts w:asciiTheme="minorHAnsi" w:eastAsia="Arial" w:hAnsiTheme="minorHAnsi" w:cstheme="minorHAnsi"/>
          <w:sz w:val="24"/>
        </w:rPr>
        <w:t>regulations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for website </w:t>
      </w:r>
      <w:r w:rsidR="001A0E92" w:rsidRPr="00F25099">
        <w:rPr>
          <w:rFonts w:asciiTheme="minorHAnsi" w:eastAsia="Arial" w:hAnsiTheme="minorHAnsi" w:cstheme="minorHAnsi"/>
          <w:sz w:val="24"/>
        </w:rPr>
        <w:t xml:space="preserve">and technology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accessibility. </w:t>
      </w:r>
      <w:bookmarkEnd w:id="1"/>
      <w:r w:rsidR="00CB552A" w:rsidRPr="00F25099">
        <w:rPr>
          <w:rFonts w:asciiTheme="minorHAnsi" w:eastAsia="Arial" w:hAnsiTheme="minorHAnsi" w:cstheme="minorHAnsi"/>
          <w:sz w:val="24"/>
        </w:rPr>
        <w:t>Therefore, the</w:t>
      </w:r>
      <w:r w:rsidRPr="00F25099">
        <w:rPr>
          <w:rFonts w:asciiTheme="minorHAnsi" w:eastAsia="Arial" w:hAnsiTheme="minorHAnsi" w:cstheme="minorHAnsi"/>
          <w:sz w:val="24"/>
        </w:rPr>
        <w:t xml:space="preserve"> </w:t>
      </w:r>
      <w:r w:rsidR="004603C2" w:rsidRPr="00F25099">
        <w:rPr>
          <w:rFonts w:asciiTheme="minorHAnsi" w:eastAsia="Arial" w:hAnsiTheme="minorHAnsi" w:cstheme="minorHAnsi"/>
          <w:sz w:val="24"/>
        </w:rPr>
        <w:t>guidelines</w:t>
      </w:r>
      <w:r w:rsidRPr="00F25099">
        <w:rPr>
          <w:rFonts w:asciiTheme="minorHAnsi" w:eastAsia="Arial" w:hAnsiTheme="minorHAnsi" w:cstheme="minorHAnsi"/>
          <w:sz w:val="24"/>
        </w:rPr>
        <w:t xml:space="preserve"> promulgated by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the </w:t>
      </w:r>
      <w:r w:rsidR="007316E2" w:rsidRPr="00F25099">
        <w:rPr>
          <w:rFonts w:asciiTheme="minorHAnsi" w:eastAsia="Arial" w:hAnsiTheme="minorHAnsi" w:cstheme="minorHAnsi"/>
          <w:sz w:val="24"/>
        </w:rPr>
        <w:t>Access Board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should harmonize</w:t>
      </w:r>
      <w:r w:rsidR="001A0E92" w:rsidRPr="00F25099">
        <w:rPr>
          <w:rFonts w:asciiTheme="minorHAnsi" w:eastAsia="Arial" w:hAnsiTheme="minorHAnsi" w:cstheme="minorHAnsi"/>
          <w:sz w:val="24"/>
        </w:rPr>
        <w:t xml:space="preserve"> with these standards. </w:t>
      </w:r>
    </w:p>
    <w:p w14:paraId="7A8D026D" w14:textId="77777777" w:rsidR="00CB552A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0"/>
          <w:szCs w:val="20"/>
        </w:rPr>
      </w:pPr>
    </w:p>
    <w:p w14:paraId="0EA31BCB" w14:textId="2FC1C7B4" w:rsidR="00CB552A" w:rsidRPr="00F25099" w:rsidRDefault="004603C2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>Authorize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the Department of Justice </w:t>
      </w:r>
      <w:r w:rsidR="003F3D31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and the Equal Employment Opportunity Commission 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>to investigate the accessibility of websites and mobile applications.</w:t>
      </w:r>
      <w:r w:rsidR="00CB552A" w:rsidRPr="00F25099">
        <w:rPr>
          <w:rFonts w:asciiTheme="minorHAnsi" w:eastAsia="Arial" w:hAnsiTheme="minorHAnsi" w:cstheme="minorHAnsi"/>
          <w:b/>
          <w:color w:val="0066CC"/>
          <w:sz w:val="24"/>
        </w:rPr>
        <w:t xml:space="preserve"> </w:t>
      </w:r>
      <w:r w:rsidR="00376C75" w:rsidRPr="00F25099">
        <w:rPr>
          <w:rFonts w:asciiTheme="minorHAnsi" w:eastAsia="Arial" w:hAnsiTheme="minorHAnsi" w:cstheme="minorHAnsi"/>
          <w:sz w:val="24"/>
        </w:rPr>
        <w:t>Either of its own volition or via a logged complaint pertaining to inaccessibility, the Department of Justice</w:t>
      </w:r>
      <w:r w:rsidR="003F3D31" w:rsidRPr="00F25099">
        <w:rPr>
          <w:rFonts w:asciiTheme="minorHAnsi" w:eastAsia="Arial" w:hAnsiTheme="minorHAnsi" w:cstheme="minorHAnsi"/>
          <w:sz w:val="24"/>
        </w:rPr>
        <w:t xml:space="preserve"> and the </w:t>
      </w:r>
      <w:r w:rsidR="003F3D31" w:rsidRPr="00F25099">
        <w:rPr>
          <w:rFonts w:asciiTheme="minorHAnsi" w:hAnsiTheme="minorHAnsi" w:cstheme="minorHAnsi"/>
          <w:sz w:val="24"/>
        </w:rPr>
        <w:t>Equal Employment Opportunity Commission</w:t>
      </w:r>
      <w:r w:rsidR="00376C75" w:rsidRPr="00F25099">
        <w:rPr>
          <w:rFonts w:asciiTheme="minorHAnsi" w:eastAsia="Arial" w:hAnsiTheme="minorHAnsi" w:cstheme="minorHAnsi"/>
          <w:sz w:val="24"/>
        </w:rPr>
        <w:t xml:space="preserve"> will have the authority to investigate accessibility concerns and commence civil action if necessary. </w:t>
      </w:r>
    </w:p>
    <w:p w14:paraId="226DE888" w14:textId="77777777" w:rsidR="00376C75" w:rsidRPr="00F25099" w:rsidRDefault="00376C75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color w:val="0066CC"/>
          <w:sz w:val="20"/>
          <w:szCs w:val="20"/>
        </w:rPr>
      </w:pPr>
    </w:p>
    <w:p w14:paraId="6D7E5C35" w14:textId="57A96861" w:rsidR="00376C75" w:rsidRPr="006F037D" w:rsidRDefault="00376C75" w:rsidP="00E85A3E">
      <w:pPr>
        <w:jc w:val="center"/>
        <w:rPr>
          <w:rFonts w:asciiTheme="minorHAnsi" w:eastAsia="Arial" w:hAnsiTheme="minorHAnsi" w:cstheme="minorHAnsi"/>
          <w:b/>
          <w:color w:val="1F497D"/>
          <w:sz w:val="40"/>
        </w:rPr>
      </w:pP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GOA</w:t>
      </w:r>
      <w:r w:rsidR="00E85A3E" w:rsidRPr="006F037D">
        <w:rPr>
          <w:rFonts w:asciiTheme="minorHAnsi" w:eastAsia="Arial" w:hAnsiTheme="minorHAnsi" w:cstheme="minorHAnsi"/>
          <w:b/>
          <w:color w:val="1F497D"/>
          <w:sz w:val="34"/>
        </w:rPr>
        <w:t>L</w:t>
      </w:r>
      <w:r w:rsidR="00F25099" w:rsidRPr="006F037D">
        <w:rPr>
          <w:rFonts w:asciiTheme="minorHAnsi" w:eastAsia="Arial" w:hAnsiTheme="minorHAnsi" w:cstheme="minorHAnsi"/>
          <w:b/>
          <w:color w:val="1F497D"/>
          <w:sz w:val="34"/>
        </w:rPr>
        <w:t>—</w:t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END WEBSITE AND MOBILE APPLICATION INACCESSIBIL</w:t>
      </w:r>
      <w:r w:rsidR="00686CA0" w:rsidRPr="006F037D">
        <w:rPr>
          <w:rFonts w:asciiTheme="minorHAnsi" w:eastAsia="Arial" w:hAnsiTheme="minorHAnsi" w:cstheme="minorHAnsi"/>
          <w:b/>
          <w:color w:val="1F497D"/>
          <w:sz w:val="34"/>
        </w:rPr>
        <w:t>I</w:t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TY</w:t>
      </w:r>
      <w:r w:rsidR="007E3B42" w:rsidRPr="006F037D">
        <w:rPr>
          <w:rFonts w:asciiTheme="minorHAnsi" w:eastAsia="Arial" w:hAnsiTheme="minorHAnsi" w:cstheme="minorHAnsi"/>
          <w:b/>
          <w:color w:val="1F497D"/>
          <w:sz w:val="34"/>
        </w:rPr>
        <w:br/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FOR BLIND AMERICANS.</w:t>
      </w:r>
    </w:p>
    <w:p w14:paraId="23A43CF0" w14:textId="77777777" w:rsidR="00376C75" w:rsidRPr="00F25099" w:rsidRDefault="00376C75" w:rsidP="00376C75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EC29B60" w14:textId="1EE2F50D" w:rsidR="00376C75" w:rsidRPr="00F25099" w:rsidRDefault="003D092A" w:rsidP="007E3B42">
      <w:pPr>
        <w:pStyle w:val="Heading2"/>
      </w:pPr>
      <w:r w:rsidRPr="00F25099">
        <w:t>Cos</w:t>
      </w:r>
      <w:r w:rsidR="00376C75" w:rsidRPr="00F25099">
        <w:t xml:space="preserve">ponsor the </w:t>
      </w:r>
      <w:r w:rsidR="006D50D9" w:rsidRPr="00F25099">
        <w:t>Twenty-First Century Website</w:t>
      </w:r>
      <w:r w:rsidR="008C48A8" w:rsidRPr="00F25099">
        <w:t>s &amp; Applications</w:t>
      </w:r>
      <w:r w:rsidR="006D50D9" w:rsidRPr="00F25099">
        <w:t xml:space="preserve"> Accessibility Act</w:t>
      </w:r>
      <w:r w:rsidR="00A97F4F" w:rsidRPr="00F25099">
        <w:t xml:space="preserve"> when introduced</w:t>
      </w:r>
      <w:r w:rsidR="00376C75" w:rsidRPr="00F25099">
        <w:t>.</w:t>
      </w:r>
    </w:p>
    <w:p w14:paraId="3854B5D3" w14:textId="77777777" w:rsidR="00FB58DE" w:rsidRPr="00F25099" w:rsidRDefault="00FB58DE" w:rsidP="00FB58D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5EBF99" w14:textId="5184060F" w:rsidR="00FB58DE" w:rsidRPr="00F25099" w:rsidRDefault="00FB58DE" w:rsidP="00FB58DE">
      <w:pPr>
        <w:jc w:val="center"/>
        <w:rPr>
          <w:rFonts w:asciiTheme="minorHAnsi" w:hAnsiTheme="minorHAnsi" w:cstheme="minorHAnsi"/>
          <w:b/>
          <w:sz w:val="24"/>
        </w:rPr>
      </w:pPr>
      <w:r w:rsidRPr="00F25099">
        <w:rPr>
          <w:rFonts w:asciiTheme="minorHAnsi" w:hAnsiTheme="minorHAnsi" w:cstheme="minorHAnsi"/>
          <w:b/>
          <w:sz w:val="24"/>
        </w:rPr>
        <w:t xml:space="preserve">To cosponsor the </w:t>
      </w:r>
      <w:r w:rsidR="008C48A8" w:rsidRPr="00F25099">
        <w:rPr>
          <w:rFonts w:asciiTheme="minorHAnsi" w:hAnsiTheme="minorHAnsi" w:cstheme="minorHAnsi"/>
          <w:b/>
          <w:sz w:val="24"/>
        </w:rPr>
        <w:t>Twenty-First Century Websites &amp; Applications Accessibility Act in the Senate</w:t>
      </w:r>
      <w:r w:rsidRPr="00F25099">
        <w:rPr>
          <w:rFonts w:asciiTheme="minorHAnsi" w:hAnsiTheme="minorHAnsi" w:cstheme="minorHAnsi"/>
          <w:b/>
          <w:sz w:val="24"/>
        </w:rPr>
        <w:t>, contact:</w:t>
      </w:r>
    </w:p>
    <w:p w14:paraId="6EE913F1" w14:textId="77777777" w:rsidR="00FB58DE" w:rsidRPr="00F25099" w:rsidRDefault="00FB58DE" w:rsidP="00FB58DE">
      <w:pPr>
        <w:widowControl w:val="0"/>
        <w:autoSpaceDE w:val="0"/>
        <w:autoSpaceDN w:val="0"/>
        <w:ind w:left="170" w:right="130"/>
        <w:contextualSpacing/>
        <w:jc w:val="center"/>
        <w:rPr>
          <w:rFonts w:asciiTheme="minorHAnsi" w:eastAsia="Arial" w:hAnsiTheme="minorHAnsi" w:cstheme="minorHAnsi"/>
          <w:sz w:val="24"/>
          <w:szCs w:val="22"/>
        </w:rPr>
      </w:pPr>
      <w:r w:rsidRPr="00F25099">
        <w:rPr>
          <w:rFonts w:asciiTheme="minorHAnsi" w:eastAsia="Arial" w:hAnsiTheme="minorHAnsi" w:cstheme="minorHAnsi"/>
          <w:sz w:val="24"/>
          <w:szCs w:val="22"/>
        </w:rPr>
        <w:t>Alisa Winchester, Legislative Correspondent for Senator Duckworth (D-IL)</w:t>
      </w:r>
    </w:p>
    <w:p w14:paraId="7EAEE9B3" w14:textId="77777777" w:rsidR="00FB58DE" w:rsidRPr="00F25099" w:rsidRDefault="00FB58DE" w:rsidP="00FB58DE">
      <w:pPr>
        <w:jc w:val="center"/>
        <w:rPr>
          <w:rFonts w:asciiTheme="minorHAnsi" w:hAnsiTheme="minorHAnsi" w:cstheme="minorHAnsi"/>
          <w:sz w:val="24"/>
        </w:rPr>
      </w:pPr>
      <w:r w:rsidRPr="00F25099">
        <w:rPr>
          <w:rFonts w:asciiTheme="minorHAnsi" w:hAnsiTheme="minorHAnsi" w:cstheme="minorHAnsi"/>
          <w:sz w:val="24"/>
        </w:rPr>
        <w:t>Phone: 202-224-2854</w:t>
      </w:r>
    </w:p>
    <w:p w14:paraId="174880A0" w14:textId="77777777" w:rsidR="00FB58DE" w:rsidRPr="00F25099" w:rsidRDefault="00FB58DE" w:rsidP="00FB58DE">
      <w:pPr>
        <w:jc w:val="center"/>
        <w:rPr>
          <w:rFonts w:asciiTheme="minorHAnsi" w:hAnsiTheme="minorHAnsi" w:cstheme="minorHAnsi"/>
          <w:sz w:val="24"/>
        </w:rPr>
      </w:pPr>
      <w:r w:rsidRPr="00F25099">
        <w:rPr>
          <w:rFonts w:asciiTheme="minorHAnsi" w:hAnsiTheme="minorHAnsi" w:cstheme="minorHAnsi"/>
          <w:sz w:val="24"/>
        </w:rPr>
        <w:t xml:space="preserve">Email: </w:t>
      </w:r>
      <w:hyperlink r:id="rId8" w:history="1">
        <w:r w:rsidRPr="00F25099">
          <w:rPr>
            <w:rStyle w:val="Hyperlink"/>
            <w:rFonts w:asciiTheme="minorHAnsi" w:hAnsiTheme="minorHAnsi" w:cstheme="minorHAnsi"/>
            <w:sz w:val="24"/>
          </w:rPr>
          <w:t>alisa_winchester@duckworth.senate.gov</w:t>
        </w:r>
      </w:hyperlink>
    </w:p>
    <w:p w14:paraId="184B307F" w14:textId="5706EFB7" w:rsidR="00027DEB" w:rsidRPr="00F25099" w:rsidRDefault="00027DEB" w:rsidP="00FB79ED">
      <w:pPr>
        <w:rPr>
          <w:rFonts w:asciiTheme="minorHAnsi" w:hAnsiTheme="minorHAnsi" w:cstheme="minorHAnsi"/>
          <w:b/>
          <w:sz w:val="20"/>
          <w:szCs w:val="20"/>
        </w:rPr>
      </w:pPr>
    </w:p>
    <w:p w14:paraId="4BBBE8C6" w14:textId="2D49B951" w:rsidR="00376C75" w:rsidRPr="00F25099" w:rsidRDefault="00376C75" w:rsidP="00376C75">
      <w:pPr>
        <w:widowControl w:val="0"/>
        <w:autoSpaceDE w:val="0"/>
        <w:autoSpaceDN w:val="0"/>
        <w:ind w:left="170" w:right="130"/>
        <w:contextualSpacing/>
        <w:jc w:val="center"/>
        <w:rPr>
          <w:rFonts w:asciiTheme="minorHAnsi" w:eastAsia="Arial" w:hAnsiTheme="minorHAnsi" w:cstheme="minorHAnsi"/>
          <w:b/>
          <w:sz w:val="24"/>
          <w:szCs w:val="22"/>
        </w:rPr>
      </w:pPr>
      <w:r w:rsidRPr="00F25099">
        <w:rPr>
          <w:rFonts w:asciiTheme="minorHAnsi" w:eastAsia="Arial" w:hAnsiTheme="minorHAnsi" w:cstheme="minorHAnsi"/>
          <w:b/>
          <w:sz w:val="24"/>
          <w:szCs w:val="22"/>
        </w:rPr>
        <w:t>For more information, contact:</w:t>
      </w:r>
    </w:p>
    <w:p w14:paraId="02DDE048" w14:textId="77777777" w:rsidR="00376C75" w:rsidRPr="00F25099" w:rsidRDefault="00EC6F7A" w:rsidP="00376C75">
      <w:pPr>
        <w:widowControl w:val="0"/>
        <w:autoSpaceDE w:val="0"/>
        <w:autoSpaceDN w:val="0"/>
        <w:ind w:left="1111" w:right="1067"/>
        <w:contextualSpacing/>
        <w:jc w:val="center"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sz w:val="24"/>
        </w:rPr>
        <w:t>Jeff Kaloc</w:t>
      </w:r>
      <w:r w:rsidR="00376C75" w:rsidRPr="00F25099">
        <w:rPr>
          <w:rFonts w:asciiTheme="minorHAnsi" w:eastAsia="Arial" w:hAnsiTheme="minorHAnsi" w:cstheme="minorHAnsi"/>
          <w:sz w:val="24"/>
        </w:rPr>
        <w:t xml:space="preserve">, Government Affairs Specialist, National Federation of the Blind Phone: 410-659-9314, extension </w:t>
      </w:r>
      <w:r w:rsidRPr="00F25099">
        <w:rPr>
          <w:rFonts w:asciiTheme="minorHAnsi" w:eastAsia="Arial" w:hAnsiTheme="minorHAnsi" w:cstheme="minorHAnsi"/>
          <w:sz w:val="24"/>
        </w:rPr>
        <w:t>2206</w:t>
      </w:r>
    </w:p>
    <w:p w14:paraId="30F5D3F8" w14:textId="1CFD5EA7" w:rsidR="0000720F" w:rsidRPr="00F25099" w:rsidRDefault="00376C75" w:rsidP="00E85A3E">
      <w:pPr>
        <w:widowControl w:val="0"/>
        <w:autoSpaceDE w:val="0"/>
        <w:autoSpaceDN w:val="0"/>
        <w:ind w:left="171" w:right="130"/>
        <w:contextualSpacing/>
        <w:jc w:val="center"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sz w:val="24"/>
        </w:rPr>
        <w:t xml:space="preserve">Email: </w:t>
      </w:r>
      <w:hyperlink r:id="rId9" w:history="1">
        <w:r w:rsidR="00EC6F7A" w:rsidRPr="00F25099">
          <w:rPr>
            <w:rStyle w:val="Hyperlink"/>
            <w:rFonts w:asciiTheme="minorHAnsi" w:eastAsia="Arial" w:hAnsiTheme="minorHAnsi" w:cstheme="minorHAnsi"/>
            <w:sz w:val="24"/>
          </w:rPr>
          <w:t>jkaloc@nfb.org</w:t>
        </w:r>
      </w:hyperlink>
      <w:r w:rsidR="00E85A3E" w:rsidRPr="00F25099">
        <w:rPr>
          <w:rFonts w:asciiTheme="minorHAnsi" w:eastAsia="Arial" w:hAnsiTheme="minorHAnsi" w:cstheme="minorHAnsi"/>
          <w:sz w:val="24"/>
        </w:rPr>
        <w:br/>
      </w:r>
      <w:hyperlink r:id="rId10">
        <w:r w:rsidR="00E85A3E" w:rsidRPr="009D24DD">
          <w:rPr>
            <w:rFonts w:asciiTheme="minorHAnsi" w:eastAsia="Arial" w:hAnsiTheme="minorHAnsi" w:cstheme="minorHAnsi"/>
            <w:color w:val="0000FF"/>
            <w:sz w:val="24"/>
            <w:u w:val="single"/>
          </w:rPr>
          <w:t>www.nfb.org</w:t>
        </w:r>
      </w:hyperlink>
      <w:r w:rsidR="007E3B42">
        <w:rPr>
          <w:rFonts w:asciiTheme="minorHAnsi" w:eastAsia="Arial" w:hAnsiTheme="minorHAnsi" w:cstheme="minorHAnsi"/>
          <w:color w:val="6600FF"/>
          <w:sz w:val="24"/>
          <w:u w:val="single"/>
        </w:rPr>
        <w:br/>
      </w:r>
    </w:p>
    <w:sectPr w:rsidR="0000720F" w:rsidRPr="00F25099" w:rsidSect="009F0608"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5FA3" w14:textId="77777777" w:rsidR="006065DA" w:rsidRDefault="006065DA">
      <w:r>
        <w:separator/>
      </w:r>
    </w:p>
  </w:endnote>
  <w:endnote w:type="continuationSeparator" w:id="0">
    <w:p w14:paraId="542A68A2" w14:textId="77777777" w:rsidR="006065DA" w:rsidRDefault="006065DA">
      <w:r>
        <w:continuationSeparator/>
      </w:r>
    </w:p>
  </w:endnote>
  <w:endnote w:id="1">
    <w:p w14:paraId="057BDC75" w14:textId="7C427A6B" w:rsidR="00607901" w:rsidRPr="00FB58DE" w:rsidRDefault="00607901" w:rsidP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Statista. “Countries with the highest number of internet users as of December 2019.” June 2020. </w:t>
      </w:r>
      <w:hyperlink r:id="rId1" w:history="1">
        <w:r w:rsidR="00170F3D" w:rsidRPr="009D3D90">
          <w:rPr>
            <w:rStyle w:val="Hyperlink"/>
            <w:sz w:val="16"/>
            <w:szCs w:val="16"/>
          </w:rPr>
          <w:t>https://www.statista.com/statistics/262966/number-of-internet-users-in-selected-countries/</w:t>
        </w:r>
      </w:hyperlink>
      <w:r w:rsidR="00170F3D">
        <w:rPr>
          <w:sz w:val="16"/>
          <w:szCs w:val="16"/>
        </w:rPr>
        <w:t xml:space="preserve"> </w:t>
      </w:r>
      <w:r w:rsidRPr="00FB58DE">
        <w:rPr>
          <w:sz w:val="16"/>
          <w:szCs w:val="16"/>
        </w:rPr>
        <w:t xml:space="preserve"> </w:t>
      </w:r>
    </w:p>
  </w:endnote>
  <w:endnote w:id="2">
    <w:p w14:paraId="7BC52341" w14:textId="2CB6451B" w:rsidR="00B4397D" w:rsidRPr="00FB58DE" w:rsidRDefault="00B4397D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Andrew</w:t>
      </w:r>
      <w:r w:rsidR="009576F8" w:rsidRPr="00FB58DE">
        <w:rPr>
          <w:sz w:val="16"/>
          <w:szCs w:val="16"/>
        </w:rPr>
        <w:t xml:space="preserve"> Perrin</w:t>
      </w:r>
      <w:r w:rsidRPr="00FB58DE">
        <w:rPr>
          <w:sz w:val="16"/>
          <w:szCs w:val="16"/>
        </w:rPr>
        <w:t xml:space="preserve"> &amp; Madhu</w:t>
      </w:r>
      <w:r w:rsidR="009576F8" w:rsidRPr="00FB58DE">
        <w:rPr>
          <w:sz w:val="16"/>
          <w:szCs w:val="16"/>
        </w:rPr>
        <w:t xml:space="preserve"> Kumar</w:t>
      </w:r>
      <w:r w:rsidRPr="00FB58DE">
        <w:rPr>
          <w:sz w:val="16"/>
          <w:szCs w:val="16"/>
        </w:rPr>
        <w:t xml:space="preserve">. “About three-in-ten U.S. adults say they are ‘almost constantly’ online.” July 25, 2019. </w:t>
      </w:r>
      <w:hyperlink r:id="rId2" w:history="1">
        <w:r w:rsidR="00170F3D" w:rsidRPr="009D3D90">
          <w:rPr>
            <w:rStyle w:val="Hyperlink"/>
            <w:sz w:val="16"/>
            <w:szCs w:val="16"/>
          </w:rPr>
          <w:t>https://www.pewresearch.org/fact-tank/2019/07/25/americans-going-online-almost-constantly/</w:t>
        </w:r>
      </w:hyperlink>
      <w:r w:rsidR="00170F3D">
        <w:rPr>
          <w:sz w:val="16"/>
          <w:szCs w:val="16"/>
        </w:rPr>
        <w:t xml:space="preserve"> </w:t>
      </w:r>
    </w:p>
  </w:endnote>
  <w:endnote w:id="3">
    <w:p w14:paraId="54E68201" w14:textId="29D6BCEC" w:rsidR="00607901" w:rsidRPr="00FB58DE" w:rsidRDefault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United States Census Bureau, American Community Survey. “The number of non-institutionalized, male or female, all ages, all races, regardless of ethnicity, with all education levels in the United States reported a disability in 2018.” Compiled by Cornell University. </w:t>
      </w:r>
      <w:hyperlink r:id="rId3" w:history="1">
        <w:r w:rsidR="00170F3D" w:rsidRPr="009D3D90">
          <w:rPr>
            <w:rStyle w:val="Hyperlink"/>
            <w:sz w:val="16"/>
            <w:szCs w:val="16"/>
          </w:rPr>
          <w:t>https://www.disabilitystatistics.org/reports/acs.cfm?statistic=1</w:t>
        </w:r>
      </w:hyperlink>
      <w:r w:rsidR="00170F3D">
        <w:rPr>
          <w:sz w:val="16"/>
          <w:szCs w:val="16"/>
        </w:rPr>
        <w:t xml:space="preserve"> </w:t>
      </w:r>
    </w:p>
  </w:endnote>
  <w:endnote w:id="4">
    <w:p w14:paraId="2A1630EA" w14:textId="37B4B62A" w:rsidR="003E6F16" w:rsidRPr="00FB58DE" w:rsidRDefault="003E6F16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Federal Register. “Nondiscrimination on the Basis of Disability; Accessibility of Web Information and Services of State and Local Government Entities and Public Accommodations.” July 26, 2010. </w:t>
      </w:r>
      <w:hyperlink r:id="rId4" w:history="1">
        <w:r w:rsidR="00170F3D" w:rsidRPr="009D3D90">
          <w:rPr>
            <w:rStyle w:val="Hyperlink"/>
            <w:sz w:val="16"/>
            <w:szCs w:val="16"/>
          </w:rPr>
          <w:t>https://www.federalregister.gov/documents/2010/07/26/2010-18334/nondiscrimination-on-the-basis-of-disability-accessibility-of-web-information-and-services-of-state</w:t>
        </w:r>
      </w:hyperlink>
      <w:r w:rsidR="00170F3D">
        <w:rPr>
          <w:sz w:val="16"/>
          <w:szCs w:val="16"/>
        </w:rPr>
        <w:t xml:space="preserve"> </w:t>
      </w:r>
    </w:p>
  </w:endnote>
  <w:endnote w:id="5">
    <w:p w14:paraId="305F3E9A" w14:textId="7DE7F492" w:rsidR="009576F8" w:rsidRPr="00FB58DE" w:rsidRDefault="009576F8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Minh Vu, Kristina </w:t>
      </w:r>
      <w:proofErr w:type="spellStart"/>
      <w:r w:rsidRPr="00FB58DE">
        <w:rPr>
          <w:sz w:val="16"/>
          <w:szCs w:val="16"/>
        </w:rPr>
        <w:t>Launey</w:t>
      </w:r>
      <w:proofErr w:type="spellEnd"/>
      <w:r w:rsidRPr="00FB58DE">
        <w:rPr>
          <w:sz w:val="16"/>
          <w:szCs w:val="16"/>
        </w:rPr>
        <w:t xml:space="preserve">, &amp; Susan Ryan. “2019 Was Another Record-Breaking Year for Federal ADA Title III Lawsuits.” February 20, 2020. </w:t>
      </w:r>
      <w:hyperlink r:id="rId5" w:history="1">
        <w:r w:rsidR="00170F3D" w:rsidRPr="009D3D90">
          <w:rPr>
            <w:rStyle w:val="Hyperlink"/>
            <w:sz w:val="16"/>
            <w:szCs w:val="16"/>
          </w:rPr>
          <w:t>https://www.adatitleiii.com/2020/02/2019-was-another-record-breaking-year-for-federal-ada-title-iii-lawsuits/</w:t>
        </w:r>
      </w:hyperlink>
      <w:r w:rsidR="00170F3D">
        <w:rPr>
          <w:sz w:val="16"/>
          <w:szCs w:val="16"/>
        </w:rPr>
        <w:t xml:space="preserve"> </w:t>
      </w:r>
    </w:p>
  </w:endnote>
  <w:endnote w:id="6">
    <w:p w14:paraId="50F15942" w14:textId="77777777" w:rsidR="009576F8" w:rsidRDefault="009576F8">
      <w:pPr>
        <w:pStyle w:val="EndnoteText"/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4A76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488AAD" wp14:editId="2CFCF919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6D64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587D9EBF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88A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" filled="f" stroked="f">
              <v:textbox>
                <w:txbxContent>
                  <w:p w14:paraId="787C6D64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587D9EBF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98B1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FE372" wp14:editId="36055432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FCF3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FE3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" filled="f" stroked="f">
              <v:textbox>
                <w:txbxContent>
                  <w:p w14:paraId="3C26FCF3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60DB" w14:textId="77777777" w:rsidR="006065DA" w:rsidRDefault="006065DA">
      <w:r>
        <w:separator/>
      </w:r>
    </w:p>
  </w:footnote>
  <w:footnote w:type="continuationSeparator" w:id="0">
    <w:p w14:paraId="0E162FEB" w14:textId="77777777" w:rsidR="006065DA" w:rsidRDefault="0060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30FB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ECFD49" wp14:editId="41BDC51E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6B29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8057EC-7DBE-4DC9-B73D-A3623E313180}"/>
    <w:docVar w:name="dgnword-eventsink" w:val="2399434554096"/>
  </w:docVars>
  <w:rsids>
    <w:rsidRoot w:val="00301930"/>
    <w:rsid w:val="000047AE"/>
    <w:rsid w:val="0000720F"/>
    <w:rsid w:val="000156C6"/>
    <w:rsid w:val="00027DEB"/>
    <w:rsid w:val="000C0DE1"/>
    <w:rsid w:val="000E5C4A"/>
    <w:rsid w:val="000F62FC"/>
    <w:rsid w:val="00113E9D"/>
    <w:rsid w:val="001149CD"/>
    <w:rsid w:val="00115C47"/>
    <w:rsid w:val="00170F3D"/>
    <w:rsid w:val="001912EB"/>
    <w:rsid w:val="001A0E92"/>
    <w:rsid w:val="001A5849"/>
    <w:rsid w:val="001C6D4C"/>
    <w:rsid w:val="00201E00"/>
    <w:rsid w:val="00221611"/>
    <w:rsid w:val="00226FA7"/>
    <w:rsid w:val="0024227C"/>
    <w:rsid w:val="00247798"/>
    <w:rsid w:val="002D3FAA"/>
    <w:rsid w:val="00301930"/>
    <w:rsid w:val="00304637"/>
    <w:rsid w:val="003203A5"/>
    <w:rsid w:val="0032488D"/>
    <w:rsid w:val="003656E4"/>
    <w:rsid w:val="00371FBD"/>
    <w:rsid w:val="00376C75"/>
    <w:rsid w:val="003B434E"/>
    <w:rsid w:val="003D092A"/>
    <w:rsid w:val="003E6F16"/>
    <w:rsid w:val="003F265C"/>
    <w:rsid w:val="003F3D31"/>
    <w:rsid w:val="004130E5"/>
    <w:rsid w:val="00431312"/>
    <w:rsid w:val="00441B00"/>
    <w:rsid w:val="004603C2"/>
    <w:rsid w:val="004A6EB6"/>
    <w:rsid w:val="0051796F"/>
    <w:rsid w:val="00530D5D"/>
    <w:rsid w:val="00584CF9"/>
    <w:rsid w:val="005E3818"/>
    <w:rsid w:val="005F6D84"/>
    <w:rsid w:val="006065DA"/>
    <w:rsid w:val="00607901"/>
    <w:rsid w:val="00611697"/>
    <w:rsid w:val="0063436E"/>
    <w:rsid w:val="006357D0"/>
    <w:rsid w:val="006744AB"/>
    <w:rsid w:val="00686CA0"/>
    <w:rsid w:val="006A5182"/>
    <w:rsid w:val="006D50D9"/>
    <w:rsid w:val="006F037D"/>
    <w:rsid w:val="00724694"/>
    <w:rsid w:val="0072757F"/>
    <w:rsid w:val="007316E2"/>
    <w:rsid w:val="00734BD5"/>
    <w:rsid w:val="00735D61"/>
    <w:rsid w:val="00750E0B"/>
    <w:rsid w:val="007954D3"/>
    <w:rsid w:val="00797B78"/>
    <w:rsid w:val="007C056B"/>
    <w:rsid w:val="007E3B42"/>
    <w:rsid w:val="00830537"/>
    <w:rsid w:val="00836D0C"/>
    <w:rsid w:val="00870902"/>
    <w:rsid w:val="00893145"/>
    <w:rsid w:val="008B064B"/>
    <w:rsid w:val="008C48A8"/>
    <w:rsid w:val="00911927"/>
    <w:rsid w:val="009576F8"/>
    <w:rsid w:val="009D0BA8"/>
    <w:rsid w:val="009D1D64"/>
    <w:rsid w:val="009D24DD"/>
    <w:rsid w:val="009F0608"/>
    <w:rsid w:val="00A1035E"/>
    <w:rsid w:val="00A10D47"/>
    <w:rsid w:val="00A16AAA"/>
    <w:rsid w:val="00A56298"/>
    <w:rsid w:val="00A97F4F"/>
    <w:rsid w:val="00AE3162"/>
    <w:rsid w:val="00B179B5"/>
    <w:rsid w:val="00B227B5"/>
    <w:rsid w:val="00B36F04"/>
    <w:rsid w:val="00B403AC"/>
    <w:rsid w:val="00B4397D"/>
    <w:rsid w:val="00B664C2"/>
    <w:rsid w:val="00BA1499"/>
    <w:rsid w:val="00BB791E"/>
    <w:rsid w:val="00BC26C3"/>
    <w:rsid w:val="00BC2A65"/>
    <w:rsid w:val="00BE2C5A"/>
    <w:rsid w:val="00C82439"/>
    <w:rsid w:val="00C905E1"/>
    <w:rsid w:val="00CA4144"/>
    <w:rsid w:val="00CB552A"/>
    <w:rsid w:val="00D32B0C"/>
    <w:rsid w:val="00DA487D"/>
    <w:rsid w:val="00DC14CB"/>
    <w:rsid w:val="00DD2374"/>
    <w:rsid w:val="00DD39B4"/>
    <w:rsid w:val="00DD6390"/>
    <w:rsid w:val="00E57BAD"/>
    <w:rsid w:val="00E60D5E"/>
    <w:rsid w:val="00E85A3E"/>
    <w:rsid w:val="00EB1604"/>
    <w:rsid w:val="00EC5BB7"/>
    <w:rsid w:val="00EC6F7A"/>
    <w:rsid w:val="00F25099"/>
    <w:rsid w:val="00F71F5F"/>
    <w:rsid w:val="00FA1D6A"/>
    <w:rsid w:val="00FB58DE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01FB57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42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36D0C"/>
    <w:pPr>
      <w:keepNext/>
      <w:keepLines/>
      <w:spacing w:before="120" w:after="240"/>
      <w:contextualSpacing/>
      <w:jc w:val="center"/>
      <w:outlineLvl w:val="0"/>
    </w:pPr>
    <w:rPr>
      <w:rFonts w:asciiTheme="minorHAnsi" w:eastAsiaTheme="majorEastAsia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7E3B42"/>
    <w:pPr>
      <w:keepNext/>
      <w:keepLines/>
      <w:spacing w:before="40"/>
      <w:jc w:val="center"/>
      <w:outlineLvl w:val="1"/>
    </w:pPr>
    <w:rPr>
      <w:rFonts w:asciiTheme="minorHAnsi" w:eastAsia="Arial" w:hAnsiTheme="minorHAnsi" w:cstheme="minorHAnsi"/>
      <w:b/>
      <w:bCs/>
      <w:i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01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0790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079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901"/>
    <w:rPr>
      <w:rFonts w:ascii="Helvetica" w:hAnsi="Helvetica"/>
    </w:rPr>
  </w:style>
  <w:style w:type="character" w:styleId="FootnoteReference">
    <w:name w:val="footnote reference"/>
    <w:basedOn w:val="DefaultParagraphFont"/>
    <w:semiHidden/>
    <w:unhideWhenUsed/>
    <w:rsid w:val="0060790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477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798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798"/>
    <w:rPr>
      <w:rFonts w:ascii="Helvetica" w:hAnsi="Helvetica"/>
      <w:b/>
      <w:bCs/>
    </w:rPr>
  </w:style>
  <w:style w:type="paragraph" w:customStyle="1" w:styleId="Style1">
    <w:name w:val="Style1"/>
    <w:basedOn w:val="Heading1"/>
    <w:qFormat/>
    <w:rsid w:val="00E85A3E"/>
    <w:rPr>
      <w:rFonts w:cs="Calibri"/>
      <w:b w:val="0"/>
      <w:sz w:val="56"/>
      <w:szCs w:val="56"/>
    </w:rPr>
  </w:style>
  <w:style w:type="paragraph" w:customStyle="1" w:styleId="Style2">
    <w:name w:val="Style2"/>
    <w:basedOn w:val="Heading2"/>
    <w:qFormat/>
    <w:rsid w:val="00E85A3E"/>
    <w:rPr>
      <w:rFonts w:ascii="Calibri" w:hAnsi="Calibri" w:cs="Arial"/>
      <w:b w:val="0"/>
      <w:bCs w:val="0"/>
      <w:sz w:val="28"/>
    </w:rPr>
  </w:style>
  <w:style w:type="character" w:customStyle="1" w:styleId="Heading1Char">
    <w:name w:val="Heading 1 Char"/>
    <w:basedOn w:val="DefaultParagraphFont"/>
    <w:link w:val="Heading1"/>
    <w:rsid w:val="00836D0C"/>
    <w:rPr>
      <w:rFonts w:asciiTheme="minorHAnsi" w:eastAsiaTheme="majorEastAsia" w:hAnsiTheme="minorHAnsi" w:cstheme="minorHAnsi"/>
      <w:b/>
      <w:color w:val="1F497D"/>
      <w:sz w:val="48"/>
      <w:szCs w:val="52"/>
    </w:rPr>
  </w:style>
  <w:style w:type="character" w:customStyle="1" w:styleId="Heading2Char">
    <w:name w:val="Heading 2 Char"/>
    <w:basedOn w:val="DefaultParagraphFont"/>
    <w:link w:val="Heading2"/>
    <w:rsid w:val="007E3B42"/>
    <w:rPr>
      <w:rFonts w:asciiTheme="minorHAnsi" w:eastAsia="Arial" w:hAnsiTheme="minorHAnsi" w:cstheme="minorHAnsi"/>
      <w:b/>
      <w:bCs/>
      <w:i/>
      <w:color w:val="000000" w:themeColor="text1"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7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_winchester@duckworth.senate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fb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aloc@nfb.org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sabilitystatistics.org/reports/acs.cfm?statistic=1" TargetMode="External"/><Relationship Id="rId2" Type="http://schemas.openxmlformats.org/officeDocument/2006/relationships/hyperlink" Target="https://www.pewresearch.org/fact-tank/2019/07/25/americans-going-online-almost-constantly/" TargetMode="External"/><Relationship Id="rId1" Type="http://schemas.openxmlformats.org/officeDocument/2006/relationships/hyperlink" Target="https://www.statista.com/statistics/262966/number-of-internet-users-in-selected-countries/" TargetMode="External"/><Relationship Id="rId5" Type="http://schemas.openxmlformats.org/officeDocument/2006/relationships/hyperlink" Target="https://www.adatitleiii.com/2020/02/2019-was-another-record-breaking-year-for-federal-ada-title-iii-lawsuits/" TargetMode="External"/><Relationship Id="rId4" Type="http://schemas.openxmlformats.org/officeDocument/2006/relationships/hyperlink" Target="https://www.federalregister.gov/documents/2010/07/26/2010-18334/nondiscrimination-on-the-basis-of-disability-accessibility-of-web-information-and-services-of-st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FF90-4152-4D9A-AF50-8CD8C451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Shaffer, Suzanne</cp:lastModifiedBy>
  <cp:revision>6</cp:revision>
  <cp:lastPrinted>2014-05-12T18:17:00Z</cp:lastPrinted>
  <dcterms:created xsi:type="dcterms:W3CDTF">2021-12-29T15:05:00Z</dcterms:created>
  <dcterms:modified xsi:type="dcterms:W3CDTF">2021-12-29T15:34:00Z</dcterms:modified>
</cp:coreProperties>
</file>