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67" w:rsidRPr="00FB1CBD" w:rsidRDefault="00570A67" w:rsidP="00F84A56">
      <w:pPr>
        <w:pStyle w:val="A9-PERFORMANCE-COMMENT"/>
      </w:pPr>
      <w:bookmarkStart w:id="0" w:name="tm_385745715"/>
      <w:r w:rsidRPr="00FB1CBD">
        <w:t xml:space="preserve">EFFECTIVENESS OF EFFORTS TO OPERATE </w:t>
      </w:r>
      <w:r w:rsidR="00A707F8">
        <w:t>HHP</w:t>
      </w:r>
      <w:r w:rsidR="003A7F58">
        <w:t xml:space="preserve"> </w:t>
      </w:r>
      <w:r w:rsidR="00DE1B4B" w:rsidRPr="00FB1CBD">
        <w:br/>
      </w:r>
      <w:r w:rsidRPr="00FB1CBD">
        <w:t xml:space="preserve">CONSISTENT WITH SELECTED LAWS, </w:t>
      </w:r>
      <w:r w:rsidR="00D45983" w:rsidRPr="00FB1CBD">
        <w:t>RULES</w:t>
      </w:r>
      <w:r w:rsidRPr="00FB1CBD">
        <w:t>,</w:t>
      </w:r>
      <w:r w:rsidR="00790139" w:rsidRPr="00FB1CBD">
        <w:t xml:space="preserve"> </w:t>
      </w:r>
      <w:r w:rsidR="00790139" w:rsidRPr="00FB1CBD">
        <w:br/>
      </w:r>
      <w:r w:rsidRPr="00FB1CBD">
        <w:t>REGULATIONS</w:t>
      </w:r>
      <w:r w:rsidR="003A7F58">
        <w:t>,</w:t>
      </w:r>
      <w:r w:rsidRPr="00FB1CBD">
        <w:t xml:space="preserve"> AND </w:t>
      </w:r>
      <w:r w:rsidR="00D45983" w:rsidRPr="00FB1CBD">
        <w:rPr>
          <w:szCs w:val="28"/>
        </w:rPr>
        <w:t>POLICIES</w:t>
      </w:r>
    </w:p>
    <w:bookmarkEnd w:id="0"/>
    <w:p w:rsidR="007B5C98" w:rsidRPr="00FB1CBD" w:rsidRDefault="007B5C98" w:rsidP="00F84A56">
      <w:pPr>
        <w:spacing w:line="300" w:lineRule="auto"/>
        <w:jc w:val="both"/>
        <w:rPr>
          <w:rFonts w:cs="Arial"/>
        </w:rPr>
      </w:pPr>
    </w:p>
    <w:p w:rsidR="00893F75" w:rsidRPr="00FB1CBD" w:rsidRDefault="00570A67" w:rsidP="00F84A56">
      <w:pPr>
        <w:tabs>
          <w:tab w:val="left" w:pos="360"/>
        </w:tabs>
        <w:spacing w:line="300" w:lineRule="auto"/>
        <w:jc w:val="both"/>
        <w:rPr>
          <w:rFonts w:cs="Arial"/>
          <w:b/>
          <w:smallCaps/>
          <w:noProof/>
          <w:sz w:val="28"/>
          <w:u w:val="single"/>
        </w:rPr>
      </w:pPr>
      <w:r w:rsidRPr="00FB1CBD">
        <w:rPr>
          <w:rFonts w:cs="Arial"/>
          <w:b/>
          <w:smallCaps/>
          <w:noProof/>
          <w:sz w:val="28"/>
          <w:u w:val="single"/>
        </w:rPr>
        <w:t>Comment</w:t>
      </w:r>
    </w:p>
    <w:p w:rsidR="00893F75" w:rsidRPr="00FB1CBD" w:rsidRDefault="00893F75" w:rsidP="00F84A56">
      <w:pPr>
        <w:tabs>
          <w:tab w:val="left" w:pos="360"/>
        </w:tabs>
        <w:spacing w:line="300" w:lineRule="auto"/>
        <w:jc w:val="both"/>
        <w:rPr>
          <w:rFonts w:cs="Arial"/>
          <w:noProof/>
        </w:rPr>
      </w:pPr>
      <w:r w:rsidRPr="00FB1CBD">
        <w:rPr>
          <w:rFonts w:cs="Arial"/>
          <w:b/>
          <w:noProof/>
        </w:rPr>
        <w:t xml:space="preserve">Audit Objective: </w:t>
      </w:r>
      <w:r w:rsidR="00FF5C0D" w:rsidRPr="00FB1CBD">
        <w:rPr>
          <w:rFonts w:cs="Arial"/>
          <w:b/>
          <w:noProof/>
        </w:rPr>
        <w:t xml:space="preserve"> </w:t>
      </w:r>
      <w:r w:rsidRPr="00FB1CBD">
        <w:rPr>
          <w:rFonts w:cs="Arial"/>
          <w:noProof/>
        </w:rPr>
        <w:t xml:space="preserve">To assess the effectiveness of </w:t>
      </w:r>
      <w:r w:rsidR="0093445C">
        <w:rPr>
          <w:rFonts w:cs="Arial"/>
          <w:noProof/>
        </w:rPr>
        <w:t>the Department of Community Health</w:t>
      </w:r>
      <w:r w:rsidR="00F305E9">
        <w:rPr>
          <w:rFonts w:cs="Arial"/>
          <w:noProof/>
        </w:rPr>
        <w:t>'</w:t>
      </w:r>
      <w:r w:rsidR="0093445C">
        <w:rPr>
          <w:rFonts w:cs="Arial"/>
          <w:noProof/>
        </w:rPr>
        <w:t>s (</w:t>
      </w:r>
      <w:r w:rsidRPr="00FB1CBD">
        <w:rPr>
          <w:rFonts w:cs="Arial"/>
          <w:noProof/>
        </w:rPr>
        <w:t>DCH</w:t>
      </w:r>
      <w:r w:rsidR="00F305E9">
        <w:rPr>
          <w:rFonts w:cs="Arial"/>
          <w:noProof/>
        </w:rPr>
        <w:t>'</w:t>
      </w:r>
      <w:r w:rsidRPr="00FB1CBD">
        <w:rPr>
          <w:rFonts w:cs="Arial"/>
          <w:noProof/>
        </w:rPr>
        <w:t>s</w:t>
      </w:r>
      <w:r w:rsidR="0093445C">
        <w:rPr>
          <w:rFonts w:cs="Arial"/>
          <w:noProof/>
        </w:rPr>
        <w:t>)</w:t>
      </w:r>
      <w:r w:rsidRPr="00FB1CBD">
        <w:rPr>
          <w:rFonts w:cs="Arial"/>
          <w:noProof/>
        </w:rPr>
        <w:t xml:space="preserve"> and </w:t>
      </w:r>
      <w:r w:rsidR="0093445C">
        <w:rPr>
          <w:rFonts w:cs="Arial"/>
          <w:noProof/>
        </w:rPr>
        <w:t>the Department of Human Services</w:t>
      </w:r>
      <w:r w:rsidR="00F305E9">
        <w:rPr>
          <w:rFonts w:cs="Arial"/>
          <w:noProof/>
        </w:rPr>
        <w:t>'</w:t>
      </w:r>
      <w:r w:rsidR="0093445C">
        <w:rPr>
          <w:rFonts w:cs="Arial"/>
          <w:noProof/>
        </w:rPr>
        <w:t xml:space="preserve"> (</w:t>
      </w:r>
      <w:r w:rsidRPr="00FB1CBD">
        <w:rPr>
          <w:rFonts w:cs="Arial"/>
          <w:noProof/>
        </w:rPr>
        <w:t>DHS</w:t>
      </w:r>
      <w:r w:rsidR="00F305E9">
        <w:rPr>
          <w:rFonts w:cs="Arial"/>
          <w:noProof/>
        </w:rPr>
        <w:t>'</w:t>
      </w:r>
      <w:r w:rsidRPr="00FB1CBD">
        <w:rPr>
          <w:rFonts w:cs="Arial"/>
          <w:noProof/>
        </w:rPr>
        <w:t>s</w:t>
      </w:r>
      <w:r w:rsidR="0093445C">
        <w:rPr>
          <w:rFonts w:cs="Arial"/>
          <w:noProof/>
        </w:rPr>
        <w:t>)</w:t>
      </w:r>
      <w:r w:rsidRPr="00FB1CBD">
        <w:rPr>
          <w:rFonts w:cs="Arial"/>
          <w:noProof/>
        </w:rPr>
        <w:t xml:space="preserve"> efforts to operate the </w:t>
      </w:r>
      <w:r w:rsidR="00A707F8">
        <w:rPr>
          <w:rFonts w:cs="Arial"/>
          <w:noProof/>
        </w:rPr>
        <w:t>Medicaid Home Help Program</w:t>
      </w:r>
      <w:r w:rsidR="0093445C">
        <w:rPr>
          <w:rFonts w:cs="Arial"/>
          <w:noProof/>
        </w:rPr>
        <w:t xml:space="preserve"> (</w:t>
      </w:r>
      <w:r w:rsidR="00A707F8">
        <w:rPr>
          <w:rFonts w:cs="Arial"/>
          <w:noProof/>
        </w:rPr>
        <w:t>HHP</w:t>
      </w:r>
      <w:r w:rsidR="0093445C">
        <w:rPr>
          <w:rFonts w:cs="Arial"/>
          <w:noProof/>
        </w:rPr>
        <w:t xml:space="preserve">) </w:t>
      </w:r>
      <w:r w:rsidRPr="00FB1CBD">
        <w:rPr>
          <w:rFonts w:cs="Arial"/>
          <w:noProof/>
        </w:rPr>
        <w:t xml:space="preserve">consistent with selected laws, </w:t>
      </w:r>
      <w:r w:rsidR="001109BF" w:rsidRPr="00FB1CBD">
        <w:rPr>
          <w:rFonts w:cs="Arial"/>
          <w:noProof/>
        </w:rPr>
        <w:t xml:space="preserve">rules, </w:t>
      </w:r>
      <w:r w:rsidRPr="00FB1CBD">
        <w:rPr>
          <w:rFonts w:cs="Arial"/>
          <w:noProof/>
        </w:rPr>
        <w:t>regulations</w:t>
      </w:r>
      <w:r w:rsidR="0093445C">
        <w:rPr>
          <w:rFonts w:cs="Arial"/>
          <w:noProof/>
        </w:rPr>
        <w:t>,</w:t>
      </w:r>
      <w:r w:rsidRPr="00FB1CBD">
        <w:rPr>
          <w:rFonts w:cs="Arial"/>
          <w:noProof/>
        </w:rPr>
        <w:t xml:space="preserve"> and </w:t>
      </w:r>
      <w:r w:rsidR="001109BF" w:rsidRPr="00FB1CBD">
        <w:rPr>
          <w:rFonts w:cs="Arial"/>
          <w:noProof/>
        </w:rPr>
        <w:t xml:space="preserve">policies. </w:t>
      </w:r>
      <w:r w:rsidRPr="00FB1CBD">
        <w:rPr>
          <w:rFonts w:cs="Arial"/>
          <w:noProof/>
        </w:rPr>
        <w:t xml:space="preserve"> </w:t>
      </w:r>
    </w:p>
    <w:p w:rsidR="00570A67" w:rsidRPr="00FB1CBD" w:rsidRDefault="00570A67" w:rsidP="00F84A56">
      <w:pPr>
        <w:tabs>
          <w:tab w:val="left" w:pos="360"/>
        </w:tabs>
        <w:spacing w:line="300" w:lineRule="auto"/>
        <w:jc w:val="both"/>
        <w:rPr>
          <w:rFonts w:cs="Arial"/>
          <w:b/>
          <w:noProof/>
        </w:rPr>
      </w:pPr>
    </w:p>
    <w:p w:rsidR="00893F75" w:rsidRPr="00FB1CBD" w:rsidRDefault="00893F75" w:rsidP="00F84A56">
      <w:pPr>
        <w:tabs>
          <w:tab w:val="left" w:pos="360"/>
        </w:tabs>
        <w:spacing w:line="300" w:lineRule="auto"/>
        <w:jc w:val="both"/>
        <w:rPr>
          <w:rFonts w:cs="Arial"/>
          <w:noProof/>
        </w:rPr>
      </w:pPr>
      <w:r w:rsidRPr="00FB1CBD">
        <w:rPr>
          <w:rFonts w:cs="Arial"/>
          <w:b/>
          <w:noProof/>
        </w:rPr>
        <w:t>Audit Conclusion:</w:t>
      </w:r>
      <w:r w:rsidR="00FF5C0D" w:rsidRPr="00FB1CBD">
        <w:rPr>
          <w:rFonts w:cs="Arial"/>
          <w:b/>
          <w:noProof/>
        </w:rPr>
        <w:t xml:space="preserve">  </w:t>
      </w:r>
      <w:r w:rsidRPr="00FB1CBD">
        <w:rPr>
          <w:rFonts w:cs="Arial"/>
          <w:b/>
          <w:noProof/>
        </w:rPr>
        <w:t>We concluded that DCH</w:t>
      </w:r>
      <w:r w:rsidR="00F305E9">
        <w:rPr>
          <w:rFonts w:cs="Arial"/>
          <w:b/>
          <w:noProof/>
        </w:rPr>
        <w:t>'</w:t>
      </w:r>
      <w:r w:rsidRPr="00FB1CBD">
        <w:rPr>
          <w:rFonts w:cs="Arial"/>
          <w:b/>
          <w:noProof/>
        </w:rPr>
        <w:t>s and DHS</w:t>
      </w:r>
      <w:r w:rsidR="00F305E9">
        <w:rPr>
          <w:rFonts w:cs="Arial"/>
          <w:b/>
          <w:noProof/>
        </w:rPr>
        <w:t>'</w:t>
      </w:r>
      <w:r w:rsidRPr="00FB1CBD">
        <w:rPr>
          <w:rFonts w:cs="Arial"/>
          <w:b/>
          <w:noProof/>
        </w:rPr>
        <w:t xml:space="preserve">s efforts to operate </w:t>
      </w:r>
      <w:r w:rsidR="00A707F8">
        <w:rPr>
          <w:rFonts w:cs="Arial"/>
          <w:b/>
          <w:noProof/>
        </w:rPr>
        <w:t>HHP</w:t>
      </w:r>
      <w:r w:rsidR="0093445C">
        <w:rPr>
          <w:rFonts w:cs="Arial"/>
          <w:b/>
          <w:noProof/>
        </w:rPr>
        <w:t xml:space="preserve"> </w:t>
      </w:r>
      <w:r w:rsidRPr="00FB1CBD">
        <w:rPr>
          <w:rFonts w:cs="Arial"/>
          <w:b/>
          <w:noProof/>
        </w:rPr>
        <w:t xml:space="preserve">consistent with selected laws, </w:t>
      </w:r>
      <w:r w:rsidR="001109BF" w:rsidRPr="00FB1CBD">
        <w:rPr>
          <w:rFonts w:cs="Arial"/>
          <w:b/>
          <w:noProof/>
        </w:rPr>
        <w:t>rules,</w:t>
      </w:r>
      <w:r w:rsidRPr="00FB1CBD">
        <w:rPr>
          <w:rFonts w:cs="Arial"/>
          <w:b/>
          <w:noProof/>
        </w:rPr>
        <w:t xml:space="preserve"> regulations</w:t>
      </w:r>
      <w:r w:rsidR="001109BF" w:rsidRPr="00FB1CBD">
        <w:rPr>
          <w:rFonts w:cs="Arial"/>
          <w:b/>
          <w:noProof/>
        </w:rPr>
        <w:t>,</w:t>
      </w:r>
      <w:r w:rsidRPr="00FB1CBD">
        <w:rPr>
          <w:rFonts w:cs="Arial"/>
          <w:b/>
          <w:noProof/>
        </w:rPr>
        <w:t xml:space="preserve"> and </w:t>
      </w:r>
      <w:r w:rsidR="001109BF" w:rsidRPr="00FB1CBD">
        <w:rPr>
          <w:rFonts w:cs="Arial"/>
          <w:b/>
          <w:noProof/>
        </w:rPr>
        <w:t xml:space="preserve">policies </w:t>
      </w:r>
      <w:r w:rsidRPr="00FB1CBD">
        <w:rPr>
          <w:rFonts w:cs="Arial"/>
          <w:b/>
          <w:noProof/>
        </w:rPr>
        <w:t>were not effective.</w:t>
      </w:r>
      <w:r w:rsidRPr="00FB1CBD">
        <w:rPr>
          <w:rFonts w:cs="Arial"/>
          <w:noProof/>
        </w:rPr>
        <w:t xml:space="preserve"> </w:t>
      </w:r>
    </w:p>
    <w:p w:rsidR="00570A67" w:rsidRPr="00FB1CBD" w:rsidRDefault="00570A67" w:rsidP="00F84A56">
      <w:pPr>
        <w:tabs>
          <w:tab w:val="left" w:pos="360"/>
        </w:tabs>
        <w:spacing w:line="300" w:lineRule="auto"/>
        <w:jc w:val="both"/>
        <w:rPr>
          <w:rFonts w:cs="Arial"/>
          <w:noProof/>
        </w:rPr>
      </w:pPr>
    </w:p>
    <w:p w:rsidR="00893F75" w:rsidRPr="00FB1CBD" w:rsidRDefault="00893F75" w:rsidP="00F84A56">
      <w:pPr>
        <w:tabs>
          <w:tab w:val="left" w:pos="360"/>
        </w:tabs>
        <w:spacing w:line="300" w:lineRule="auto"/>
        <w:jc w:val="both"/>
        <w:rPr>
          <w:rFonts w:cs="Arial"/>
          <w:noProof/>
        </w:rPr>
      </w:pPr>
      <w:r w:rsidRPr="00FB1CBD">
        <w:rPr>
          <w:rFonts w:cs="Arial"/>
          <w:noProof/>
        </w:rPr>
        <w:t xml:space="preserve">Our </w:t>
      </w:r>
      <w:r w:rsidR="0093445C">
        <w:rPr>
          <w:rFonts w:cs="Arial"/>
          <w:noProof/>
        </w:rPr>
        <w:t xml:space="preserve">audit </w:t>
      </w:r>
      <w:r w:rsidRPr="00FB1CBD">
        <w:rPr>
          <w:rFonts w:cs="Arial"/>
          <w:noProof/>
        </w:rPr>
        <w:t>conclusion was based on our audit efforts as described in the audit scope and audit methodology sections and the resulting material conditions* and reportable c</w:t>
      </w:r>
      <w:r w:rsidR="0093445C">
        <w:rPr>
          <w:rFonts w:cs="Arial"/>
          <w:noProof/>
        </w:rPr>
        <w:t>onditions* noted in the comment</w:t>
      </w:r>
      <w:r w:rsidRPr="00FB1CBD">
        <w:rPr>
          <w:rFonts w:cs="Arial"/>
          <w:noProof/>
        </w:rPr>
        <w:t>, findings</w:t>
      </w:r>
      <w:r w:rsidR="00A0632B">
        <w:rPr>
          <w:rFonts w:cs="Arial"/>
          <w:noProof/>
        </w:rPr>
        <w:t>,</w:t>
      </w:r>
      <w:r w:rsidRPr="00FB1CBD">
        <w:rPr>
          <w:rFonts w:cs="Arial"/>
          <w:noProof/>
        </w:rPr>
        <w:t xml:space="preserve"> recommendations, and agenc</w:t>
      </w:r>
      <w:r w:rsidR="0093445C">
        <w:rPr>
          <w:rFonts w:cs="Arial"/>
          <w:noProof/>
        </w:rPr>
        <w:t>y preliminary responses section</w:t>
      </w:r>
      <w:r w:rsidRPr="00FB1CBD">
        <w:rPr>
          <w:rFonts w:cs="Arial"/>
          <w:noProof/>
        </w:rPr>
        <w:t xml:space="preserve">. </w:t>
      </w:r>
      <w:r w:rsidR="0093445C">
        <w:rPr>
          <w:rFonts w:cs="Arial"/>
          <w:noProof/>
        </w:rPr>
        <w:t xml:space="preserve"> </w:t>
      </w:r>
    </w:p>
    <w:p w:rsidR="00570A67" w:rsidRPr="00FB1CBD" w:rsidRDefault="00570A67" w:rsidP="00F84A56">
      <w:pPr>
        <w:tabs>
          <w:tab w:val="left" w:pos="360"/>
        </w:tabs>
        <w:spacing w:line="300" w:lineRule="auto"/>
        <w:contextualSpacing/>
        <w:jc w:val="both"/>
        <w:rPr>
          <w:rFonts w:cs="Arial"/>
          <w:noProof/>
        </w:rPr>
      </w:pPr>
    </w:p>
    <w:p w:rsidR="00893F75" w:rsidRPr="00FB1CBD" w:rsidRDefault="00893F75" w:rsidP="00F84A56">
      <w:pPr>
        <w:tabs>
          <w:tab w:val="left" w:pos="360"/>
        </w:tabs>
        <w:spacing w:line="300" w:lineRule="auto"/>
        <w:contextualSpacing/>
        <w:jc w:val="both"/>
        <w:rPr>
          <w:rFonts w:cs="Arial"/>
          <w:noProof/>
        </w:rPr>
      </w:pPr>
      <w:r w:rsidRPr="00FB1CBD">
        <w:rPr>
          <w:rFonts w:cs="Arial"/>
          <w:noProof/>
        </w:rPr>
        <w:t xml:space="preserve">We noted two material conditions </w:t>
      </w:r>
      <w:r w:rsidR="0093445C">
        <w:rPr>
          <w:rFonts w:cs="Arial"/>
          <w:noProof/>
        </w:rPr>
        <w:t xml:space="preserve">and eleven reportable conditions related to efforts to operate </w:t>
      </w:r>
      <w:r w:rsidR="00A707F8">
        <w:rPr>
          <w:rFonts w:cs="Arial"/>
          <w:noProof/>
        </w:rPr>
        <w:t>HHP</w:t>
      </w:r>
      <w:r w:rsidR="0093445C">
        <w:rPr>
          <w:rFonts w:cs="Arial"/>
          <w:noProof/>
        </w:rPr>
        <w:t xml:space="preserve"> consistent with selected laws, rules, regulations, and policies.  I</w:t>
      </w:r>
      <w:r w:rsidRPr="00FB1CBD">
        <w:rPr>
          <w:rFonts w:cs="Arial"/>
          <w:noProof/>
        </w:rPr>
        <w:t xml:space="preserve">n our professional judgment, </w:t>
      </w:r>
      <w:r w:rsidR="0093445C">
        <w:rPr>
          <w:rFonts w:cs="Arial"/>
          <w:noProof/>
        </w:rPr>
        <w:t xml:space="preserve">the material conditions </w:t>
      </w:r>
      <w:r w:rsidRPr="00FB1CBD">
        <w:rPr>
          <w:rFonts w:cs="Arial"/>
          <w:noProof/>
        </w:rPr>
        <w:t xml:space="preserve">are more severe than a reportable condition and could impair </w:t>
      </w:r>
      <w:r w:rsidR="00C10D1C">
        <w:rPr>
          <w:rFonts w:cs="Arial"/>
          <w:noProof/>
        </w:rPr>
        <w:t>management</w:t>
      </w:r>
      <w:r w:rsidR="00F305E9">
        <w:rPr>
          <w:rFonts w:cs="Arial"/>
          <w:noProof/>
        </w:rPr>
        <w:t>'</w:t>
      </w:r>
      <w:r w:rsidR="00C10D1C">
        <w:rPr>
          <w:rFonts w:cs="Arial"/>
          <w:noProof/>
        </w:rPr>
        <w:t xml:space="preserve">s </w:t>
      </w:r>
      <w:r w:rsidRPr="00FB1CBD">
        <w:rPr>
          <w:rFonts w:cs="Arial"/>
          <w:noProof/>
        </w:rPr>
        <w:t>ability to operate the program effectively or could advers</w:t>
      </w:r>
      <w:r w:rsidR="00C10D1C">
        <w:rPr>
          <w:rFonts w:cs="Arial"/>
          <w:noProof/>
        </w:rPr>
        <w:t>e</w:t>
      </w:r>
      <w:r w:rsidRPr="00FB1CBD">
        <w:rPr>
          <w:rFonts w:cs="Arial"/>
          <w:noProof/>
        </w:rPr>
        <w:t xml:space="preserve">ly affect the judgment of an interested person concerning the effectiveness of the program: </w:t>
      </w:r>
    </w:p>
    <w:p w:rsidR="00570A67" w:rsidRPr="00FB1CBD" w:rsidRDefault="00570A67" w:rsidP="00F84A56">
      <w:pPr>
        <w:tabs>
          <w:tab w:val="left" w:pos="360"/>
        </w:tabs>
        <w:spacing w:line="300" w:lineRule="auto"/>
        <w:contextualSpacing/>
        <w:jc w:val="both"/>
        <w:rPr>
          <w:rFonts w:cs="Arial"/>
          <w:noProof/>
        </w:rPr>
      </w:pPr>
    </w:p>
    <w:p w:rsidR="00FF5C0D" w:rsidRPr="00BD709D" w:rsidRDefault="00AC2304" w:rsidP="00027935">
      <w:pPr>
        <w:pStyle w:val="ListParagraph"/>
        <w:numPr>
          <w:ilvl w:val="0"/>
          <w:numId w:val="23"/>
        </w:numPr>
        <w:overflowPunct/>
        <w:autoSpaceDE/>
        <w:autoSpaceDN/>
        <w:adjustRightInd/>
        <w:spacing w:line="300" w:lineRule="auto"/>
        <w:ind w:left="504" w:hanging="504"/>
        <w:jc w:val="both"/>
        <w:textAlignment w:val="auto"/>
        <w:rPr>
          <w:rFonts w:cs="Arial"/>
          <w:noProof/>
        </w:rPr>
      </w:pPr>
      <w:r w:rsidRPr="00BD709D">
        <w:rPr>
          <w:rFonts w:cs="Arial"/>
        </w:rPr>
        <w:t>DCH and DHS did not obtain or timely obtain sufficient documentation</w:t>
      </w:r>
      <w:r w:rsidR="00D45983" w:rsidRPr="00BD709D">
        <w:rPr>
          <w:rFonts w:cs="Arial"/>
        </w:rPr>
        <w:t>,</w:t>
      </w:r>
      <w:r w:rsidRPr="00BD709D">
        <w:rPr>
          <w:rFonts w:cs="Arial"/>
        </w:rPr>
        <w:t xml:space="preserve"> including provider service logs or invoices, provider and client verification, and </w:t>
      </w:r>
      <w:r w:rsidR="00124B71" w:rsidRPr="00BD709D">
        <w:rPr>
          <w:rFonts w:cs="Arial"/>
        </w:rPr>
        <w:t>DHS adult services worker (</w:t>
      </w:r>
      <w:r w:rsidRPr="00BD709D">
        <w:rPr>
          <w:rFonts w:cs="Arial"/>
        </w:rPr>
        <w:t>ASW</w:t>
      </w:r>
      <w:r w:rsidR="00124B71" w:rsidRPr="00BD709D">
        <w:rPr>
          <w:rFonts w:cs="Arial"/>
        </w:rPr>
        <w:t>)</w:t>
      </w:r>
      <w:r w:rsidRPr="00BD709D">
        <w:rPr>
          <w:rFonts w:cs="Arial"/>
        </w:rPr>
        <w:t xml:space="preserve"> reviews, to ensure that providers had delivered the services paid </w:t>
      </w:r>
      <w:r w:rsidR="005A2E06" w:rsidRPr="00BD709D">
        <w:rPr>
          <w:rFonts w:cs="Arial"/>
        </w:rPr>
        <w:t xml:space="preserve">for </w:t>
      </w:r>
      <w:r w:rsidRPr="00BD709D">
        <w:rPr>
          <w:rFonts w:cs="Arial"/>
        </w:rPr>
        <w:t>through a preauthorized payment process.  As a result, we estimated that DCH improperly paid providers $14</w:t>
      </w:r>
      <w:r w:rsidR="008C5425" w:rsidRPr="00BD709D">
        <w:rPr>
          <w:rFonts w:cs="Arial"/>
        </w:rPr>
        <w:t>6.4</w:t>
      </w:r>
      <w:r w:rsidRPr="00BD709D">
        <w:rPr>
          <w:rFonts w:cs="Arial"/>
        </w:rPr>
        <w:t xml:space="preserve"> million ($49.</w:t>
      </w:r>
      <w:r w:rsidR="008C5425" w:rsidRPr="00BD709D">
        <w:rPr>
          <w:rFonts w:cs="Arial"/>
        </w:rPr>
        <w:t>6</w:t>
      </w:r>
      <w:r w:rsidRPr="00BD709D">
        <w:rPr>
          <w:rFonts w:cs="Arial"/>
        </w:rPr>
        <w:t xml:space="preserve"> million General Fund/general purpose) from October 1, 2010 through February 28, 2013. </w:t>
      </w:r>
      <w:r w:rsidR="00CC4E5F" w:rsidRPr="00BD709D">
        <w:rPr>
          <w:rFonts w:cs="Arial"/>
        </w:rPr>
        <w:t xml:space="preserve"> </w:t>
      </w:r>
      <w:r w:rsidRPr="00BD709D">
        <w:rPr>
          <w:rFonts w:cs="Arial"/>
        </w:rPr>
        <w:t xml:space="preserve">Consequently, </w:t>
      </w:r>
      <w:r w:rsidR="004D560F" w:rsidRPr="00BD709D">
        <w:rPr>
          <w:rFonts w:cs="Arial"/>
        </w:rPr>
        <w:t xml:space="preserve">the Centers for Medicare </w:t>
      </w:r>
      <w:r w:rsidR="00052AA9" w:rsidRPr="00BD709D">
        <w:rPr>
          <w:rFonts w:cs="Arial"/>
        </w:rPr>
        <w:t xml:space="preserve">and Medicaid </w:t>
      </w:r>
      <w:r w:rsidR="004D560F" w:rsidRPr="00BD709D">
        <w:rPr>
          <w:rFonts w:cs="Arial"/>
        </w:rPr>
        <w:t>Services (</w:t>
      </w:r>
      <w:r w:rsidRPr="00BD709D">
        <w:rPr>
          <w:rFonts w:cs="Arial"/>
        </w:rPr>
        <w:t>CMS</w:t>
      </w:r>
      <w:r w:rsidR="004D560F" w:rsidRPr="00BD709D">
        <w:rPr>
          <w:rFonts w:cs="Arial"/>
        </w:rPr>
        <w:t>)</w:t>
      </w:r>
      <w:r w:rsidRPr="00BD709D">
        <w:rPr>
          <w:rFonts w:cs="Arial"/>
        </w:rPr>
        <w:t xml:space="preserve"> may require DCH to repay the federal share</w:t>
      </w:r>
      <w:r w:rsidR="000E7789" w:rsidRPr="00BD709D">
        <w:rPr>
          <w:rFonts w:cs="Arial"/>
        </w:rPr>
        <w:t xml:space="preserve"> (Finding 1)</w:t>
      </w:r>
      <w:r w:rsidRPr="00BD709D">
        <w:rPr>
          <w:rFonts w:cs="Arial"/>
        </w:rPr>
        <w:t>.</w:t>
      </w:r>
    </w:p>
    <w:p w:rsidR="00570A67" w:rsidRDefault="00570A67" w:rsidP="00F84A56">
      <w:pPr>
        <w:pStyle w:val="ListParagraph"/>
        <w:overflowPunct/>
        <w:autoSpaceDE/>
        <w:autoSpaceDN/>
        <w:adjustRightInd/>
        <w:spacing w:line="300" w:lineRule="auto"/>
        <w:jc w:val="both"/>
        <w:textAlignment w:val="auto"/>
        <w:rPr>
          <w:rFonts w:cs="Arial"/>
          <w:noProof/>
        </w:rPr>
      </w:pPr>
    </w:p>
    <w:p w:rsidR="00BD709D" w:rsidRDefault="00BD709D" w:rsidP="00F84A56">
      <w:pPr>
        <w:pStyle w:val="ListParagraph"/>
        <w:overflowPunct/>
        <w:autoSpaceDE/>
        <w:autoSpaceDN/>
        <w:adjustRightInd/>
        <w:spacing w:line="300" w:lineRule="auto"/>
        <w:jc w:val="both"/>
        <w:textAlignment w:val="auto"/>
        <w:rPr>
          <w:rFonts w:cs="Arial"/>
          <w:noProof/>
        </w:rPr>
      </w:pPr>
    </w:p>
    <w:p w:rsidR="00BD709D" w:rsidRDefault="00BD709D" w:rsidP="00F84A56">
      <w:pPr>
        <w:pStyle w:val="ListParagraph"/>
        <w:overflowPunct/>
        <w:autoSpaceDE/>
        <w:autoSpaceDN/>
        <w:adjustRightInd/>
        <w:spacing w:line="300" w:lineRule="auto"/>
        <w:jc w:val="both"/>
        <w:textAlignment w:val="auto"/>
        <w:rPr>
          <w:rFonts w:cs="Arial"/>
          <w:noProof/>
        </w:rPr>
      </w:pPr>
    </w:p>
    <w:p w:rsidR="00BD709D" w:rsidRPr="00591604" w:rsidRDefault="00BD709D" w:rsidP="00BD709D">
      <w:pPr>
        <w:overflowPunct/>
        <w:autoSpaceDE/>
        <w:autoSpaceDN/>
        <w:adjustRightInd/>
        <w:spacing w:line="300" w:lineRule="auto"/>
        <w:jc w:val="both"/>
        <w:textAlignment w:val="auto"/>
        <w:rPr>
          <w:rFonts w:cs="Arial"/>
          <w:sz w:val="20"/>
          <w:szCs w:val="20"/>
        </w:rPr>
      </w:pPr>
      <w:r w:rsidRPr="00591604">
        <w:rPr>
          <w:rFonts w:cs="Arial"/>
          <w:i/>
          <w:sz w:val="20"/>
          <w:szCs w:val="20"/>
        </w:rPr>
        <w:t xml:space="preserve">*  See glossary at end of report for definition.  </w:t>
      </w:r>
      <w:r w:rsidRPr="00591604">
        <w:rPr>
          <w:rFonts w:cs="Arial"/>
          <w:sz w:val="20"/>
          <w:szCs w:val="20"/>
        </w:rPr>
        <w:br w:type="page"/>
      </w:r>
    </w:p>
    <w:p w:rsidR="000E7789" w:rsidRPr="00FB1CBD" w:rsidRDefault="000E7789" w:rsidP="00027935">
      <w:pPr>
        <w:pStyle w:val="ListParagraph"/>
        <w:numPr>
          <w:ilvl w:val="0"/>
          <w:numId w:val="23"/>
        </w:numPr>
        <w:overflowPunct/>
        <w:autoSpaceDE/>
        <w:autoSpaceDN/>
        <w:adjustRightInd/>
        <w:spacing w:line="300" w:lineRule="auto"/>
        <w:ind w:left="504" w:hanging="504"/>
        <w:jc w:val="both"/>
        <w:textAlignment w:val="auto"/>
        <w:rPr>
          <w:rFonts w:cs="Arial"/>
          <w:color w:val="000000"/>
        </w:rPr>
      </w:pPr>
      <w:r w:rsidRPr="00FB1CBD">
        <w:rPr>
          <w:rFonts w:eastAsia="Calibri" w:cs="Arial"/>
          <w:color w:val="000000"/>
        </w:rPr>
        <w:lastRenderedPageBreak/>
        <w:t xml:space="preserve">DCH and DHS did not ensure that ASWs timely completed six-month reviews, annual redeterminations, and other required monitoring contacts for their assigned clients and providers.  As a result, DCH and DHS could not ensure that </w:t>
      </w:r>
      <w:r w:rsidRPr="00FB1CBD">
        <w:rPr>
          <w:rFonts w:cs="Arial"/>
        </w:rPr>
        <w:t xml:space="preserve">clients timely received the most appropriate type and quantity of services </w:t>
      </w:r>
      <w:r w:rsidRPr="00FB1CBD">
        <w:rPr>
          <w:rFonts w:cs="Arial"/>
          <w:color w:val="000000"/>
        </w:rPr>
        <w:t xml:space="preserve">for their conditions.  Also, because ASWs did not ensure that providers continued to deliver services to their clients, there is an increased risk of </w:t>
      </w:r>
      <w:r w:rsidRPr="00FB1CBD">
        <w:rPr>
          <w:rFonts w:cs="Arial"/>
        </w:rPr>
        <w:t>client</w:t>
      </w:r>
      <w:r w:rsidRPr="00FB1CBD">
        <w:rPr>
          <w:rFonts w:cs="Arial"/>
          <w:color w:val="000000"/>
        </w:rPr>
        <w:t xml:space="preserve"> and provider fraud.  </w:t>
      </w:r>
      <w:r w:rsidR="00D45983" w:rsidRPr="00FB1CBD">
        <w:rPr>
          <w:rFonts w:cs="Arial"/>
          <w:color w:val="000000"/>
        </w:rPr>
        <w:t>In addition</w:t>
      </w:r>
      <w:r w:rsidRPr="00FB1CBD">
        <w:rPr>
          <w:rFonts w:cs="Arial"/>
          <w:color w:val="000000"/>
        </w:rPr>
        <w:t xml:space="preserve">, DCH could be liable for repaying the federal share of Medicaid payments made for </w:t>
      </w:r>
      <w:r w:rsidR="00103A2A">
        <w:rPr>
          <w:rFonts w:cs="Arial"/>
          <w:color w:val="000000"/>
        </w:rPr>
        <w:t xml:space="preserve">HHP </w:t>
      </w:r>
      <w:r w:rsidRPr="00FB1CBD">
        <w:rPr>
          <w:rFonts w:cs="Arial"/>
          <w:color w:val="000000"/>
        </w:rPr>
        <w:t xml:space="preserve">cases that were not monitored in accordance with established procedures (Finding 2). </w:t>
      </w:r>
    </w:p>
    <w:p w:rsidR="00893F75" w:rsidRPr="00FB1CBD" w:rsidRDefault="00893F75" w:rsidP="00F84A56">
      <w:pPr>
        <w:tabs>
          <w:tab w:val="left" w:pos="360"/>
        </w:tabs>
        <w:spacing w:line="300" w:lineRule="auto"/>
        <w:contextualSpacing/>
        <w:jc w:val="both"/>
        <w:rPr>
          <w:rFonts w:cs="Arial"/>
          <w:noProof/>
        </w:rPr>
      </w:pPr>
    </w:p>
    <w:p w:rsidR="00893F75" w:rsidRPr="00FB1CBD" w:rsidRDefault="00893F75" w:rsidP="00F84A56">
      <w:pPr>
        <w:tabs>
          <w:tab w:val="left" w:pos="274"/>
          <w:tab w:val="left" w:pos="778"/>
          <w:tab w:val="left" w:pos="1282"/>
          <w:tab w:val="left" w:pos="8712"/>
        </w:tabs>
        <w:spacing w:line="300" w:lineRule="auto"/>
        <w:jc w:val="both"/>
        <w:rPr>
          <w:rFonts w:cs="Arial"/>
          <w:noProof/>
        </w:rPr>
      </w:pPr>
      <w:r w:rsidRPr="00FB1CBD">
        <w:rPr>
          <w:rFonts w:cs="Arial"/>
          <w:noProof/>
        </w:rPr>
        <w:t>In our professi</w:t>
      </w:r>
      <w:r w:rsidR="00200752">
        <w:rPr>
          <w:rFonts w:cs="Arial"/>
          <w:noProof/>
        </w:rPr>
        <w:t>onal judg</w:t>
      </w:r>
      <w:r w:rsidRPr="00FB1CBD">
        <w:rPr>
          <w:rFonts w:cs="Arial"/>
          <w:noProof/>
        </w:rPr>
        <w:t xml:space="preserve">ment, </w:t>
      </w:r>
      <w:r w:rsidR="004D560F">
        <w:rPr>
          <w:rFonts w:cs="Arial"/>
          <w:noProof/>
        </w:rPr>
        <w:t xml:space="preserve">the reportable conditions are </w:t>
      </w:r>
      <w:r w:rsidRPr="00FB1CBD">
        <w:rPr>
          <w:rFonts w:cs="Arial"/>
          <w:noProof/>
        </w:rPr>
        <w:t>less</w:t>
      </w:r>
      <w:r w:rsidR="00052AA9">
        <w:rPr>
          <w:rFonts w:cs="Arial"/>
          <w:noProof/>
        </w:rPr>
        <w:t xml:space="preserve"> severe than a material condition</w:t>
      </w:r>
      <w:r w:rsidRPr="00FB1CBD">
        <w:rPr>
          <w:rFonts w:cs="Arial"/>
          <w:noProof/>
        </w:rPr>
        <w:t xml:space="preserve"> but </w:t>
      </w:r>
      <w:r w:rsidR="004D560F">
        <w:rPr>
          <w:rFonts w:cs="Arial"/>
          <w:noProof/>
        </w:rPr>
        <w:t>represent opportunities for improvement</w:t>
      </w:r>
      <w:r w:rsidRPr="00FB1CBD">
        <w:rPr>
          <w:rFonts w:cs="Arial"/>
          <w:noProof/>
        </w:rPr>
        <w:t xml:space="preserve"> in DCH</w:t>
      </w:r>
      <w:r w:rsidR="00F305E9">
        <w:rPr>
          <w:rFonts w:cs="Arial"/>
          <w:noProof/>
        </w:rPr>
        <w:t>'</w:t>
      </w:r>
      <w:r w:rsidRPr="00FB1CBD">
        <w:rPr>
          <w:rFonts w:cs="Arial"/>
          <w:noProof/>
        </w:rPr>
        <w:t>s and DHS</w:t>
      </w:r>
      <w:r w:rsidR="00F305E9">
        <w:rPr>
          <w:rFonts w:cs="Arial"/>
          <w:noProof/>
        </w:rPr>
        <w:t>'</w:t>
      </w:r>
      <w:r w:rsidRPr="00FB1CBD">
        <w:rPr>
          <w:rFonts w:cs="Arial"/>
          <w:noProof/>
        </w:rPr>
        <w:t xml:space="preserve">s efforts to operate </w:t>
      </w:r>
      <w:r w:rsidR="00A707F8">
        <w:rPr>
          <w:rFonts w:cs="Arial"/>
          <w:noProof/>
        </w:rPr>
        <w:t>HHP</w:t>
      </w:r>
      <w:r w:rsidR="004D560F">
        <w:rPr>
          <w:rFonts w:cs="Arial"/>
          <w:noProof/>
        </w:rPr>
        <w:t xml:space="preserve"> </w:t>
      </w:r>
      <w:r w:rsidRPr="00FB1CBD">
        <w:rPr>
          <w:rFonts w:cs="Arial"/>
          <w:noProof/>
        </w:rPr>
        <w:t xml:space="preserve">consistent with selected laws, </w:t>
      </w:r>
      <w:r w:rsidR="00EE4B54">
        <w:rPr>
          <w:rFonts w:cs="Arial"/>
          <w:noProof/>
        </w:rPr>
        <w:t xml:space="preserve">rules, </w:t>
      </w:r>
      <w:r w:rsidRPr="00FB1CBD">
        <w:rPr>
          <w:rFonts w:cs="Arial"/>
          <w:noProof/>
        </w:rPr>
        <w:t>regulations</w:t>
      </w:r>
      <w:r w:rsidR="00EE4B54">
        <w:rPr>
          <w:rFonts w:cs="Arial"/>
          <w:noProof/>
        </w:rPr>
        <w:t>,</w:t>
      </w:r>
      <w:r w:rsidRPr="00FB1CBD">
        <w:rPr>
          <w:rFonts w:cs="Arial"/>
          <w:noProof/>
        </w:rPr>
        <w:t xml:space="preserve"> and</w:t>
      </w:r>
      <w:r w:rsidR="00EE4B54">
        <w:rPr>
          <w:rFonts w:cs="Arial"/>
          <w:noProof/>
        </w:rPr>
        <w:t xml:space="preserve"> policies</w:t>
      </w:r>
      <w:r w:rsidRPr="00FB1CBD">
        <w:rPr>
          <w:rFonts w:cs="Arial"/>
          <w:noProof/>
        </w:rPr>
        <w:t>.</w:t>
      </w:r>
      <w:r w:rsidR="007A6286" w:rsidRPr="00FB1CBD">
        <w:rPr>
          <w:rFonts w:cs="Arial"/>
          <w:noProof/>
        </w:rPr>
        <w:t xml:space="preserve">  </w:t>
      </w:r>
      <w:r w:rsidRPr="00FB1CBD">
        <w:rPr>
          <w:rFonts w:cs="Arial"/>
          <w:noProof/>
        </w:rPr>
        <w:t xml:space="preserve">The </w:t>
      </w:r>
      <w:r w:rsidR="00273A2C" w:rsidRPr="00FB1CBD">
        <w:rPr>
          <w:rFonts w:cs="Arial"/>
          <w:noProof/>
        </w:rPr>
        <w:t>eleven</w:t>
      </w:r>
      <w:r w:rsidR="00EE4B54">
        <w:rPr>
          <w:rFonts w:cs="Arial"/>
          <w:noProof/>
        </w:rPr>
        <w:t xml:space="preserve"> </w:t>
      </w:r>
      <w:r w:rsidRPr="00FB1CBD">
        <w:rPr>
          <w:rFonts w:cs="Arial"/>
          <w:noProof/>
        </w:rPr>
        <w:t>reportable conditions related to payments for services for ineligible clients</w:t>
      </w:r>
      <w:r w:rsidR="00EE4B54">
        <w:rPr>
          <w:rFonts w:cs="Arial"/>
          <w:noProof/>
        </w:rPr>
        <w:t>,</w:t>
      </w:r>
      <w:r w:rsidRPr="00FB1CBD">
        <w:rPr>
          <w:rFonts w:cs="Arial"/>
          <w:noProof/>
        </w:rPr>
        <w:t xml:space="preserve"> unemployment insurance </w:t>
      </w:r>
      <w:r w:rsidR="00EE4B54">
        <w:rPr>
          <w:rFonts w:cs="Arial"/>
          <w:noProof/>
        </w:rPr>
        <w:t xml:space="preserve">(UI) </w:t>
      </w:r>
      <w:r w:rsidRPr="00FB1CBD">
        <w:rPr>
          <w:rFonts w:cs="Arial"/>
          <w:noProof/>
        </w:rPr>
        <w:t>claims</w:t>
      </w:r>
      <w:r w:rsidR="00EE4B54">
        <w:rPr>
          <w:rFonts w:cs="Arial"/>
          <w:noProof/>
        </w:rPr>
        <w:t>,</w:t>
      </w:r>
      <w:r w:rsidRPr="00FB1CBD">
        <w:rPr>
          <w:rFonts w:cs="Arial"/>
          <w:noProof/>
        </w:rPr>
        <w:t xml:space="preserve"> agency </w:t>
      </w:r>
      <w:r w:rsidR="00EE4B54">
        <w:rPr>
          <w:rFonts w:cs="Arial"/>
          <w:noProof/>
        </w:rPr>
        <w:t xml:space="preserve">pay </w:t>
      </w:r>
      <w:r w:rsidRPr="00FB1CBD">
        <w:rPr>
          <w:rFonts w:cs="Arial"/>
          <w:noProof/>
        </w:rPr>
        <w:t xml:space="preserve">rates </w:t>
      </w:r>
      <w:r w:rsidR="00052AA9">
        <w:rPr>
          <w:rFonts w:cs="Arial"/>
          <w:noProof/>
        </w:rPr>
        <w:t xml:space="preserve">for </w:t>
      </w:r>
      <w:r w:rsidRPr="00FB1CBD">
        <w:rPr>
          <w:rFonts w:cs="Arial"/>
          <w:noProof/>
        </w:rPr>
        <w:t>nonqualified providers</w:t>
      </w:r>
      <w:r w:rsidR="00EE4B54">
        <w:rPr>
          <w:rFonts w:cs="Arial"/>
          <w:noProof/>
        </w:rPr>
        <w:t>,</w:t>
      </w:r>
      <w:r w:rsidRPr="00FB1CBD">
        <w:rPr>
          <w:rFonts w:cs="Arial"/>
          <w:noProof/>
        </w:rPr>
        <w:t xml:space="preserve"> criminal history checks</w:t>
      </w:r>
      <w:r w:rsidR="00EE4B54">
        <w:rPr>
          <w:rFonts w:cs="Arial"/>
          <w:noProof/>
        </w:rPr>
        <w:t>,</w:t>
      </w:r>
      <w:r w:rsidRPr="00FB1CBD">
        <w:rPr>
          <w:rFonts w:cs="Arial"/>
          <w:noProof/>
        </w:rPr>
        <w:t xml:space="preserve"> client case file review exceptions</w:t>
      </w:r>
      <w:r w:rsidR="00EE4B54">
        <w:rPr>
          <w:rFonts w:cs="Arial"/>
          <w:noProof/>
        </w:rPr>
        <w:t>,</w:t>
      </w:r>
      <w:r w:rsidRPr="00FB1CBD">
        <w:rPr>
          <w:rFonts w:cs="Arial"/>
          <w:noProof/>
        </w:rPr>
        <w:t xml:space="preserve"> management use of client case file review</w:t>
      </w:r>
      <w:r w:rsidR="00103A2A">
        <w:rPr>
          <w:rFonts w:cs="Arial"/>
          <w:noProof/>
        </w:rPr>
        <w:t>s</w:t>
      </w:r>
      <w:r w:rsidR="00EE4B54">
        <w:rPr>
          <w:rFonts w:cs="Arial"/>
          <w:noProof/>
        </w:rPr>
        <w:t>,</w:t>
      </w:r>
      <w:r w:rsidRPr="00FB1CBD">
        <w:rPr>
          <w:rFonts w:cs="Arial"/>
          <w:noProof/>
        </w:rPr>
        <w:t xml:space="preserve"> controls to prevent or recover </w:t>
      </w:r>
      <w:r w:rsidR="00A707F8">
        <w:rPr>
          <w:rFonts w:cs="Arial"/>
          <w:noProof/>
        </w:rPr>
        <w:t>HHP</w:t>
      </w:r>
      <w:r w:rsidR="00EE4B54">
        <w:rPr>
          <w:rFonts w:cs="Arial"/>
          <w:noProof/>
        </w:rPr>
        <w:t xml:space="preserve"> </w:t>
      </w:r>
      <w:r w:rsidRPr="00FB1CBD">
        <w:rPr>
          <w:rFonts w:cs="Arial"/>
          <w:noProof/>
        </w:rPr>
        <w:t>payments for hospitalized clients</w:t>
      </w:r>
      <w:r w:rsidR="00EE4B54">
        <w:rPr>
          <w:rFonts w:cs="Arial"/>
          <w:noProof/>
        </w:rPr>
        <w:t>,</w:t>
      </w:r>
      <w:r w:rsidRPr="00FB1CBD">
        <w:rPr>
          <w:rFonts w:cs="Arial"/>
          <w:noProof/>
        </w:rPr>
        <w:t xml:space="preserve"> controls to prevent or recover </w:t>
      </w:r>
      <w:r w:rsidR="00A707F8">
        <w:rPr>
          <w:rFonts w:cs="Arial"/>
          <w:noProof/>
        </w:rPr>
        <w:t>HHP</w:t>
      </w:r>
      <w:r w:rsidR="00EE4B54">
        <w:rPr>
          <w:rFonts w:cs="Arial"/>
          <w:noProof/>
        </w:rPr>
        <w:t xml:space="preserve"> </w:t>
      </w:r>
      <w:r w:rsidRPr="00FB1CBD">
        <w:rPr>
          <w:rFonts w:cs="Arial"/>
          <w:noProof/>
        </w:rPr>
        <w:t>payments for clients in a nursing</w:t>
      </w:r>
      <w:r w:rsidR="00A0632B">
        <w:rPr>
          <w:rFonts w:cs="Arial"/>
          <w:noProof/>
        </w:rPr>
        <w:t xml:space="preserve"> facility</w:t>
      </w:r>
      <w:r w:rsidR="00EE4B54">
        <w:rPr>
          <w:rFonts w:cs="Arial"/>
          <w:noProof/>
        </w:rPr>
        <w:t>,</w:t>
      </w:r>
      <w:r w:rsidRPr="00FB1CBD">
        <w:rPr>
          <w:rFonts w:cs="Arial"/>
          <w:noProof/>
        </w:rPr>
        <w:t xml:space="preserve"> review of undeliverable W</w:t>
      </w:r>
      <w:r w:rsidR="00570A67" w:rsidRPr="00FB1CBD">
        <w:rPr>
          <w:rFonts w:cs="Arial"/>
          <w:noProof/>
        </w:rPr>
        <w:noBreakHyphen/>
      </w:r>
      <w:r w:rsidRPr="00FB1CBD">
        <w:rPr>
          <w:rFonts w:cs="Arial"/>
          <w:noProof/>
        </w:rPr>
        <w:t>2 forms</w:t>
      </w:r>
      <w:r w:rsidR="00EE4B54">
        <w:rPr>
          <w:rFonts w:cs="Arial"/>
          <w:noProof/>
        </w:rPr>
        <w:t>,</w:t>
      </w:r>
      <w:r w:rsidRPr="00FB1CBD">
        <w:rPr>
          <w:rFonts w:cs="Arial"/>
          <w:noProof/>
        </w:rPr>
        <w:t xml:space="preserve"> referral of suspected client and provider fraud</w:t>
      </w:r>
      <w:r w:rsidR="00EE4B54">
        <w:rPr>
          <w:rFonts w:cs="Arial"/>
          <w:noProof/>
        </w:rPr>
        <w:t>s,</w:t>
      </w:r>
      <w:r w:rsidR="00273A2C" w:rsidRPr="00FB1CBD">
        <w:rPr>
          <w:rFonts w:cs="Arial"/>
          <w:noProof/>
        </w:rPr>
        <w:t xml:space="preserve"> and data reporting system</w:t>
      </w:r>
      <w:r w:rsidRPr="00FB1CBD">
        <w:rPr>
          <w:rFonts w:cs="Arial"/>
          <w:noProof/>
        </w:rPr>
        <w:t xml:space="preserve"> (Findings 3 through 1</w:t>
      </w:r>
      <w:r w:rsidR="00273A2C" w:rsidRPr="00FB1CBD">
        <w:rPr>
          <w:rFonts w:cs="Arial"/>
          <w:noProof/>
        </w:rPr>
        <w:t>3</w:t>
      </w:r>
      <w:r w:rsidRPr="00FB1CBD">
        <w:rPr>
          <w:rFonts w:cs="Arial"/>
          <w:noProof/>
        </w:rPr>
        <w:t>).</w:t>
      </w:r>
    </w:p>
    <w:p w:rsidR="00591604" w:rsidRDefault="00591604" w:rsidP="00F84A56">
      <w:pPr>
        <w:overflowPunct/>
        <w:autoSpaceDE/>
        <w:autoSpaceDN/>
        <w:adjustRightInd/>
        <w:spacing w:line="300" w:lineRule="auto"/>
        <w:textAlignment w:val="auto"/>
        <w:rPr>
          <w:rFonts w:cs="Arial"/>
          <w:noProof/>
        </w:rPr>
      </w:pPr>
    </w:p>
    <w:p w:rsidR="00893F75" w:rsidRPr="00FB1CBD" w:rsidRDefault="00893F75" w:rsidP="00F84A56">
      <w:pPr>
        <w:tabs>
          <w:tab w:val="left" w:pos="360"/>
        </w:tabs>
        <w:spacing w:line="300" w:lineRule="auto"/>
        <w:jc w:val="both"/>
        <w:rPr>
          <w:rFonts w:cs="Arial"/>
          <w:noProof/>
        </w:rPr>
      </w:pPr>
      <w:r w:rsidRPr="00FB1CBD">
        <w:rPr>
          <w:rFonts w:cs="Arial"/>
          <w:noProof/>
        </w:rPr>
        <w:t xml:space="preserve">In addition, we evaluated qualitative factors, such as the vulnerable nature of the clients participating in the program and the high risk of potential fraud related to these types of programs. </w:t>
      </w:r>
    </w:p>
    <w:p w:rsidR="00570A67" w:rsidRPr="00FB1CBD" w:rsidRDefault="00570A67" w:rsidP="00F84A56">
      <w:pPr>
        <w:tabs>
          <w:tab w:val="left" w:pos="360"/>
        </w:tabs>
        <w:spacing w:line="300" w:lineRule="auto"/>
        <w:jc w:val="both"/>
        <w:rPr>
          <w:rFonts w:cs="Arial"/>
          <w:noProof/>
        </w:rPr>
      </w:pPr>
    </w:p>
    <w:p w:rsidR="00BD709D" w:rsidRDefault="00893F75" w:rsidP="00BD709D">
      <w:pPr>
        <w:tabs>
          <w:tab w:val="left" w:pos="274"/>
          <w:tab w:val="left" w:pos="778"/>
          <w:tab w:val="left" w:pos="1282"/>
          <w:tab w:val="left" w:pos="8712"/>
        </w:tabs>
        <w:spacing w:line="300" w:lineRule="auto"/>
        <w:jc w:val="both"/>
        <w:rPr>
          <w:rFonts w:cs="Arial"/>
          <w:noProof/>
        </w:rPr>
      </w:pPr>
      <w:r w:rsidRPr="00FB1CBD">
        <w:rPr>
          <w:rFonts w:cs="Arial"/>
          <w:noProof/>
        </w:rPr>
        <w:t xml:space="preserve">In reaching our conclusion, we considered the qualitative and quantitative factors related to the two material conditions and </w:t>
      </w:r>
      <w:r w:rsidR="00273A2C" w:rsidRPr="00FB1CBD">
        <w:rPr>
          <w:rFonts w:cs="Arial"/>
          <w:noProof/>
        </w:rPr>
        <w:t>eleven</w:t>
      </w:r>
      <w:r w:rsidRPr="00FB1CBD">
        <w:rPr>
          <w:rFonts w:cs="Arial"/>
          <w:noProof/>
        </w:rPr>
        <w:t xml:space="preserve"> reportable conditions. </w:t>
      </w:r>
      <w:r w:rsidR="007A6286" w:rsidRPr="00FB1CBD">
        <w:rPr>
          <w:rFonts w:cs="Arial"/>
          <w:noProof/>
        </w:rPr>
        <w:t xml:space="preserve"> </w:t>
      </w:r>
      <w:r w:rsidRPr="00FB1CBD">
        <w:rPr>
          <w:rFonts w:cs="Arial"/>
          <w:noProof/>
        </w:rPr>
        <w:t>We also took into consideration that we identified instances of</w:t>
      </w:r>
      <w:r w:rsidR="007A6286" w:rsidRPr="00FB1CBD">
        <w:rPr>
          <w:rFonts w:cs="Arial"/>
          <w:noProof/>
        </w:rPr>
        <w:t xml:space="preserve"> noncompliance for all of the </w:t>
      </w:r>
      <w:r w:rsidRPr="00FB1CBD">
        <w:rPr>
          <w:rFonts w:cs="Arial"/>
          <w:noProof/>
        </w:rPr>
        <w:t xml:space="preserve">areas we assessed for compliance, as described in our audit methodology, including material noncompliance for high error rates associated with critical requirements for ensuring that DCH and DHS obtained and reviewed documentation to support </w:t>
      </w:r>
      <w:r w:rsidR="00A707F8">
        <w:rPr>
          <w:rFonts w:cs="Arial"/>
          <w:noProof/>
        </w:rPr>
        <w:t>HHP</w:t>
      </w:r>
      <w:r w:rsidR="00EE4B54">
        <w:rPr>
          <w:rFonts w:cs="Arial"/>
          <w:noProof/>
        </w:rPr>
        <w:t xml:space="preserve"> </w:t>
      </w:r>
      <w:r w:rsidRPr="00FB1CBD">
        <w:rPr>
          <w:rFonts w:cs="Arial"/>
          <w:noProof/>
        </w:rPr>
        <w:t>payments</w:t>
      </w:r>
      <w:r w:rsidR="00EE4B54">
        <w:rPr>
          <w:rFonts w:cs="Arial"/>
          <w:noProof/>
        </w:rPr>
        <w:t>,</w:t>
      </w:r>
      <w:r w:rsidRPr="00FB1CBD">
        <w:rPr>
          <w:rFonts w:cs="Arial"/>
          <w:noProof/>
        </w:rPr>
        <w:t xml:space="preserve"> and that ASWs appropriately monitored their </w:t>
      </w:r>
      <w:r w:rsidR="00A707F8">
        <w:rPr>
          <w:rFonts w:cs="Arial"/>
          <w:noProof/>
        </w:rPr>
        <w:t>HHP</w:t>
      </w:r>
      <w:r w:rsidR="00EE4B54">
        <w:rPr>
          <w:rFonts w:cs="Arial"/>
          <w:noProof/>
        </w:rPr>
        <w:t xml:space="preserve"> </w:t>
      </w:r>
      <w:r w:rsidRPr="00FB1CBD">
        <w:rPr>
          <w:rFonts w:cs="Arial"/>
          <w:noProof/>
        </w:rPr>
        <w:t>cases.</w:t>
      </w:r>
      <w:r w:rsidR="007A6286" w:rsidRPr="00FB1CBD">
        <w:rPr>
          <w:rFonts w:cs="Arial"/>
          <w:noProof/>
        </w:rPr>
        <w:t xml:space="preserve"> </w:t>
      </w:r>
      <w:r w:rsidRPr="00FB1CBD">
        <w:rPr>
          <w:rFonts w:cs="Arial"/>
          <w:noProof/>
        </w:rPr>
        <w:t xml:space="preserve"> </w:t>
      </w:r>
      <w:r w:rsidR="004C1FE4" w:rsidRPr="00FB1CBD">
        <w:rPr>
          <w:rFonts w:cs="Arial"/>
          <w:noProof/>
        </w:rPr>
        <w:t>In addition</w:t>
      </w:r>
      <w:r w:rsidR="00103A2A">
        <w:rPr>
          <w:rFonts w:cs="Arial"/>
          <w:noProof/>
        </w:rPr>
        <w:t>,</w:t>
      </w:r>
      <w:r w:rsidR="004C1FE4" w:rsidRPr="00FB1CBD">
        <w:rPr>
          <w:rFonts w:cs="Arial"/>
          <w:noProof/>
        </w:rPr>
        <w:t xml:space="preserve"> we consider</w:t>
      </w:r>
      <w:r w:rsidR="00052AA9">
        <w:rPr>
          <w:rFonts w:cs="Arial"/>
          <w:noProof/>
        </w:rPr>
        <w:t>ed</w:t>
      </w:r>
      <w:r w:rsidR="004C1FE4" w:rsidRPr="00FB1CBD">
        <w:rPr>
          <w:rFonts w:cs="Arial"/>
          <w:noProof/>
        </w:rPr>
        <w:t xml:space="preserve"> that </w:t>
      </w:r>
      <w:r w:rsidR="00EE4B54">
        <w:rPr>
          <w:rFonts w:cs="Arial"/>
          <w:noProof/>
        </w:rPr>
        <w:t>F</w:t>
      </w:r>
      <w:r w:rsidR="004C1FE4" w:rsidRPr="00FB1CBD">
        <w:rPr>
          <w:rFonts w:cs="Arial"/>
          <w:noProof/>
        </w:rPr>
        <w:t>indings 1, 3, 5, 9</w:t>
      </w:r>
      <w:r w:rsidR="00EE4B54">
        <w:rPr>
          <w:rFonts w:cs="Arial"/>
          <w:noProof/>
        </w:rPr>
        <w:t>,</w:t>
      </w:r>
      <w:r w:rsidR="004C1FE4" w:rsidRPr="00FB1CBD">
        <w:rPr>
          <w:rFonts w:cs="Arial"/>
          <w:noProof/>
        </w:rPr>
        <w:t xml:space="preserve"> and 10 identified improper paymen</w:t>
      </w:r>
      <w:r w:rsidR="00EE4B54">
        <w:rPr>
          <w:rFonts w:cs="Arial"/>
          <w:noProof/>
        </w:rPr>
        <w:t>ts totaling an estimated $1</w:t>
      </w:r>
      <w:r w:rsidR="008C5425">
        <w:rPr>
          <w:rFonts w:cs="Arial"/>
          <w:noProof/>
        </w:rPr>
        <w:t>60.0</w:t>
      </w:r>
      <w:r w:rsidR="00EE4B54">
        <w:rPr>
          <w:rFonts w:cs="Arial"/>
          <w:noProof/>
        </w:rPr>
        <w:t> </w:t>
      </w:r>
      <w:r w:rsidR="004C1FE4" w:rsidRPr="00FB1CBD">
        <w:rPr>
          <w:rFonts w:cs="Arial"/>
          <w:noProof/>
        </w:rPr>
        <w:t>million ($5</w:t>
      </w:r>
      <w:r w:rsidR="008C5425">
        <w:rPr>
          <w:rFonts w:cs="Arial"/>
          <w:noProof/>
        </w:rPr>
        <w:t>4.2</w:t>
      </w:r>
      <w:r w:rsidR="004C1FE4" w:rsidRPr="00FB1CBD">
        <w:rPr>
          <w:rFonts w:cs="Arial"/>
          <w:noProof/>
        </w:rPr>
        <w:t xml:space="preserve"> million General </w:t>
      </w:r>
      <w:r w:rsidR="00EE4B54">
        <w:rPr>
          <w:rFonts w:cs="Arial"/>
          <w:noProof/>
        </w:rPr>
        <w:t>F</w:t>
      </w:r>
      <w:r w:rsidR="004C1FE4" w:rsidRPr="00FB1CBD">
        <w:rPr>
          <w:rFonts w:cs="Arial"/>
          <w:noProof/>
        </w:rPr>
        <w:t>und/general purpose).  This represented 1</w:t>
      </w:r>
      <w:r w:rsidR="0050119E">
        <w:rPr>
          <w:rFonts w:cs="Arial"/>
          <w:noProof/>
        </w:rPr>
        <w:t>7.</w:t>
      </w:r>
      <w:r w:rsidR="008C5425">
        <w:rPr>
          <w:rFonts w:cs="Arial"/>
          <w:noProof/>
        </w:rPr>
        <w:t>9</w:t>
      </w:r>
      <w:r w:rsidR="004C1FE4" w:rsidRPr="00FB1CBD">
        <w:rPr>
          <w:rFonts w:cs="Arial"/>
          <w:noProof/>
        </w:rPr>
        <w:t>% of the $89</w:t>
      </w:r>
      <w:r w:rsidR="00052AA9">
        <w:rPr>
          <w:rFonts w:cs="Arial"/>
          <w:noProof/>
        </w:rPr>
        <w:t>3.7</w:t>
      </w:r>
      <w:r w:rsidR="004C1FE4" w:rsidRPr="00FB1CBD">
        <w:rPr>
          <w:rFonts w:cs="Arial"/>
          <w:noProof/>
        </w:rPr>
        <w:t xml:space="preserve"> million in </w:t>
      </w:r>
      <w:r w:rsidR="00A707F8">
        <w:rPr>
          <w:rFonts w:cs="Arial"/>
          <w:noProof/>
        </w:rPr>
        <w:t>HHP</w:t>
      </w:r>
      <w:r w:rsidR="00EE4B54">
        <w:rPr>
          <w:rFonts w:cs="Arial"/>
          <w:noProof/>
        </w:rPr>
        <w:t xml:space="preserve"> </w:t>
      </w:r>
      <w:r w:rsidR="004C1FE4" w:rsidRPr="00FB1CBD">
        <w:rPr>
          <w:rFonts w:cs="Arial"/>
          <w:noProof/>
        </w:rPr>
        <w:t>expenditures for the period Oc</w:t>
      </w:r>
      <w:r w:rsidR="00EE4B54">
        <w:rPr>
          <w:rFonts w:cs="Arial"/>
          <w:noProof/>
        </w:rPr>
        <w:t>tober 1, 2010 through September </w:t>
      </w:r>
      <w:r w:rsidR="004C1FE4" w:rsidRPr="00FB1CBD">
        <w:rPr>
          <w:rFonts w:cs="Arial"/>
          <w:noProof/>
        </w:rPr>
        <w:t xml:space="preserve">30, 2013. </w:t>
      </w:r>
      <w:r w:rsidR="007A6286" w:rsidRPr="00FB1CBD">
        <w:rPr>
          <w:rFonts w:cs="Arial"/>
          <w:noProof/>
        </w:rPr>
        <w:t xml:space="preserve"> </w:t>
      </w:r>
      <w:r w:rsidR="004C1FE4" w:rsidRPr="00FB1CBD">
        <w:rPr>
          <w:rFonts w:cs="Arial"/>
          <w:noProof/>
        </w:rPr>
        <w:t xml:space="preserve">In addition, </w:t>
      </w:r>
      <w:r w:rsidR="00EE4B54">
        <w:rPr>
          <w:rFonts w:cs="Arial"/>
          <w:noProof/>
        </w:rPr>
        <w:t>F</w:t>
      </w:r>
      <w:r w:rsidR="004C1FE4" w:rsidRPr="00FB1CBD">
        <w:rPr>
          <w:rFonts w:cs="Arial"/>
          <w:noProof/>
        </w:rPr>
        <w:t>indings 2, 4, 7, 8, 11</w:t>
      </w:r>
      <w:r w:rsidR="00EE4B54">
        <w:rPr>
          <w:rFonts w:cs="Arial"/>
          <w:noProof/>
        </w:rPr>
        <w:t>,</w:t>
      </w:r>
      <w:r w:rsidR="004C1FE4" w:rsidRPr="00FB1CBD">
        <w:rPr>
          <w:rFonts w:cs="Arial"/>
          <w:noProof/>
        </w:rPr>
        <w:t xml:space="preserve"> and 12 identif</w:t>
      </w:r>
      <w:r w:rsidR="00052AA9">
        <w:rPr>
          <w:rFonts w:cs="Arial"/>
          <w:noProof/>
        </w:rPr>
        <w:t>i</w:t>
      </w:r>
      <w:r w:rsidR="004C1FE4" w:rsidRPr="00FB1CBD">
        <w:rPr>
          <w:rFonts w:cs="Arial"/>
          <w:noProof/>
        </w:rPr>
        <w:t xml:space="preserve">ed weaknesses </w:t>
      </w:r>
      <w:r w:rsidR="00BD709D">
        <w:rPr>
          <w:rFonts w:cs="Arial"/>
          <w:noProof/>
        </w:rPr>
        <w:br/>
      </w:r>
      <w:r w:rsidR="00BD709D">
        <w:rPr>
          <w:rFonts w:cs="Arial"/>
          <w:noProof/>
        </w:rPr>
        <w:br w:type="page"/>
      </w:r>
    </w:p>
    <w:p w:rsidR="00893F75" w:rsidRPr="00FB1CBD" w:rsidRDefault="004C1FE4" w:rsidP="00F84A56">
      <w:pPr>
        <w:tabs>
          <w:tab w:val="left" w:pos="274"/>
          <w:tab w:val="left" w:pos="778"/>
          <w:tab w:val="left" w:pos="1282"/>
          <w:tab w:val="left" w:pos="8712"/>
        </w:tabs>
        <w:spacing w:line="300" w:lineRule="auto"/>
        <w:jc w:val="both"/>
        <w:rPr>
          <w:rFonts w:cs="Arial"/>
          <w:noProof/>
        </w:rPr>
      </w:pPr>
      <w:r w:rsidRPr="00FB1CBD">
        <w:rPr>
          <w:rFonts w:cs="Arial"/>
          <w:noProof/>
        </w:rPr>
        <w:lastRenderedPageBreak/>
        <w:t>that could result in improper payments or amounts owed to</w:t>
      </w:r>
      <w:r w:rsidR="00EE4B54">
        <w:rPr>
          <w:rFonts w:cs="Arial"/>
          <w:noProof/>
        </w:rPr>
        <w:t xml:space="preserve"> the federal government for non</w:t>
      </w:r>
      <w:r w:rsidRPr="00FB1CBD">
        <w:rPr>
          <w:rFonts w:cs="Arial"/>
          <w:noProof/>
        </w:rPr>
        <w:t xml:space="preserve">compliance with procedures. </w:t>
      </w:r>
      <w:r w:rsidR="00893F75" w:rsidRPr="00FB1CBD">
        <w:rPr>
          <w:rFonts w:cs="Arial"/>
          <w:noProof/>
        </w:rPr>
        <w:t xml:space="preserve"> We believe that the results of our audit efforts provide a reasonable basis for our audit conclusion for this audit objective. </w:t>
      </w:r>
    </w:p>
    <w:p w:rsidR="00570A67" w:rsidRPr="00FB1CBD" w:rsidRDefault="00570A67" w:rsidP="00F84A56">
      <w:pPr>
        <w:tabs>
          <w:tab w:val="left" w:pos="360"/>
        </w:tabs>
        <w:spacing w:line="300" w:lineRule="auto"/>
        <w:jc w:val="both"/>
        <w:rPr>
          <w:rFonts w:cs="Arial"/>
          <w:noProof/>
        </w:rPr>
      </w:pPr>
    </w:p>
    <w:p w:rsidR="00893F75" w:rsidRPr="00FB1CBD" w:rsidRDefault="00570A67" w:rsidP="00F84A56">
      <w:pPr>
        <w:spacing w:line="300" w:lineRule="auto"/>
        <w:jc w:val="both"/>
        <w:rPr>
          <w:rFonts w:cs="Arial"/>
          <w:b/>
          <w:smallCaps/>
          <w:sz w:val="28"/>
          <w:u w:val="single"/>
        </w:rPr>
      </w:pPr>
      <w:r w:rsidRPr="00FB1CBD">
        <w:rPr>
          <w:rFonts w:cs="Arial"/>
          <w:b/>
          <w:smallCaps/>
          <w:sz w:val="28"/>
          <w:u w:val="single"/>
        </w:rPr>
        <w:t>Finding</w:t>
      </w:r>
    </w:p>
    <w:p w:rsidR="00893F75" w:rsidRPr="00FB1CBD" w:rsidRDefault="00893F75" w:rsidP="00F84A56">
      <w:pPr>
        <w:pStyle w:val="A4-FindingTitle"/>
      </w:pPr>
      <w:r w:rsidRPr="00FB1CBD">
        <w:t>Provider Service Log or Invoice Documentation</w:t>
      </w:r>
    </w:p>
    <w:p w:rsidR="009F17B4" w:rsidRPr="00FB1CBD" w:rsidRDefault="00893F75" w:rsidP="00F84A56">
      <w:pPr>
        <w:spacing w:line="300" w:lineRule="auto"/>
        <w:ind w:left="504"/>
        <w:jc w:val="both"/>
        <w:rPr>
          <w:rFonts w:cs="Arial"/>
        </w:rPr>
      </w:pPr>
      <w:r w:rsidRPr="00FB1CBD">
        <w:rPr>
          <w:rFonts w:cs="Arial"/>
        </w:rPr>
        <w:t>DCH and DHS did not obtain or timely obtain sufficient documentation</w:t>
      </w:r>
      <w:r w:rsidR="00413EB7" w:rsidRPr="00FB1CBD">
        <w:rPr>
          <w:rFonts w:cs="Arial"/>
        </w:rPr>
        <w:t>,</w:t>
      </w:r>
      <w:r w:rsidRPr="00FB1CBD">
        <w:rPr>
          <w:rFonts w:cs="Arial"/>
        </w:rPr>
        <w:t xml:space="preserve"> including provider service logs or invoices, provider and client verification, and ASW review</w:t>
      </w:r>
      <w:r w:rsidR="00B82C7E" w:rsidRPr="00FB1CBD">
        <w:rPr>
          <w:rFonts w:cs="Arial"/>
        </w:rPr>
        <w:t>s</w:t>
      </w:r>
      <w:r w:rsidRPr="00FB1CBD">
        <w:rPr>
          <w:rFonts w:cs="Arial"/>
        </w:rPr>
        <w:t xml:space="preserve">, to ensure that </w:t>
      </w:r>
      <w:r w:rsidR="00AA08CB" w:rsidRPr="00FB1CBD">
        <w:rPr>
          <w:rFonts w:cs="Arial"/>
        </w:rPr>
        <w:t xml:space="preserve">providers had delivered </w:t>
      </w:r>
      <w:r w:rsidR="00432D9D" w:rsidRPr="00FB1CBD">
        <w:rPr>
          <w:rFonts w:cs="Arial"/>
        </w:rPr>
        <w:t xml:space="preserve">the </w:t>
      </w:r>
      <w:r w:rsidR="004C7957" w:rsidRPr="00FB1CBD">
        <w:rPr>
          <w:rFonts w:cs="Arial"/>
        </w:rPr>
        <w:t xml:space="preserve">services </w:t>
      </w:r>
      <w:r w:rsidR="00AA08CB" w:rsidRPr="00FB1CBD">
        <w:rPr>
          <w:rFonts w:cs="Arial"/>
        </w:rPr>
        <w:t>paid</w:t>
      </w:r>
      <w:r w:rsidR="005A2E06" w:rsidRPr="00FB1CBD">
        <w:rPr>
          <w:rFonts w:cs="Arial"/>
        </w:rPr>
        <w:t xml:space="preserve"> for</w:t>
      </w:r>
      <w:r w:rsidR="0077027B" w:rsidRPr="00FB1CBD">
        <w:rPr>
          <w:rFonts w:cs="Arial"/>
        </w:rPr>
        <w:t xml:space="preserve"> through a preauthorized payment process.</w:t>
      </w:r>
      <w:r w:rsidR="00991305" w:rsidRPr="00FB1CBD">
        <w:rPr>
          <w:rFonts w:cs="Arial"/>
        </w:rPr>
        <w:t xml:space="preserve"> </w:t>
      </w:r>
      <w:r w:rsidRPr="00FB1CBD">
        <w:rPr>
          <w:rFonts w:cs="Arial"/>
        </w:rPr>
        <w:t xml:space="preserve"> As a result, we estimated that DCH improperly paid providers $14</w:t>
      </w:r>
      <w:r w:rsidR="008C5425">
        <w:rPr>
          <w:rFonts w:cs="Arial"/>
        </w:rPr>
        <w:t>6.4</w:t>
      </w:r>
      <w:r w:rsidRPr="00FB1CBD">
        <w:rPr>
          <w:rFonts w:cs="Arial"/>
        </w:rPr>
        <w:t xml:space="preserve"> million</w:t>
      </w:r>
      <w:bookmarkStart w:id="1" w:name="TMB2093402690"/>
      <w:bookmarkEnd w:id="1"/>
      <w:r w:rsidRPr="00FB1CBD">
        <w:rPr>
          <w:rFonts w:cs="Arial"/>
        </w:rPr>
        <w:t xml:space="preserve"> ($49.</w:t>
      </w:r>
      <w:r w:rsidR="008C5425">
        <w:rPr>
          <w:rFonts w:cs="Arial"/>
        </w:rPr>
        <w:t>6</w:t>
      </w:r>
      <w:r w:rsidRPr="00FB1CBD">
        <w:rPr>
          <w:rFonts w:cs="Arial"/>
        </w:rPr>
        <w:t xml:space="preserve"> million General Fund/general purpose) from October 1, 2010 through February 28, 2013. </w:t>
      </w:r>
      <w:r w:rsidR="004B2D9C">
        <w:rPr>
          <w:rFonts w:cs="Arial"/>
        </w:rPr>
        <w:t xml:space="preserve"> </w:t>
      </w:r>
      <w:r w:rsidRPr="00FB1CBD">
        <w:rPr>
          <w:rFonts w:cs="Arial"/>
        </w:rPr>
        <w:t xml:space="preserve">Consequently, CMS may require DCH to repay the federal share. </w:t>
      </w:r>
    </w:p>
    <w:p w:rsidR="00591604" w:rsidRDefault="00591604" w:rsidP="00F84A56">
      <w:pPr>
        <w:overflowPunct/>
        <w:autoSpaceDE/>
        <w:autoSpaceDN/>
        <w:adjustRightInd/>
        <w:spacing w:line="300" w:lineRule="auto"/>
        <w:textAlignment w:val="auto"/>
        <w:rPr>
          <w:rFonts w:cs="Arial"/>
        </w:rPr>
      </w:pPr>
    </w:p>
    <w:p w:rsidR="00893F75" w:rsidRPr="00FB1CBD" w:rsidRDefault="00893F75" w:rsidP="00F84A56">
      <w:pPr>
        <w:overflowPunct/>
        <w:autoSpaceDE/>
        <w:autoSpaceDN/>
        <w:adjustRightInd/>
        <w:spacing w:line="300" w:lineRule="auto"/>
        <w:ind w:left="504"/>
        <w:jc w:val="both"/>
        <w:textAlignment w:val="auto"/>
        <w:rPr>
          <w:rFonts w:cs="Arial"/>
        </w:rPr>
      </w:pPr>
      <w:r w:rsidRPr="00FB1CBD">
        <w:rPr>
          <w:rFonts w:cs="Arial"/>
        </w:rPr>
        <w:t xml:space="preserve">The Improper Payments Elimination and Recovery Act of 2012 defines situations that constitute improper payments, one of which is </w:t>
      </w:r>
      <w:r w:rsidR="004B2D9C">
        <w:rPr>
          <w:rFonts w:cs="Arial"/>
        </w:rPr>
        <w:t xml:space="preserve">a </w:t>
      </w:r>
      <w:r w:rsidRPr="00FB1CBD">
        <w:rPr>
          <w:rFonts w:cs="Arial"/>
        </w:rPr>
        <w:t>lack of documentation to support a payment.</w:t>
      </w:r>
      <w:r w:rsidR="009F17B4" w:rsidRPr="00FB1CBD">
        <w:rPr>
          <w:rFonts w:cs="Arial"/>
        </w:rPr>
        <w:t xml:space="preserve"> </w:t>
      </w:r>
      <w:r w:rsidRPr="00FB1CBD">
        <w:rPr>
          <w:rFonts w:cs="Arial"/>
        </w:rPr>
        <w:t xml:space="preserve"> In this situation, services may have been provided</w:t>
      </w:r>
      <w:r w:rsidR="004B2D9C">
        <w:rPr>
          <w:rFonts w:cs="Arial"/>
        </w:rPr>
        <w:t>;</w:t>
      </w:r>
      <w:r w:rsidRPr="00FB1CBD">
        <w:rPr>
          <w:rFonts w:cs="Arial"/>
        </w:rPr>
        <w:t xml:space="preserve"> however, because the documentation is not available to support that assertion, the payment is deemed improper and therefor</w:t>
      </w:r>
      <w:r w:rsidR="00AA08CB" w:rsidRPr="00FB1CBD">
        <w:rPr>
          <w:rFonts w:cs="Arial"/>
        </w:rPr>
        <w:t>e</w:t>
      </w:r>
      <w:r w:rsidRPr="00FB1CBD">
        <w:rPr>
          <w:rFonts w:cs="Arial"/>
        </w:rPr>
        <w:t xml:space="preserve"> unallowable under federal program guidelines. </w:t>
      </w:r>
      <w:r w:rsidR="009F17B4" w:rsidRPr="00FB1CBD">
        <w:rPr>
          <w:rFonts w:cs="Arial"/>
        </w:rPr>
        <w:t xml:space="preserve"> </w:t>
      </w:r>
    </w:p>
    <w:p w:rsidR="00570A67" w:rsidRPr="00FB1CBD" w:rsidRDefault="00570A67" w:rsidP="00F84A56">
      <w:pPr>
        <w:spacing w:line="300" w:lineRule="auto"/>
        <w:ind w:left="504"/>
        <w:jc w:val="both"/>
        <w:rPr>
          <w:rFonts w:cs="Arial"/>
        </w:rPr>
      </w:pPr>
    </w:p>
    <w:p w:rsidR="00800827" w:rsidRPr="00FB1CBD" w:rsidRDefault="00800827" w:rsidP="00F84A56">
      <w:pPr>
        <w:spacing w:line="300" w:lineRule="auto"/>
        <w:ind w:left="504"/>
        <w:jc w:val="both"/>
        <w:rPr>
          <w:rFonts w:cs="Arial"/>
        </w:rPr>
      </w:pPr>
      <w:r w:rsidRPr="00FB1CBD">
        <w:rPr>
          <w:rFonts w:cs="Arial"/>
        </w:rPr>
        <w:t>ASW</w:t>
      </w:r>
      <w:r w:rsidR="004B2D9C">
        <w:rPr>
          <w:rFonts w:cs="Arial"/>
        </w:rPr>
        <w:t>s</w:t>
      </w:r>
      <w:r w:rsidRPr="00FB1CBD">
        <w:rPr>
          <w:rFonts w:cs="Arial"/>
        </w:rPr>
        <w:t xml:space="preserve"> preauthorized </w:t>
      </w:r>
      <w:r w:rsidR="002B20C5" w:rsidRPr="00FB1CBD">
        <w:rPr>
          <w:rFonts w:cs="Arial"/>
        </w:rPr>
        <w:t xml:space="preserve">monthly </w:t>
      </w:r>
      <w:r w:rsidRPr="00FB1CBD">
        <w:rPr>
          <w:rFonts w:cs="Arial"/>
        </w:rPr>
        <w:t xml:space="preserve">payments for up to 13 months for most </w:t>
      </w:r>
      <w:r w:rsidR="00A707F8">
        <w:rPr>
          <w:rFonts w:cs="Arial"/>
        </w:rPr>
        <w:t>HHP</w:t>
      </w:r>
      <w:r w:rsidR="004B2D9C">
        <w:rPr>
          <w:rFonts w:cs="Arial"/>
        </w:rPr>
        <w:t xml:space="preserve"> </w:t>
      </w:r>
      <w:r w:rsidRPr="00FB1CBD">
        <w:rPr>
          <w:rFonts w:cs="Arial"/>
        </w:rPr>
        <w:t>individual providers and some agency providers.  DCH makes payments to these providers in the amount of the monthly preauthorization for services schedule</w:t>
      </w:r>
      <w:r w:rsidR="00413EB7" w:rsidRPr="00FB1CBD">
        <w:rPr>
          <w:rFonts w:cs="Arial"/>
        </w:rPr>
        <w:t>d</w:t>
      </w:r>
      <w:r w:rsidRPr="00FB1CBD">
        <w:rPr>
          <w:rFonts w:cs="Arial"/>
        </w:rPr>
        <w:t xml:space="preserve"> for delivery during the preceding month. </w:t>
      </w:r>
      <w:r w:rsidR="00591604">
        <w:rPr>
          <w:rFonts w:cs="Arial"/>
        </w:rPr>
        <w:t xml:space="preserve"> </w:t>
      </w:r>
      <w:r w:rsidRPr="00FB1CBD">
        <w:rPr>
          <w:rFonts w:cs="Arial"/>
        </w:rPr>
        <w:t>Adult Services Manual</w:t>
      </w:r>
      <w:r w:rsidR="00FB0728">
        <w:rPr>
          <w:rFonts w:cs="Arial"/>
        </w:rPr>
        <w:t>*</w:t>
      </w:r>
      <w:r w:rsidRPr="00FB1CBD">
        <w:rPr>
          <w:rFonts w:cs="Arial"/>
        </w:rPr>
        <w:t xml:space="preserve"> (ASM) 135 requires providers to prepare and submit a service log or invoice within 10 days of the last service date for each quarterly period.  As a result</w:t>
      </w:r>
      <w:r w:rsidR="002B20C5" w:rsidRPr="00FB1CBD">
        <w:rPr>
          <w:rFonts w:cs="Arial"/>
        </w:rPr>
        <w:t>, service</w:t>
      </w:r>
      <w:r w:rsidRPr="00FB1CBD">
        <w:rPr>
          <w:rFonts w:cs="Arial"/>
        </w:rPr>
        <w:t xml:space="preserve"> providers receive three monthly payments </w:t>
      </w:r>
      <w:r w:rsidR="002B20C5" w:rsidRPr="00FB1CBD">
        <w:rPr>
          <w:rFonts w:cs="Arial"/>
        </w:rPr>
        <w:t xml:space="preserve">prior to </w:t>
      </w:r>
      <w:r w:rsidRPr="00FB1CBD">
        <w:rPr>
          <w:rFonts w:cs="Arial"/>
        </w:rPr>
        <w:t>submit</w:t>
      </w:r>
      <w:r w:rsidR="002B20C5" w:rsidRPr="00FB1CBD">
        <w:rPr>
          <w:rFonts w:cs="Arial"/>
        </w:rPr>
        <w:t>ting</w:t>
      </w:r>
      <w:r w:rsidRPr="00FB1CBD">
        <w:rPr>
          <w:rFonts w:cs="Arial"/>
        </w:rPr>
        <w:t xml:space="preserve"> a </w:t>
      </w:r>
      <w:r w:rsidR="002B20C5" w:rsidRPr="00FB1CBD">
        <w:rPr>
          <w:rFonts w:cs="Arial"/>
        </w:rPr>
        <w:t xml:space="preserve">quarterly </w:t>
      </w:r>
      <w:r w:rsidRPr="00FB1CBD">
        <w:rPr>
          <w:rFonts w:cs="Arial"/>
        </w:rPr>
        <w:t xml:space="preserve">provider </w:t>
      </w:r>
      <w:r w:rsidR="004B2D9C">
        <w:rPr>
          <w:rFonts w:cs="Arial"/>
        </w:rPr>
        <w:t xml:space="preserve">service </w:t>
      </w:r>
      <w:r w:rsidRPr="00FB1CBD">
        <w:rPr>
          <w:rFonts w:cs="Arial"/>
        </w:rPr>
        <w:t>log certify</w:t>
      </w:r>
      <w:r w:rsidR="001A05F5" w:rsidRPr="00FB1CBD">
        <w:rPr>
          <w:rFonts w:cs="Arial"/>
        </w:rPr>
        <w:t>ing</w:t>
      </w:r>
      <w:r w:rsidRPr="00FB1CBD">
        <w:rPr>
          <w:rFonts w:cs="Arial"/>
        </w:rPr>
        <w:t xml:space="preserve"> that </w:t>
      </w:r>
      <w:r w:rsidR="002B20C5" w:rsidRPr="00FB1CBD">
        <w:rPr>
          <w:rFonts w:cs="Arial"/>
        </w:rPr>
        <w:t xml:space="preserve">the </w:t>
      </w:r>
      <w:r w:rsidRPr="00FB1CBD">
        <w:rPr>
          <w:rFonts w:cs="Arial"/>
        </w:rPr>
        <w:t>service</w:t>
      </w:r>
      <w:r w:rsidR="00413EB7" w:rsidRPr="00FB1CBD">
        <w:rPr>
          <w:rFonts w:cs="Arial"/>
        </w:rPr>
        <w:t>s were provided during that</w:t>
      </w:r>
      <w:r w:rsidR="004B2D9C">
        <w:rPr>
          <w:rFonts w:cs="Arial"/>
        </w:rPr>
        <w:t xml:space="preserve"> preceding three-</w:t>
      </w:r>
      <w:r w:rsidRPr="00FB1CBD">
        <w:rPr>
          <w:rFonts w:cs="Arial"/>
        </w:rPr>
        <w:t xml:space="preserve">month period. </w:t>
      </w:r>
    </w:p>
    <w:p w:rsidR="00800827" w:rsidRPr="00FB1CBD" w:rsidRDefault="00800827" w:rsidP="00F84A56">
      <w:pPr>
        <w:spacing w:line="300" w:lineRule="auto"/>
        <w:ind w:left="504"/>
        <w:jc w:val="both"/>
        <w:rPr>
          <w:rFonts w:cs="Arial"/>
        </w:rPr>
      </w:pPr>
    </w:p>
    <w:p w:rsidR="00BD709D" w:rsidRDefault="00893F75" w:rsidP="00F84A56">
      <w:pPr>
        <w:spacing w:line="300" w:lineRule="auto"/>
        <w:ind w:left="504"/>
        <w:jc w:val="both"/>
        <w:rPr>
          <w:rFonts w:cs="Arial"/>
        </w:rPr>
      </w:pPr>
      <w:r w:rsidRPr="00FB1CBD">
        <w:rPr>
          <w:rFonts w:cs="Arial"/>
        </w:rPr>
        <w:t xml:space="preserve">We </w:t>
      </w:r>
      <w:r w:rsidR="00273A2C" w:rsidRPr="00FB1CBD">
        <w:rPr>
          <w:rFonts w:cs="Arial"/>
        </w:rPr>
        <w:t xml:space="preserve">utilized a </w:t>
      </w:r>
      <w:proofErr w:type="spellStart"/>
      <w:r w:rsidR="00273A2C" w:rsidRPr="00FB1CBD">
        <w:rPr>
          <w:rFonts w:cs="Arial"/>
        </w:rPr>
        <w:t>nonstatistical</w:t>
      </w:r>
      <w:proofErr w:type="spellEnd"/>
      <w:r w:rsidR="00273A2C" w:rsidRPr="00FB1CBD">
        <w:rPr>
          <w:rFonts w:cs="Arial"/>
        </w:rPr>
        <w:t xml:space="preserve"> sampling </w:t>
      </w:r>
      <w:r w:rsidR="00CD2B32" w:rsidRPr="00FB1CBD">
        <w:rPr>
          <w:rFonts w:cs="Arial"/>
        </w:rPr>
        <w:t>methodology to</w:t>
      </w:r>
      <w:r w:rsidR="00413EB7" w:rsidRPr="00FB1CBD">
        <w:rPr>
          <w:rFonts w:cs="Arial"/>
        </w:rPr>
        <w:t xml:space="preserve"> randomly select 149 clients </w:t>
      </w:r>
      <w:r w:rsidRPr="00FB1CBD">
        <w:rPr>
          <w:rFonts w:cs="Arial"/>
        </w:rPr>
        <w:t>from 9 selected counties for the period October 1, 2010 through February 28, 2013</w:t>
      </w:r>
      <w:r w:rsidR="00CD2B32" w:rsidRPr="00FB1CBD">
        <w:rPr>
          <w:rFonts w:cs="Arial"/>
        </w:rPr>
        <w:t xml:space="preserve"> (see </w:t>
      </w:r>
      <w:r w:rsidR="00D3598F">
        <w:rPr>
          <w:rFonts w:cs="Arial"/>
        </w:rPr>
        <w:t>s</w:t>
      </w:r>
      <w:r w:rsidR="00D3598F" w:rsidRPr="00FB1CBD">
        <w:t xml:space="preserve">ampling </w:t>
      </w:r>
      <w:r w:rsidR="00D3598F">
        <w:t>m</w:t>
      </w:r>
      <w:r w:rsidR="00D3598F" w:rsidRPr="00FB1CBD">
        <w:t xml:space="preserve">ethodology for review of provider </w:t>
      </w:r>
      <w:r w:rsidR="00052AA9">
        <w:t xml:space="preserve">service </w:t>
      </w:r>
      <w:r w:rsidR="00D3598F" w:rsidRPr="00FB1CBD">
        <w:t>logs or invoices, re</w:t>
      </w:r>
      <w:r w:rsidR="00D3598F">
        <w:t>quired client and provider contacts</w:t>
      </w:r>
      <w:r w:rsidR="00D3598F" w:rsidRPr="00FB1CBD">
        <w:t xml:space="preserve">, </w:t>
      </w:r>
      <w:r w:rsidR="00D3598F">
        <w:t xml:space="preserve">client </w:t>
      </w:r>
      <w:r w:rsidR="00D3598F" w:rsidRPr="00FB1CBD">
        <w:t>case files, and referral of suspected client and provider fraud</w:t>
      </w:r>
      <w:r w:rsidR="00D3598F">
        <w:t>s</w:t>
      </w:r>
      <w:r w:rsidR="00CD2B32" w:rsidRPr="00FB1CBD">
        <w:rPr>
          <w:rFonts w:cs="Arial"/>
        </w:rPr>
        <w:t>)</w:t>
      </w:r>
      <w:r w:rsidRPr="00FB1CBD">
        <w:rPr>
          <w:rFonts w:cs="Arial"/>
        </w:rPr>
        <w:t xml:space="preserve">. </w:t>
      </w:r>
      <w:r w:rsidR="009F17B4" w:rsidRPr="00FB1CBD">
        <w:rPr>
          <w:rFonts w:cs="Arial"/>
        </w:rPr>
        <w:t xml:space="preserve"> </w:t>
      </w:r>
      <w:r w:rsidRPr="00FB1CBD">
        <w:rPr>
          <w:rFonts w:cs="Arial"/>
        </w:rPr>
        <w:t>The 9</w:t>
      </w:r>
      <w:r w:rsidR="00D3598F">
        <w:rPr>
          <w:rFonts w:cs="Arial"/>
        </w:rPr>
        <w:t xml:space="preserve"> </w:t>
      </w:r>
      <w:r w:rsidRPr="00FB1CBD">
        <w:rPr>
          <w:rFonts w:cs="Arial"/>
        </w:rPr>
        <w:t xml:space="preserve">selected counties </w:t>
      </w:r>
      <w:r w:rsidR="00566A85" w:rsidRPr="00FB1CBD">
        <w:rPr>
          <w:rFonts w:cs="Arial"/>
        </w:rPr>
        <w:t>served 57,2</w:t>
      </w:r>
      <w:r w:rsidR="004B2D9C">
        <w:rPr>
          <w:rFonts w:cs="Arial"/>
        </w:rPr>
        <w:t>2</w:t>
      </w:r>
      <w:r w:rsidR="00566A85" w:rsidRPr="00FB1CBD">
        <w:rPr>
          <w:rFonts w:cs="Arial"/>
        </w:rPr>
        <w:t xml:space="preserve">7 </w:t>
      </w:r>
      <w:r w:rsidR="004B2D9C" w:rsidRPr="00FB1CBD">
        <w:rPr>
          <w:rFonts w:cs="Arial"/>
        </w:rPr>
        <w:t>(69.1%)</w:t>
      </w:r>
      <w:r w:rsidR="004B2D9C">
        <w:rPr>
          <w:rFonts w:cs="Arial"/>
        </w:rPr>
        <w:t xml:space="preserve"> </w:t>
      </w:r>
      <w:r w:rsidR="00566A85" w:rsidRPr="00FB1CBD">
        <w:rPr>
          <w:rFonts w:cs="Arial"/>
        </w:rPr>
        <w:t xml:space="preserve">of the 82,781 clients </w:t>
      </w:r>
      <w:r w:rsidR="004B2D9C">
        <w:rPr>
          <w:rFonts w:cs="Arial"/>
        </w:rPr>
        <w:t>S</w:t>
      </w:r>
      <w:r w:rsidR="00566A85" w:rsidRPr="00FB1CBD">
        <w:rPr>
          <w:rFonts w:cs="Arial"/>
        </w:rPr>
        <w:t xml:space="preserve">tatewide and </w:t>
      </w:r>
      <w:r w:rsidR="00BD709D">
        <w:rPr>
          <w:rFonts w:cs="Arial"/>
        </w:rPr>
        <w:t xml:space="preserve">represented $431.6 </w:t>
      </w:r>
      <w:r w:rsidRPr="00FB1CBD">
        <w:rPr>
          <w:rFonts w:cs="Arial"/>
        </w:rPr>
        <w:t>million (68.8%) of the $627.6 million</w:t>
      </w:r>
      <w:bookmarkStart w:id="2" w:name="TMB1292760937"/>
      <w:bookmarkEnd w:id="2"/>
      <w:r w:rsidRPr="00FB1CBD">
        <w:rPr>
          <w:rFonts w:cs="Arial"/>
        </w:rPr>
        <w:t xml:space="preserve"> </w:t>
      </w:r>
      <w:bookmarkStart w:id="3" w:name="TMB964629626"/>
      <w:bookmarkEnd w:id="3"/>
      <w:r w:rsidRPr="00FB1CBD">
        <w:rPr>
          <w:rFonts w:cs="Arial"/>
        </w:rPr>
        <w:t xml:space="preserve">in </w:t>
      </w:r>
      <w:r w:rsidR="00BD709D">
        <w:rPr>
          <w:rFonts w:cs="Arial"/>
        </w:rPr>
        <w:br/>
      </w:r>
    </w:p>
    <w:p w:rsidR="00BD709D" w:rsidRPr="00591604" w:rsidRDefault="00BD709D" w:rsidP="00BD709D">
      <w:pPr>
        <w:overflowPunct/>
        <w:autoSpaceDE/>
        <w:autoSpaceDN/>
        <w:adjustRightInd/>
        <w:spacing w:line="300" w:lineRule="auto"/>
        <w:jc w:val="both"/>
        <w:textAlignment w:val="auto"/>
        <w:rPr>
          <w:rFonts w:cs="Arial"/>
          <w:sz w:val="20"/>
          <w:szCs w:val="20"/>
        </w:rPr>
      </w:pPr>
      <w:r w:rsidRPr="00591604">
        <w:rPr>
          <w:rFonts w:cs="Arial"/>
          <w:i/>
          <w:sz w:val="20"/>
          <w:szCs w:val="20"/>
        </w:rPr>
        <w:t xml:space="preserve">*  See glossary at end of report for definition.  </w:t>
      </w:r>
      <w:r w:rsidRPr="00591604">
        <w:rPr>
          <w:rFonts w:cs="Arial"/>
          <w:sz w:val="20"/>
          <w:szCs w:val="20"/>
        </w:rPr>
        <w:br w:type="page"/>
      </w:r>
    </w:p>
    <w:p w:rsidR="00893F75" w:rsidRPr="00FB1CBD" w:rsidRDefault="00A707F8" w:rsidP="00F84A56">
      <w:pPr>
        <w:spacing w:line="300" w:lineRule="auto"/>
        <w:ind w:left="504"/>
        <w:jc w:val="both"/>
        <w:rPr>
          <w:rFonts w:cs="Arial"/>
        </w:rPr>
      </w:pPr>
      <w:r>
        <w:rPr>
          <w:rFonts w:cs="Arial"/>
        </w:rPr>
        <w:lastRenderedPageBreak/>
        <w:t>HHP</w:t>
      </w:r>
      <w:r w:rsidR="00893F75" w:rsidRPr="00FB1CBD">
        <w:rPr>
          <w:rFonts w:cs="Arial"/>
        </w:rPr>
        <w:t xml:space="preserve"> payments for the cited period. </w:t>
      </w:r>
      <w:r w:rsidR="00413EB7" w:rsidRPr="00FB1CBD">
        <w:rPr>
          <w:rFonts w:cs="Arial"/>
        </w:rPr>
        <w:t xml:space="preserve"> We then reviewed provider service log or invoice activity for the 149 selected clients over the sampled period.  </w:t>
      </w:r>
      <w:r w:rsidR="00CD2B32" w:rsidRPr="00FB1CBD">
        <w:rPr>
          <w:rFonts w:cs="Arial"/>
        </w:rPr>
        <w:t xml:space="preserve">The </w:t>
      </w:r>
      <w:r w:rsidR="00413EB7" w:rsidRPr="00FB1CBD">
        <w:rPr>
          <w:rFonts w:cs="Arial"/>
        </w:rPr>
        <w:t>clients</w:t>
      </w:r>
      <w:r w:rsidR="00F305E9">
        <w:rPr>
          <w:rFonts w:cs="Arial"/>
        </w:rPr>
        <w:t>'</w:t>
      </w:r>
      <w:r w:rsidR="00413EB7" w:rsidRPr="00FB1CBD">
        <w:rPr>
          <w:rFonts w:cs="Arial"/>
        </w:rPr>
        <w:t xml:space="preserve"> </w:t>
      </w:r>
      <w:r w:rsidR="00CD2B32" w:rsidRPr="00FB1CBD">
        <w:rPr>
          <w:rFonts w:cs="Arial"/>
        </w:rPr>
        <w:t xml:space="preserve">providers in these 9 counties were required to submit over 1.0 million provider service logs or invoices during the cited period.  </w:t>
      </w:r>
      <w:r w:rsidR="00413EB7" w:rsidRPr="00FB1CBD">
        <w:rPr>
          <w:rFonts w:cs="Arial"/>
        </w:rPr>
        <w:t xml:space="preserve">The </w:t>
      </w:r>
      <w:r w:rsidR="00DF1ED3" w:rsidRPr="00FB1CBD">
        <w:rPr>
          <w:rFonts w:cs="Arial"/>
        </w:rPr>
        <w:t xml:space="preserve">providers </w:t>
      </w:r>
      <w:r w:rsidR="00DF1ED3">
        <w:rPr>
          <w:rFonts w:cs="Arial"/>
        </w:rPr>
        <w:t xml:space="preserve">of the </w:t>
      </w:r>
      <w:r w:rsidR="00413EB7" w:rsidRPr="00FB1CBD">
        <w:rPr>
          <w:rFonts w:cs="Arial"/>
        </w:rPr>
        <w:t xml:space="preserve">149 </w:t>
      </w:r>
      <w:r w:rsidR="00DF1ED3">
        <w:rPr>
          <w:rFonts w:cs="Arial"/>
        </w:rPr>
        <w:t>c</w:t>
      </w:r>
      <w:r w:rsidR="00413EB7" w:rsidRPr="00FB1CBD">
        <w:rPr>
          <w:rFonts w:cs="Arial"/>
        </w:rPr>
        <w:t xml:space="preserve">lients </w:t>
      </w:r>
      <w:r w:rsidR="0050119E" w:rsidRPr="00FB1CBD">
        <w:rPr>
          <w:rFonts w:cs="Arial"/>
        </w:rPr>
        <w:t xml:space="preserve">were required to submit 3,047 provider </w:t>
      </w:r>
      <w:r w:rsidR="00DF1ED3">
        <w:rPr>
          <w:rFonts w:cs="Arial"/>
        </w:rPr>
        <w:t xml:space="preserve">service </w:t>
      </w:r>
      <w:r w:rsidR="00413EB7" w:rsidRPr="00FB1CBD">
        <w:rPr>
          <w:rFonts w:cs="Arial"/>
        </w:rPr>
        <w:t xml:space="preserve">logs or invoices and DCH made </w:t>
      </w:r>
      <w:r>
        <w:rPr>
          <w:rFonts w:cs="Arial"/>
        </w:rPr>
        <w:t>HHP</w:t>
      </w:r>
      <w:r w:rsidR="00DF1ED3">
        <w:rPr>
          <w:rFonts w:cs="Arial"/>
        </w:rPr>
        <w:t xml:space="preserve"> </w:t>
      </w:r>
      <w:r w:rsidR="00CD2B32" w:rsidRPr="00FB1CBD">
        <w:rPr>
          <w:rFonts w:cs="Arial"/>
        </w:rPr>
        <w:t xml:space="preserve">payments </w:t>
      </w:r>
      <w:r w:rsidR="0077027B" w:rsidRPr="00FB1CBD">
        <w:rPr>
          <w:rFonts w:cs="Arial"/>
        </w:rPr>
        <w:t>totaling</w:t>
      </w:r>
      <w:r w:rsidR="009F17B4" w:rsidRPr="00FB1CBD">
        <w:rPr>
          <w:rFonts w:cs="Arial"/>
        </w:rPr>
        <w:t xml:space="preserve"> $1.1</w:t>
      </w:r>
      <w:r w:rsidR="0050119E">
        <w:rPr>
          <w:rFonts w:cs="Arial"/>
        </w:rPr>
        <w:t xml:space="preserve"> </w:t>
      </w:r>
      <w:r w:rsidR="00CD2B32" w:rsidRPr="00FB1CBD">
        <w:rPr>
          <w:rFonts w:cs="Arial"/>
        </w:rPr>
        <w:t>million</w:t>
      </w:r>
      <w:r w:rsidR="00413EB7" w:rsidRPr="00FB1CBD">
        <w:rPr>
          <w:rFonts w:cs="Arial"/>
        </w:rPr>
        <w:t xml:space="preserve"> to those providers</w:t>
      </w:r>
      <w:r w:rsidR="00CD2B32" w:rsidRPr="00FB1CBD">
        <w:rPr>
          <w:rFonts w:cs="Arial"/>
        </w:rPr>
        <w:t>.</w:t>
      </w:r>
      <w:r w:rsidR="00893F75" w:rsidRPr="00FB1CBD">
        <w:rPr>
          <w:rFonts w:cs="Arial"/>
        </w:rPr>
        <w:t xml:space="preserve"> </w:t>
      </w:r>
      <w:r w:rsidR="009F17B4" w:rsidRPr="00FB1CBD">
        <w:rPr>
          <w:rFonts w:cs="Arial"/>
        </w:rPr>
        <w:t xml:space="preserve"> </w:t>
      </w:r>
      <w:r w:rsidR="00893F75" w:rsidRPr="00FB1CBD">
        <w:rPr>
          <w:rFonts w:cs="Arial"/>
        </w:rPr>
        <w:t>Our review disclosed:</w:t>
      </w:r>
    </w:p>
    <w:p w:rsidR="00893F75" w:rsidRPr="00FB1CBD" w:rsidRDefault="00893F75" w:rsidP="00F84A56">
      <w:pPr>
        <w:spacing w:line="300" w:lineRule="auto"/>
        <w:ind w:left="504"/>
        <w:jc w:val="both"/>
        <w:rPr>
          <w:rFonts w:cs="Arial"/>
        </w:rPr>
      </w:pPr>
    </w:p>
    <w:p w:rsidR="00570A67" w:rsidRPr="00FB1CBD" w:rsidRDefault="00893F75" w:rsidP="00027935">
      <w:pPr>
        <w:pStyle w:val="ListParagraph"/>
        <w:numPr>
          <w:ilvl w:val="0"/>
          <w:numId w:val="21"/>
        </w:numPr>
        <w:overflowPunct/>
        <w:autoSpaceDE/>
        <w:autoSpaceDN/>
        <w:adjustRightInd/>
        <w:spacing w:line="300" w:lineRule="auto"/>
        <w:ind w:left="1008" w:hanging="504"/>
        <w:jc w:val="both"/>
        <w:textAlignment w:val="auto"/>
        <w:rPr>
          <w:rFonts w:cs="Arial"/>
        </w:rPr>
      </w:pPr>
      <w:r w:rsidRPr="00FB1CBD">
        <w:rPr>
          <w:rFonts w:cs="Arial"/>
        </w:rPr>
        <w:t xml:space="preserve">DCH and DHS did not have provider service </w:t>
      </w:r>
      <w:r w:rsidR="009F17B4" w:rsidRPr="00FB1CBD">
        <w:rPr>
          <w:rFonts w:cs="Arial"/>
        </w:rPr>
        <w:t>logs or invoices to support 899 </w:t>
      </w:r>
      <w:r w:rsidRPr="00FB1CBD">
        <w:rPr>
          <w:rFonts w:cs="Arial"/>
        </w:rPr>
        <w:t xml:space="preserve">(29.5%) </w:t>
      </w:r>
      <w:bookmarkStart w:id="4" w:name="TMB15147243"/>
      <w:bookmarkEnd w:id="4"/>
      <w:r w:rsidRPr="00FB1CBD">
        <w:rPr>
          <w:rFonts w:cs="Arial"/>
        </w:rPr>
        <w:t xml:space="preserve">of the required 3,047 monthly payments </w:t>
      </w:r>
      <w:r w:rsidR="00B82C7E" w:rsidRPr="00FB1CBD">
        <w:rPr>
          <w:rFonts w:cs="Arial"/>
        </w:rPr>
        <w:t xml:space="preserve">made to the </w:t>
      </w:r>
      <w:r w:rsidR="00DF1ED3">
        <w:rPr>
          <w:rFonts w:cs="Arial"/>
        </w:rPr>
        <w:t xml:space="preserve">providers of the </w:t>
      </w:r>
      <w:r w:rsidR="00B82C7E" w:rsidRPr="00FB1CBD">
        <w:rPr>
          <w:rFonts w:cs="Arial"/>
        </w:rPr>
        <w:t>149 randomly selected clients</w:t>
      </w:r>
      <w:r w:rsidR="00CD2B32" w:rsidRPr="00FB1CBD">
        <w:rPr>
          <w:rFonts w:cs="Arial"/>
        </w:rPr>
        <w:t xml:space="preserve"> </w:t>
      </w:r>
      <w:r w:rsidRPr="00FB1CBD">
        <w:rPr>
          <w:rFonts w:cs="Arial"/>
        </w:rPr>
        <w:t xml:space="preserve">(see </w:t>
      </w:r>
      <w:r w:rsidR="00DF1ED3">
        <w:rPr>
          <w:rFonts w:cs="Arial"/>
        </w:rPr>
        <w:t>E</w:t>
      </w:r>
      <w:r w:rsidRPr="00FB1CBD">
        <w:rPr>
          <w:rFonts w:cs="Arial"/>
        </w:rPr>
        <w:t xml:space="preserve">xhibit 4 for exceptions by county). </w:t>
      </w:r>
    </w:p>
    <w:p w:rsidR="00570A67" w:rsidRPr="00FB1CBD" w:rsidRDefault="00570A67" w:rsidP="00F84A56">
      <w:pPr>
        <w:overflowPunct/>
        <w:autoSpaceDE/>
        <w:autoSpaceDN/>
        <w:adjustRightInd/>
        <w:spacing w:line="300" w:lineRule="auto"/>
        <w:ind w:left="1008"/>
        <w:jc w:val="both"/>
        <w:textAlignment w:val="auto"/>
        <w:rPr>
          <w:rFonts w:cs="Arial"/>
        </w:rPr>
      </w:pPr>
    </w:p>
    <w:p w:rsidR="00F756EC" w:rsidRPr="00FB1CBD" w:rsidRDefault="00893F75" w:rsidP="00F84A56">
      <w:pPr>
        <w:overflowPunct/>
        <w:autoSpaceDE/>
        <w:autoSpaceDN/>
        <w:adjustRightInd/>
        <w:spacing w:line="300" w:lineRule="auto"/>
        <w:ind w:left="1008"/>
        <w:jc w:val="both"/>
        <w:textAlignment w:val="auto"/>
        <w:rPr>
          <w:rFonts w:cs="Arial"/>
        </w:rPr>
      </w:pPr>
      <w:r w:rsidRPr="00FB1CBD">
        <w:rPr>
          <w:rFonts w:cs="Arial"/>
        </w:rPr>
        <w:t xml:space="preserve">The known improper payments associated with the 899 missing provider service logs or invoices totaled $331,244 </w:t>
      </w:r>
      <w:bookmarkStart w:id="5" w:name="TMB942348149"/>
      <w:bookmarkEnd w:id="5"/>
      <w:r w:rsidRPr="00FB1CBD">
        <w:rPr>
          <w:rFonts w:cs="Arial"/>
        </w:rPr>
        <w:t xml:space="preserve">($112,259 General </w:t>
      </w:r>
      <w:r w:rsidR="00DF1ED3">
        <w:rPr>
          <w:rFonts w:cs="Arial"/>
        </w:rPr>
        <w:t>F</w:t>
      </w:r>
      <w:r w:rsidRPr="00FB1CBD">
        <w:rPr>
          <w:rFonts w:cs="Arial"/>
        </w:rPr>
        <w:t>und/general purpose).</w:t>
      </w:r>
      <w:bookmarkStart w:id="6" w:name="TMB1377990059"/>
      <w:bookmarkEnd w:id="6"/>
      <w:r w:rsidR="009F17B4" w:rsidRPr="00FB1CBD">
        <w:rPr>
          <w:rFonts w:cs="Arial"/>
        </w:rPr>
        <w:t xml:space="preserve"> </w:t>
      </w:r>
      <w:r w:rsidR="00DF1ED3">
        <w:rPr>
          <w:rFonts w:cs="Arial"/>
        </w:rPr>
        <w:t xml:space="preserve"> We performed a </w:t>
      </w:r>
      <w:proofErr w:type="spellStart"/>
      <w:r w:rsidR="00DF1ED3">
        <w:rPr>
          <w:rFonts w:cs="Arial"/>
        </w:rPr>
        <w:t>non</w:t>
      </w:r>
      <w:r w:rsidRPr="00FB1CBD">
        <w:rPr>
          <w:rFonts w:cs="Arial"/>
        </w:rPr>
        <w:t>statistical</w:t>
      </w:r>
      <w:proofErr w:type="spellEnd"/>
      <w:r w:rsidRPr="00FB1CBD">
        <w:rPr>
          <w:rFonts w:cs="Arial"/>
        </w:rPr>
        <w:t xml:space="preserve"> projection of the known improper payments in our sample into the population </w:t>
      </w:r>
      <w:r w:rsidR="008C5425">
        <w:rPr>
          <w:rFonts w:cs="Arial"/>
        </w:rPr>
        <w:t>of 1,170</w:t>
      </w:r>
      <w:r w:rsidR="00B82C7E" w:rsidRPr="00FB1CBD">
        <w:rPr>
          <w:rFonts w:cs="Arial"/>
        </w:rPr>
        <w:t>,2</w:t>
      </w:r>
      <w:r w:rsidR="008C5425">
        <w:rPr>
          <w:rFonts w:cs="Arial"/>
        </w:rPr>
        <w:t>73</w:t>
      </w:r>
      <w:r w:rsidR="00B82C7E" w:rsidRPr="00FB1CBD">
        <w:rPr>
          <w:rFonts w:cs="Arial"/>
        </w:rPr>
        <w:t xml:space="preserve"> provider </w:t>
      </w:r>
      <w:r w:rsidR="00DF1ED3">
        <w:rPr>
          <w:rFonts w:cs="Arial"/>
        </w:rPr>
        <w:t xml:space="preserve">service </w:t>
      </w:r>
      <w:r w:rsidR="00B82C7E" w:rsidRPr="00FB1CBD">
        <w:rPr>
          <w:rFonts w:cs="Arial"/>
        </w:rPr>
        <w:t>logs required for the 57,2</w:t>
      </w:r>
      <w:r w:rsidR="000A76CB">
        <w:rPr>
          <w:rFonts w:cs="Arial"/>
        </w:rPr>
        <w:t>2</w:t>
      </w:r>
      <w:r w:rsidR="00B82C7E" w:rsidRPr="00FB1CBD">
        <w:rPr>
          <w:rFonts w:cs="Arial"/>
        </w:rPr>
        <w:t xml:space="preserve">7 clients in </w:t>
      </w:r>
      <w:r w:rsidRPr="00FB1CBD">
        <w:rPr>
          <w:rFonts w:cs="Arial"/>
        </w:rPr>
        <w:t>the 9 counties subject to testing.</w:t>
      </w:r>
      <w:r w:rsidR="00DF1ED3">
        <w:rPr>
          <w:rFonts w:cs="Arial"/>
        </w:rPr>
        <w:t xml:space="preserve"> </w:t>
      </w:r>
      <w:r w:rsidR="00BD709D">
        <w:rPr>
          <w:rFonts w:cs="Arial"/>
        </w:rPr>
        <w:t xml:space="preserve"> </w:t>
      </w:r>
      <w:r w:rsidR="00DF1ED3">
        <w:rPr>
          <w:rFonts w:cs="Arial"/>
        </w:rPr>
        <w:t xml:space="preserve">If the </w:t>
      </w:r>
      <w:proofErr w:type="spellStart"/>
      <w:r w:rsidR="00DF1ED3">
        <w:rPr>
          <w:rFonts w:cs="Arial"/>
        </w:rPr>
        <w:t>non</w:t>
      </w:r>
      <w:r w:rsidR="00C553F6" w:rsidRPr="00FB1CBD">
        <w:rPr>
          <w:rFonts w:cs="Arial"/>
        </w:rPr>
        <w:t>statistically</w:t>
      </w:r>
      <w:proofErr w:type="spellEnd"/>
      <w:r w:rsidR="00C553F6" w:rsidRPr="00FB1CBD">
        <w:rPr>
          <w:rFonts w:cs="Arial"/>
        </w:rPr>
        <w:t xml:space="preserve"> derived percentage of missing provider service logs and invoices is reflective of the population within the 9 counties</w:t>
      </w:r>
      <w:r w:rsidRPr="00FB1CBD">
        <w:rPr>
          <w:rFonts w:cs="Arial"/>
        </w:rPr>
        <w:t>, we estimated that likely improper payments for the 9 counties tested w</w:t>
      </w:r>
      <w:r w:rsidR="00C553F6" w:rsidRPr="00FB1CBD">
        <w:rPr>
          <w:rFonts w:cs="Arial"/>
        </w:rPr>
        <w:t>ould be</w:t>
      </w:r>
      <w:r w:rsidRPr="00FB1CBD">
        <w:rPr>
          <w:rFonts w:cs="Arial"/>
        </w:rPr>
        <w:t xml:space="preserve"> $127.3 million </w:t>
      </w:r>
      <w:bookmarkStart w:id="7" w:name="TMB310414547"/>
      <w:bookmarkStart w:id="8" w:name="TMB867809296"/>
      <w:bookmarkEnd w:id="7"/>
      <w:bookmarkEnd w:id="8"/>
      <w:r w:rsidRPr="00FB1CBD">
        <w:rPr>
          <w:rFonts w:cs="Arial"/>
        </w:rPr>
        <w:t xml:space="preserve">($43.2 million General Fund/general purpose).  </w:t>
      </w:r>
    </w:p>
    <w:p w:rsidR="00F756EC" w:rsidRPr="00FB1CBD" w:rsidRDefault="00F756EC" w:rsidP="00F84A56">
      <w:pPr>
        <w:overflowPunct/>
        <w:autoSpaceDE/>
        <w:autoSpaceDN/>
        <w:adjustRightInd/>
        <w:spacing w:line="300" w:lineRule="auto"/>
        <w:ind w:left="1008"/>
        <w:jc w:val="both"/>
        <w:textAlignment w:val="auto"/>
        <w:rPr>
          <w:rFonts w:cs="Arial"/>
        </w:rPr>
      </w:pPr>
    </w:p>
    <w:p w:rsidR="009F17B4" w:rsidRPr="00FB1CBD" w:rsidRDefault="00566A85" w:rsidP="00F84A56">
      <w:pPr>
        <w:overflowPunct/>
        <w:autoSpaceDE/>
        <w:autoSpaceDN/>
        <w:adjustRightInd/>
        <w:spacing w:line="300" w:lineRule="auto"/>
        <w:ind w:left="1008"/>
        <w:jc w:val="both"/>
        <w:textAlignment w:val="auto"/>
        <w:rPr>
          <w:rFonts w:cs="Arial"/>
        </w:rPr>
      </w:pPr>
      <w:r w:rsidRPr="00FB1CBD">
        <w:rPr>
          <w:rFonts w:cs="Arial"/>
        </w:rPr>
        <w:t xml:space="preserve">We did not project the error </w:t>
      </w:r>
      <w:r w:rsidR="00DF1ED3">
        <w:rPr>
          <w:rFonts w:cs="Arial"/>
        </w:rPr>
        <w:t>S</w:t>
      </w:r>
      <w:r w:rsidRPr="00FB1CBD">
        <w:rPr>
          <w:rFonts w:cs="Arial"/>
        </w:rPr>
        <w:t xml:space="preserve">tatewide because we </w:t>
      </w:r>
      <w:r w:rsidR="001430F2" w:rsidRPr="00FB1CBD">
        <w:rPr>
          <w:rFonts w:cs="Arial"/>
        </w:rPr>
        <w:t>could not be confident</w:t>
      </w:r>
      <w:r w:rsidRPr="00FB1CBD">
        <w:rPr>
          <w:rFonts w:cs="Arial"/>
        </w:rPr>
        <w:t xml:space="preserve"> that our test results for the 9 counties selected would be representative of the other 74 counties that covered the remaining 30.9% of clients</w:t>
      </w:r>
      <w:r w:rsidR="001430F2" w:rsidRPr="00FB1CBD">
        <w:rPr>
          <w:rFonts w:cs="Arial"/>
        </w:rPr>
        <w:t xml:space="preserve"> because of differences in ASW caseloads and non-</w:t>
      </w:r>
      <w:r w:rsidR="00A707F8">
        <w:rPr>
          <w:rFonts w:cs="Arial"/>
        </w:rPr>
        <w:t>HHP</w:t>
      </w:r>
      <w:r w:rsidR="001430F2" w:rsidRPr="00FB1CBD">
        <w:rPr>
          <w:rFonts w:cs="Arial"/>
        </w:rPr>
        <w:t xml:space="preserve"> assignments in those counties. </w:t>
      </w:r>
      <w:r w:rsidRPr="00FB1CBD">
        <w:rPr>
          <w:rFonts w:cs="Arial"/>
        </w:rPr>
        <w:t xml:space="preserve"> </w:t>
      </w:r>
    </w:p>
    <w:p w:rsidR="00F756EC" w:rsidRPr="00FB1CBD" w:rsidRDefault="00F756EC" w:rsidP="00F84A56">
      <w:pPr>
        <w:overflowPunct/>
        <w:autoSpaceDE/>
        <w:autoSpaceDN/>
        <w:adjustRightInd/>
        <w:spacing w:line="300" w:lineRule="auto"/>
        <w:ind w:left="1008"/>
        <w:jc w:val="both"/>
        <w:textAlignment w:val="auto"/>
        <w:rPr>
          <w:rFonts w:cs="Arial"/>
        </w:rPr>
      </w:pPr>
    </w:p>
    <w:p w:rsidR="00BD709D" w:rsidRDefault="00893F75" w:rsidP="00F84A56">
      <w:pPr>
        <w:tabs>
          <w:tab w:val="left" w:pos="504"/>
        </w:tabs>
        <w:spacing w:line="300" w:lineRule="auto"/>
        <w:ind w:left="1008"/>
        <w:jc w:val="both"/>
        <w:rPr>
          <w:rFonts w:cs="Arial"/>
        </w:rPr>
      </w:pPr>
      <w:r w:rsidRPr="00FB1CBD">
        <w:rPr>
          <w:rFonts w:cs="Arial"/>
        </w:rPr>
        <w:t>Federal regulations require that costs charged to a federal program be adequately documented to be considered allowable and that a recipient</w:t>
      </w:r>
      <w:r w:rsidR="00F305E9">
        <w:rPr>
          <w:rFonts w:cs="Arial"/>
        </w:rPr>
        <w:t>'</w:t>
      </w:r>
      <w:r w:rsidRPr="00FB1CBD">
        <w:rPr>
          <w:rFonts w:cs="Arial"/>
        </w:rPr>
        <w:t xml:space="preserve">s financial management system provide for accounting records that are supported by source documentation. </w:t>
      </w:r>
      <w:r w:rsidR="009F17B4" w:rsidRPr="00FB1CBD">
        <w:rPr>
          <w:rFonts w:cs="Arial"/>
        </w:rPr>
        <w:t xml:space="preserve"> </w:t>
      </w:r>
      <w:r w:rsidRPr="00FB1CBD">
        <w:rPr>
          <w:rFonts w:cs="Arial"/>
        </w:rPr>
        <w:t xml:space="preserve">In addition, CMS requires that amounts claimed for reimbursement be actual expenditures for which all supporting documentation, in readily reviewable form, has been compiled and is available immediately at the time the claim is filed. </w:t>
      </w:r>
    </w:p>
    <w:p w:rsidR="00591604" w:rsidRDefault="00591604" w:rsidP="00F84A56">
      <w:pPr>
        <w:tabs>
          <w:tab w:val="left" w:pos="504"/>
        </w:tabs>
        <w:spacing w:line="300" w:lineRule="auto"/>
        <w:ind w:left="1008"/>
        <w:jc w:val="both"/>
        <w:rPr>
          <w:rFonts w:cs="Arial"/>
        </w:rPr>
      </w:pPr>
    </w:p>
    <w:p w:rsidR="00BD709D" w:rsidRPr="00BD709D" w:rsidRDefault="00991305" w:rsidP="00027935">
      <w:pPr>
        <w:pStyle w:val="ListParagraph"/>
        <w:numPr>
          <w:ilvl w:val="0"/>
          <w:numId w:val="21"/>
        </w:numPr>
        <w:overflowPunct/>
        <w:autoSpaceDE/>
        <w:autoSpaceDN/>
        <w:adjustRightInd/>
        <w:spacing w:line="300" w:lineRule="auto"/>
        <w:ind w:left="1008" w:hanging="504"/>
        <w:jc w:val="both"/>
        <w:textAlignment w:val="auto"/>
        <w:rPr>
          <w:rFonts w:cs="Arial"/>
        </w:rPr>
      </w:pPr>
      <w:r w:rsidRPr="00BD709D">
        <w:rPr>
          <w:rFonts w:cs="Arial"/>
        </w:rPr>
        <w:t xml:space="preserve">DCH and DHS did not </w:t>
      </w:r>
      <w:r w:rsidR="00CC64DF" w:rsidRPr="00BD709D">
        <w:rPr>
          <w:rFonts w:cs="Arial"/>
        </w:rPr>
        <w:t xml:space="preserve">ensure that both </w:t>
      </w:r>
      <w:r w:rsidRPr="00BD709D">
        <w:rPr>
          <w:rFonts w:cs="Arial"/>
        </w:rPr>
        <w:t>the client and</w:t>
      </w:r>
      <w:r w:rsidR="00CC64DF" w:rsidRPr="00BD709D">
        <w:rPr>
          <w:rFonts w:cs="Arial"/>
        </w:rPr>
        <w:t xml:space="preserve"> </w:t>
      </w:r>
      <w:r w:rsidR="00413EB7" w:rsidRPr="00BD709D">
        <w:rPr>
          <w:rFonts w:cs="Arial"/>
        </w:rPr>
        <w:t>the provider</w:t>
      </w:r>
      <w:r w:rsidRPr="00BD709D">
        <w:rPr>
          <w:rFonts w:cs="Arial"/>
        </w:rPr>
        <w:t xml:space="preserve"> </w:t>
      </w:r>
      <w:r w:rsidR="00CC64DF" w:rsidRPr="00BD709D">
        <w:rPr>
          <w:rFonts w:cs="Arial"/>
        </w:rPr>
        <w:t xml:space="preserve">signed </w:t>
      </w:r>
      <w:r w:rsidR="00592DCD" w:rsidRPr="00BD709D">
        <w:rPr>
          <w:rFonts w:cs="Arial"/>
        </w:rPr>
        <w:t>87</w:t>
      </w:r>
      <w:r w:rsidR="009F17B4" w:rsidRPr="00BD709D">
        <w:rPr>
          <w:rFonts w:cs="Arial"/>
        </w:rPr>
        <w:t> </w:t>
      </w:r>
      <w:r w:rsidR="00CC64DF" w:rsidRPr="00BD709D">
        <w:rPr>
          <w:rFonts w:cs="Arial"/>
        </w:rPr>
        <w:t>(4.</w:t>
      </w:r>
      <w:r w:rsidR="00592DCD" w:rsidRPr="00BD709D">
        <w:rPr>
          <w:rFonts w:cs="Arial"/>
        </w:rPr>
        <w:t>4</w:t>
      </w:r>
      <w:r w:rsidR="00CC64DF" w:rsidRPr="00BD709D">
        <w:rPr>
          <w:rFonts w:cs="Arial"/>
        </w:rPr>
        <w:t xml:space="preserve">%) of </w:t>
      </w:r>
      <w:r w:rsidR="00592DCD" w:rsidRPr="00BD709D">
        <w:rPr>
          <w:rFonts w:cs="Arial"/>
        </w:rPr>
        <w:t>1,967 provider service</w:t>
      </w:r>
      <w:r w:rsidR="00CC64DF" w:rsidRPr="00BD709D">
        <w:rPr>
          <w:rFonts w:cs="Arial"/>
        </w:rPr>
        <w:t xml:space="preserve"> logs </w:t>
      </w:r>
      <w:r w:rsidRPr="00BD709D">
        <w:rPr>
          <w:rFonts w:cs="Arial"/>
        </w:rPr>
        <w:t>verifying t</w:t>
      </w:r>
      <w:r w:rsidR="00592DCD" w:rsidRPr="00BD709D">
        <w:rPr>
          <w:rFonts w:cs="Arial"/>
        </w:rPr>
        <w:t>hat the services were delivered</w:t>
      </w:r>
      <w:r w:rsidRPr="00BD709D">
        <w:rPr>
          <w:rFonts w:cs="Arial"/>
        </w:rPr>
        <w:t xml:space="preserve"> (see </w:t>
      </w:r>
      <w:r w:rsidR="00592DCD" w:rsidRPr="00BD709D">
        <w:rPr>
          <w:rFonts w:cs="Arial"/>
        </w:rPr>
        <w:t>E</w:t>
      </w:r>
      <w:r w:rsidRPr="00BD709D">
        <w:rPr>
          <w:rFonts w:cs="Arial"/>
        </w:rPr>
        <w:t xml:space="preserve">xhibit 5 for exceptions by county). </w:t>
      </w:r>
      <w:r w:rsidR="00BD709D" w:rsidRPr="00BD709D">
        <w:rPr>
          <w:rFonts w:cs="Arial"/>
        </w:rPr>
        <w:br w:type="page"/>
      </w:r>
    </w:p>
    <w:p w:rsidR="009F17B4" w:rsidRPr="00FB1CBD" w:rsidRDefault="00991305" w:rsidP="00F84A56">
      <w:pPr>
        <w:overflowPunct/>
        <w:autoSpaceDE/>
        <w:autoSpaceDN/>
        <w:adjustRightInd/>
        <w:spacing w:line="300" w:lineRule="auto"/>
        <w:ind w:left="1008"/>
        <w:jc w:val="both"/>
        <w:textAlignment w:val="auto"/>
        <w:rPr>
          <w:rFonts w:cs="Arial"/>
        </w:rPr>
      </w:pPr>
      <w:r w:rsidRPr="00FB1CBD">
        <w:rPr>
          <w:rFonts w:cs="Arial"/>
        </w:rPr>
        <w:lastRenderedPageBreak/>
        <w:t xml:space="preserve">The known improper payments associated with the </w:t>
      </w:r>
      <w:r w:rsidR="00592DCD">
        <w:rPr>
          <w:rFonts w:cs="Arial"/>
        </w:rPr>
        <w:t>87</w:t>
      </w:r>
      <w:r w:rsidRPr="00FB1CBD">
        <w:rPr>
          <w:rFonts w:cs="Arial"/>
        </w:rPr>
        <w:t xml:space="preserve"> unsigned provider serv</w:t>
      </w:r>
      <w:r w:rsidR="00592DCD">
        <w:rPr>
          <w:rFonts w:cs="Arial"/>
        </w:rPr>
        <w:t>ice logs totaled $33,266 ($11</w:t>
      </w:r>
      <w:r w:rsidRPr="00FB1CBD">
        <w:rPr>
          <w:rFonts w:cs="Arial"/>
        </w:rPr>
        <w:t>,</w:t>
      </w:r>
      <w:r w:rsidR="00592DCD">
        <w:rPr>
          <w:rFonts w:cs="Arial"/>
        </w:rPr>
        <w:t>274</w:t>
      </w:r>
      <w:r w:rsidRPr="00FB1CBD">
        <w:rPr>
          <w:rFonts w:cs="Arial"/>
        </w:rPr>
        <w:t xml:space="preserve"> General </w:t>
      </w:r>
      <w:r w:rsidR="00592DCD">
        <w:rPr>
          <w:rFonts w:cs="Arial"/>
        </w:rPr>
        <w:t>F</w:t>
      </w:r>
      <w:r w:rsidRPr="00FB1CBD">
        <w:rPr>
          <w:rFonts w:cs="Arial"/>
        </w:rPr>
        <w:t xml:space="preserve">und/general purpose). </w:t>
      </w:r>
      <w:r w:rsidR="009F17B4" w:rsidRPr="00FB1CBD">
        <w:rPr>
          <w:rFonts w:cs="Arial"/>
        </w:rPr>
        <w:t xml:space="preserve"> </w:t>
      </w:r>
      <w:r w:rsidRPr="00FB1CBD">
        <w:rPr>
          <w:rFonts w:cs="Arial"/>
        </w:rPr>
        <w:t xml:space="preserve">We performed a </w:t>
      </w:r>
      <w:proofErr w:type="spellStart"/>
      <w:r w:rsidRPr="00FB1CBD">
        <w:rPr>
          <w:rFonts w:cs="Arial"/>
        </w:rPr>
        <w:t>nonstatistical</w:t>
      </w:r>
      <w:proofErr w:type="spellEnd"/>
      <w:r w:rsidRPr="00FB1CBD">
        <w:rPr>
          <w:rFonts w:cs="Arial"/>
        </w:rPr>
        <w:t xml:space="preserve"> projection of the known improper payments in our sample into the population for the 9 counties subject to testing.</w:t>
      </w:r>
      <w:r w:rsidR="0098587F" w:rsidRPr="00FB1CBD">
        <w:rPr>
          <w:rFonts w:cs="Arial"/>
        </w:rPr>
        <w:t xml:space="preserve"> </w:t>
      </w:r>
      <w:r w:rsidR="009F17B4" w:rsidRPr="00FB1CBD">
        <w:rPr>
          <w:rFonts w:cs="Arial"/>
        </w:rPr>
        <w:t xml:space="preserve"> </w:t>
      </w:r>
      <w:r w:rsidR="0098587F" w:rsidRPr="00FB1CBD">
        <w:rPr>
          <w:rFonts w:cs="Arial"/>
        </w:rPr>
        <w:t xml:space="preserve">If the </w:t>
      </w:r>
      <w:proofErr w:type="spellStart"/>
      <w:r w:rsidR="0098587F" w:rsidRPr="00FB1CBD">
        <w:rPr>
          <w:rFonts w:cs="Arial"/>
        </w:rPr>
        <w:t>nonstatistically</w:t>
      </w:r>
      <w:proofErr w:type="spellEnd"/>
      <w:r w:rsidR="0098587F" w:rsidRPr="00FB1CBD">
        <w:rPr>
          <w:rFonts w:cs="Arial"/>
        </w:rPr>
        <w:t xml:space="preserve"> derived percentage of missing signatures is reflective of the population of missing signature for the 9 counties, </w:t>
      </w:r>
      <w:r w:rsidRPr="00FB1CBD">
        <w:rPr>
          <w:rFonts w:cs="Arial"/>
        </w:rPr>
        <w:t>we estimated that likely improper payments for the 9 counties tested were $</w:t>
      </w:r>
      <w:r w:rsidR="00DC0406" w:rsidRPr="00FB1CBD">
        <w:rPr>
          <w:rFonts w:cs="Arial"/>
        </w:rPr>
        <w:t>1</w:t>
      </w:r>
      <w:r w:rsidR="008C5425">
        <w:rPr>
          <w:rFonts w:cs="Arial"/>
        </w:rPr>
        <w:t xml:space="preserve">9.1 </w:t>
      </w:r>
      <w:r w:rsidR="00DC0406" w:rsidRPr="00FB1CBD">
        <w:rPr>
          <w:rFonts w:cs="Arial"/>
        </w:rPr>
        <w:t>million ($6.</w:t>
      </w:r>
      <w:r w:rsidR="008C5425">
        <w:rPr>
          <w:rFonts w:cs="Arial"/>
        </w:rPr>
        <w:t>5</w:t>
      </w:r>
      <w:r w:rsidR="00DC0406" w:rsidRPr="00FB1CBD">
        <w:rPr>
          <w:rFonts w:cs="Arial"/>
        </w:rPr>
        <w:t xml:space="preserve"> million General Fund/general purpose)</w:t>
      </w:r>
      <w:r w:rsidR="00EF059A">
        <w:rPr>
          <w:rFonts w:cs="Arial"/>
        </w:rPr>
        <w:t xml:space="preserve">.  </w:t>
      </w:r>
    </w:p>
    <w:p w:rsidR="009F17B4" w:rsidRPr="00FB1CBD" w:rsidRDefault="009F17B4" w:rsidP="00F84A56">
      <w:pPr>
        <w:overflowPunct/>
        <w:autoSpaceDE/>
        <w:autoSpaceDN/>
        <w:adjustRightInd/>
        <w:spacing w:line="300" w:lineRule="auto"/>
        <w:ind w:left="1008"/>
        <w:jc w:val="both"/>
        <w:textAlignment w:val="auto"/>
        <w:rPr>
          <w:rFonts w:cs="Arial"/>
        </w:rPr>
      </w:pPr>
    </w:p>
    <w:p w:rsidR="0098587F" w:rsidRPr="00FB1CBD" w:rsidRDefault="0098587F" w:rsidP="00F84A56">
      <w:pPr>
        <w:overflowPunct/>
        <w:autoSpaceDE/>
        <w:autoSpaceDN/>
        <w:adjustRightInd/>
        <w:spacing w:line="300" w:lineRule="auto"/>
        <w:ind w:left="1008"/>
        <w:jc w:val="both"/>
        <w:textAlignment w:val="auto"/>
        <w:rPr>
          <w:rFonts w:cs="Arial"/>
        </w:rPr>
      </w:pPr>
      <w:r w:rsidRPr="00FB1CBD">
        <w:rPr>
          <w:rFonts w:cs="Arial"/>
        </w:rPr>
        <w:t xml:space="preserve">We did not project the error </w:t>
      </w:r>
      <w:r w:rsidR="00592DCD">
        <w:rPr>
          <w:rFonts w:cs="Arial"/>
        </w:rPr>
        <w:t>S</w:t>
      </w:r>
      <w:r w:rsidRPr="00FB1CBD">
        <w:rPr>
          <w:rFonts w:cs="Arial"/>
        </w:rPr>
        <w:t>tatewide because we could not be confident that our test results for the 9 counties selected would be representative of the other 74 counties that covered the remaining 30.9% of clients because of differ</w:t>
      </w:r>
      <w:r w:rsidR="009C7225" w:rsidRPr="00FB1CBD">
        <w:rPr>
          <w:rFonts w:cs="Arial"/>
        </w:rPr>
        <w:t>ences in ASW caseloads and non-</w:t>
      </w:r>
      <w:r w:rsidR="00A707F8">
        <w:rPr>
          <w:rFonts w:cs="Arial"/>
        </w:rPr>
        <w:t>HHP</w:t>
      </w:r>
      <w:r w:rsidRPr="00FB1CBD">
        <w:rPr>
          <w:rFonts w:cs="Arial"/>
        </w:rPr>
        <w:t xml:space="preserve"> assignments in those counties.  </w:t>
      </w:r>
    </w:p>
    <w:p w:rsidR="00991305" w:rsidRPr="00FB1CBD" w:rsidRDefault="00991305" w:rsidP="00F84A56">
      <w:pPr>
        <w:overflowPunct/>
        <w:autoSpaceDE/>
        <w:autoSpaceDN/>
        <w:adjustRightInd/>
        <w:spacing w:line="300" w:lineRule="auto"/>
        <w:ind w:left="1008"/>
        <w:jc w:val="both"/>
        <w:textAlignment w:val="auto"/>
        <w:rPr>
          <w:rFonts w:cs="Arial"/>
        </w:rPr>
      </w:pPr>
      <w:r w:rsidRPr="00FB1CBD">
        <w:rPr>
          <w:rFonts w:cs="Arial"/>
        </w:rPr>
        <w:t xml:space="preserve"> </w:t>
      </w:r>
    </w:p>
    <w:p w:rsidR="00893F75" w:rsidRPr="00FB1CBD" w:rsidRDefault="00991305" w:rsidP="00F84A56">
      <w:pPr>
        <w:overflowPunct/>
        <w:autoSpaceDE/>
        <w:autoSpaceDN/>
        <w:adjustRightInd/>
        <w:spacing w:line="300" w:lineRule="auto"/>
        <w:ind w:left="1008"/>
        <w:jc w:val="both"/>
        <w:textAlignment w:val="auto"/>
        <w:rPr>
          <w:rFonts w:cs="Arial"/>
        </w:rPr>
      </w:pPr>
      <w:r w:rsidRPr="00FB1CBD">
        <w:rPr>
          <w:rFonts w:cs="Arial"/>
        </w:rPr>
        <w:t xml:space="preserve">ASM 135 requires the provider and the client to sign the provider service log to verify that the services approved for payment were delivered. </w:t>
      </w:r>
    </w:p>
    <w:p w:rsidR="00893F75" w:rsidRPr="00FB1CBD" w:rsidRDefault="00893F75" w:rsidP="00F84A56">
      <w:pPr>
        <w:tabs>
          <w:tab w:val="left" w:pos="504"/>
        </w:tabs>
        <w:spacing w:line="300" w:lineRule="auto"/>
        <w:ind w:left="1008"/>
        <w:jc w:val="both"/>
        <w:rPr>
          <w:rFonts w:cs="Arial"/>
        </w:rPr>
      </w:pPr>
    </w:p>
    <w:p w:rsidR="009C7225" w:rsidRPr="00FB1CBD" w:rsidRDefault="00893F75" w:rsidP="00027935">
      <w:pPr>
        <w:pStyle w:val="ListParagraph"/>
        <w:numPr>
          <w:ilvl w:val="0"/>
          <w:numId w:val="21"/>
        </w:numPr>
        <w:overflowPunct/>
        <w:autoSpaceDE/>
        <w:autoSpaceDN/>
        <w:adjustRightInd/>
        <w:spacing w:line="300" w:lineRule="auto"/>
        <w:ind w:left="1008" w:hanging="504"/>
        <w:jc w:val="both"/>
        <w:textAlignment w:val="auto"/>
        <w:rPr>
          <w:rFonts w:cs="Arial"/>
        </w:rPr>
      </w:pPr>
      <w:r w:rsidRPr="00FB1CBD">
        <w:rPr>
          <w:rFonts w:cs="Arial"/>
        </w:rPr>
        <w:t>DHS</w:t>
      </w:r>
      <w:r w:rsidR="00F305E9">
        <w:rPr>
          <w:rFonts w:cs="Arial"/>
        </w:rPr>
        <w:t>'</w:t>
      </w:r>
      <w:r w:rsidR="00592DCD">
        <w:rPr>
          <w:rFonts w:cs="Arial"/>
        </w:rPr>
        <w:t>s ASWs did not initial 1,044</w:t>
      </w:r>
      <w:r w:rsidRPr="00FB1CBD">
        <w:rPr>
          <w:rFonts w:cs="Arial"/>
        </w:rPr>
        <w:t xml:space="preserve"> </w:t>
      </w:r>
      <w:bookmarkStart w:id="9" w:name="TMB768467271"/>
      <w:bookmarkEnd w:id="9"/>
      <w:r w:rsidR="00592DCD">
        <w:rPr>
          <w:rFonts w:cs="Arial"/>
        </w:rPr>
        <w:t>(53.1</w:t>
      </w:r>
      <w:r w:rsidRPr="00FB1CBD">
        <w:rPr>
          <w:rFonts w:cs="Arial"/>
        </w:rPr>
        <w:t xml:space="preserve">%) </w:t>
      </w:r>
      <w:bookmarkStart w:id="10" w:name="TMB1521084660"/>
      <w:bookmarkEnd w:id="10"/>
      <w:r w:rsidRPr="00FB1CBD">
        <w:rPr>
          <w:rFonts w:cs="Arial"/>
        </w:rPr>
        <w:t xml:space="preserve">of </w:t>
      </w:r>
      <w:r w:rsidR="00592DCD">
        <w:rPr>
          <w:rFonts w:cs="Arial"/>
        </w:rPr>
        <w:t>1,967</w:t>
      </w:r>
      <w:r w:rsidRPr="00FB1CBD">
        <w:rPr>
          <w:rFonts w:cs="Arial"/>
        </w:rPr>
        <w:t xml:space="preserve"> provider service logs to demonstrate review of the documentation. </w:t>
      </w:r>
      <w:r w:rsidR="00CE34EB">
        <w:rPr>
          <w:rFonts w:cs="Arial"/>
        </w:rPr>
        <w:t xml:space="preserve"> </w:t>
      </w:r>
      <w:r w:rsidR="00CC64DF" w:rsidRPr="00FB1CBD">
        <w:rPr>
          <w:rFonts w:cs="Arial"/>
        </w:rPr>
        <w:t>ASW review is necessary to ensure that providers delivered the services for which they already received payment.  We</w:t>
      </w:r>
      <w:r w:rsidRPr="00FB1CBD">
        <w:rPr>
          <w:rFonts w:cs="Arial"/>
        </w:rPr>
        <w:t xml:space="preserve"> review</w:t>
      </w:r>
      <w:r w:rsidR="00CC64DF" w:rsidRPr="00FB1CBD">
        <w:rPr>
          <w:rFonts w:cs="Arial"/>
        </w:rPr>
        <w:t>ed</w:t>
      </w:r>
      <w:r w:rsidR="00592DCD">
        <w:rPr>
          <w:rFonts w:cs="Arial"/>
        </w:rPr>
        <w:t xml:space="preserve"> </w:t>
      </w:r>
      <w:r w:rsidRPr="00FB1CBD">
        <w:rPr>
          <w:rFonts w:cs="Arial"/>
        </w:rPr>
        <w:t>the 1,</w:t>
      </w:r>
      <w:r w:rsidR="00592DCD">
        <w:rPr>
          <w:rFonts w:cs="Arial"/>
        </w:rPr>
        <w:t>044</w:t>
      </w:r>
      <w:r w:rsidRPr="00FB1CBD">
        <w:rPr>
          <w:rFonts w:cs="Arial"/>
        </w:rPr>
        <w:t xml:space="preserve"> </w:t>
      </w:r>
      <w:proofErr w:type="spellStart"/>
      <w:r w:rsidR="00681889" w:rsidRPr="00FB1CBD">
        <w:rPr>
          <w:rFonts w:cs="Arial"/>
        </w:rPr>
        <w:t>uninitialed</w:t>
      </w:r>
      <w:proofErr w:type="spellEnd"/>
      <w:r w:rsidR="00681889" w:rsidRPr="00FB1CBD">
        <w:rPr>
          <w:rFonts w:cs="Arial"/>
        </w:rPr>
        <w:t xml:space="preserve"> </w:t>
      </w:r>
      <w:r w:rsidRPr="00FB1CBD">
        <w:rPr>
          <w:rFonts w:cs="Arial"/>
        </w:rPr>
        <w:t xml:space="preserve">provider service logs </w:t>
      </w:r>
      <w:r w:rsidR="00681889" w:rsidRPr="00FB1CBD">
        <w:rPr>
          <w:rFonts w:cs="Arial"/>
        </w:rPr>
        <w:t xml:space="preserve">and </w:t>
      </w:r>
      <w:r w:rsidRPr="00FB1CBD">
        <w:rPr>
          <w:rFonts w:cs="Arial"/>
        </w:rPr>
        <w:t>identified 69 (</w:t>
      </w:r>
      <w:r w:rsidR="0050119E">
        <w:rPr>
          <w:rFonts w:cs="Arial"/>
        </w:rPr>
        <w:t>6</w:t>
      </w:r>
      <w:r w:rsidR="00052AA9">
        <w:rPr>
          <w:rFonts w:cs="Arial"/>
        </w:rPr>
        <w:t>.</w:t>
      </w:r>
      <w:r w:rsidR="0050119E">
        <w:rPr>
          <w:rFonts w:cs="Arial"/>
        </w:rPr>
        <w:t>6</w:t>
      </w:r>
      <w:r w:rsidRPr="00FB1CBD">
        <w:rPr>
          <w:rFonts w:cs="Arial"/>
        </w:rPr>
        <w:t xml:space="preserve">%) incidences </w:t>
      </w:r>
      <w:r w:rsidR="00681889" w:rsidRPr="00FB1CBD">
        <w:rPr>
          <w:rFonts w:cs="Arial"/>
        </w:rPr>
        <w:t>in which providers were paid for services that, according</w:t>
      </w:r>
      <w:r w:rsidR="007D217E" w:rsidRPr="00FB1CBD">
        <w:rPr>
          <w:rFonts w:cs="Arial"/>
        </w:rPr>
        <w:t xml:space="preserve"> t</w:t>
      </w:r>
      <w:r w:rsidR="00267822">
        <w:rPr>
          <w:rFonts w:cs="Arial"/>
        </w:rPr>
        <w:t xml:space="preserve">o the provider service logs, the providers did not provide </w:t>
      </w:r>
      <w:r w:rsidRPr="00FB1CBD">
        <w:rPr>
          <w:rFonts w:cs="Arial"/>
        </w:rPr>
        <w:t xml:space="preserve">(see </w:t>
      </w:r>
      <w:r w:rsidR="00267822">
        <w:rPr>
          <w:rFonts w:cs="Arial"/>
        </w:rPr>
        <w:t>E</w:t>
      </w:r>
      <w:r w:rsidRPr="00FB1CBD">
        <w:rPr>
          <w:rFonts w:cs="Arial"/>
        </w:rPr>
        <w:t>xhibit 5 for exceptions by count</w:t>
      </w:r>
      <w:r w:rsidR="009C7225" w:rsidRPr="00FB1CBD">
        <w:rPr>
          <w:rFonts w:cs="Arial"/>
        </w:rPr>
        <w:t>y)</w:t>
      </w:r>
      <w:r w:rsidRPr="00FB1CBD">
        <w:rPr>
          <w:rFonts w:cs="Arial"/>
        </w:rPr>
        <w:t>.</w:t>
      </w:r>
    </w:p>
    <w:p w:rsidR="00591604" w:rsidRDefault="00591604" w:rsidP="00F84A56">
      <w:pPr>
        <w:overflowPunct/>
        <w:autoSpaceDE/>
        <w:autoSpaceDN/>
        <w:adjustRightInd/>
        <w:spacing w:line="300" w:lineRule="auto"/>
        <w:textAlignment w:val="auto"/>
        <w:rPr>
          <w:rFonts w:cs="Arial"/>
        </w:rPr>
      </w:pPr>
      <w:bookmarkStart w:id="11" w:name="TMB1373164357"/>
      <w:bookmarkStart w:id="12" w:name="TMB262122920"/>
      <w:bookmarkEnd w:id="11"/>
      <w:bookmarkEnd w:id="12"/>
    </w:p>
    <w:p w:rsidR="00BE49E2" w:rsidRPr="00FB1CBD" w:rsidRDefault="00BE49E2" w:rsidP="00F84A56">
      <w:pPr>
        <w:pStyle w:val="ListParagraph"/>
        <w:overflowPunct/>
        <w:autoSpaceDE/>
        <w:autoSpaceDN/>
        <w:adjustRightInd/>
        <w:spacing w:line="300" w:lineRule="auto"/>
        <w:ind w:left="1008"/>
        <w:jc w:val="both"/>
        <w:textAlignment w:val="auto"/>
        <w:rPr>
          <w:rFonts w:cs="Arial"/>
        </w:rPr>
      </w:pPr>
      <w:r w:rsidRPr="00FB1CBD">
        <w:rPr>
          <w:rFonts w:cs="Arial"/>
        </w:rPr>
        <w:t xml:space="preserve">ASM 135 requires the ASWs to initial and date the provider service log upon receipt to demonstrate review of the log. </w:t>
      </w:r>
    </w:p>
    <w:p w:rsidR="00893F75" w:rsidRPr="00FB1CBD" w:rsidRDefault="00893F75" w:rsidP="00F84A56">
      <w:pPr>
        <w:pStyle w:val="ListParagraph"/>
        <w:overflowPunct/>
        <w:autoSpaceDE/>
        <w:autoSpaceDN/>
        <w:adjustRightInd/>
        <w:spacing w:line="300" w:lineRule="auto"/>
        <w:ind w:left="1008"/>
        <w:jc w:val="both"/>
        <w:textAlignment w:val="auto"/>
        <w:rPr>
          <w:rFonts w:cs="Arial"/>
        </w:rPr>
      </w:pPr>
    </w:p>
    <w:p w:rsidR="00BD709D" w:rsidRDefault="00991305" w:rsidP="00027935">
      <w:pPr>
        <w:pStyle w:val="ListParagraph"/>
        <w:numPr>
          <w:ilvl w:val="0"/>
          <w:numId w:val="21"/>
        </w:numPr>
        <w:overflowPunct/>
        <w:autoSpaceDE/>
        <w:autoSpaceDN/>
        <w:adjustRightInd/>
        <w:spacing w:line="300" w:lineRule="auto"/>
        <w:ind w:left="1008" w:hanging="504"/>
        <w:jc w:val="both"/>
        <w:textAlignment w:val="auto"/>
        <w:rPr>
          <w:rFonts w:cs="Arial"/>
        </w:rPr>
      </w:pPr>
      <w:r w:rsidRPr="00FB1CBD">
        <w:rPr>
          <w:rFonts w:cs="Arial"/>
        </w:rPr>
        <w:t xml:space="preserve">DCH and DHS did not timely obtain provider service logs or invoices from service providers. </w:t>
      </w:r>
      <w:r w:rsidR="00ED622F" w:rsidRPr="00FB1CBD">
        <w:rPr>
          <w:rFonts w:cs="Arial"/>
        </w:rPr>
        <w:t xml:space="preserve"> </w:t>
      </w:r>
      <w:r w:rsidRPr="00FB1CBD">
        <w:rPr>
          <w:rFonts w:cs="Arial"/>
        </w:rPr>
        <w:t xml:space="preserve">We noted that providers submitted provider service logs or invoices to support 603 (28.1%) of 2,148 monthly </w:t>
      </w:r>
      <w:r w:rsidR="00A707F8">
        <w:rPr>
          <w:rFonts w:cs="Arial"/>
        </w:rPr>
        <w:t>HHP</w:t>
      </w:r>
      <w:r w:rsidR="00267822">
        <w:rPr>
          <w:rFonts w:cs="Arial"/>
        </w:rPr>
        <w:t xml:space="preserve"> </w:t>
      </w:r>
      <w:r w:rsidRPr="00FB1CBD">
        <w:rPr>
          <w:rFonts w:cs="Arial"/>
        </w:rPr>
        <w:t xml:space="preserve">payments late (see </w:t>
      </w:r>
      <w:r w:rsidR="00267822">
        <w:rPr>
          <w:rFonts w:cs="Arial"/>
        </w:rPr>
        <w:t>E</w:t>
      </w:r>
      <w:r w:rsidRPr="00FB1CBD">
        <w:rPr>
          <w:rFonts w:cs="Arial"/>
        </w:rPr>
        <w:t xml:space="preserve">xhibit 4 for exceptions by county).  The late provider service logs or invoices were submitted between 1 </w:t>
      </w:r>
      <w:r w:rsidR="00267822">
        <w:rPr>
          <w:rFonts w:cs="Arial"/>
        </w:rPr>
        <w:t xml:space="preserve">day </w:t>
      </w:r>
      <w:r w:rsidRPr="00FB1CBD">
        <w:rPr>
          <w:rFonts w:cs="Arial"/>
        </w:rPr>
        <w:t xml:space="preserve">and 444 days late. </w:t>
      </w:r>
      <w:r w:rsidR="007D217E" w:rsidRPr="00FB1CBD">
        <w:rPr>
          <w:rFonts w:cs="Arial"/>
        </w:rPr>
        <w:t xml:space="preserve">The following chart shows </w:t>
      </w:r>
      <w:r w:rsidR="00BD709D">
        <w:rPr>
          <w:rFonts w:cs="Arial"/>
        </w:rPr>
        <w:br/>
      </w:r>
    </w:p>
    <w:p w:rsidR="00BD709D" w:rsidRDefault="00BD709D">
      <w:pPr>
        <w:overflowPunct/>
        <w:autoSpaceDE/>
        <w:autoSpaceDN/>
        <w:adjustRightInd/>
        <w:textAlignment w:val="auto"/>
        <w:rPr>
          <w:rFonts w:cs="Arial"/>
        </w:rPr>
      </w:pPr>
      <w:r>
        <w:rPr>
          <w:rFonts w:cs="Arial"/>
        </w:rPr>
        <w:br w:type="page"/>
      </w:r>
    </w:p>
    <w:p w:rsidR="009C7225" w:rsidRPr="00FB1CBD" w:rsidRDefault="007D217E" w:rsidP="00BD709D">
      <w:pPr>
        <w:pStyle w:val="ListParagraph"/>
        <w:overflowPunct/>
        <w:autoSpaceDE/>
        <w:autoSpaceDN/>
        <w:adjustRightInd/>
        <w:spacing w:line="300" w:lineRule="auto"/>
        <w:ind w:left="1008"/>
        <w:jc w:val="both"/>
        <w:textAlignment w:val="auto"/>
        <w:rPr>
          <w:rFonts w:cs="Arial"/>
        </w:rPr>
      </w:pPr>
      <w:r w:rsidRPr="00FB1CBD">
        <w:rPr>
          <w:rFonts w:cs="Arial"/>
        </w:rPr>
        <w:lastRenderedPageBreak/>
        <w:t>the distribution of the late logs by the number of days late and the unduplicated clients affected:</w:t>
      </w:r>
    </w:p>
    <w:p w:rsidR="007D217E" w:rsidRPr="00FB1CBD" w:rsidRDefault="007D217E" w:rsidP="00F84A56">
      <w:pPr>
        <w:pStyle w:val="ListParagraph"/>
        <w:overflowPunct/>
        <w:autoSpaceDE/>
        <w:autoSpaceDN/>
        <w:adjustRightInd/>
        <w:spacing w:line="300" w:lineRule="auto"/>
        <w:ind w:left="1008"/>
        <w:jc w:val="both"/>
        <w:textAlignment w:val="auto"/>
        <w:rPr>
          <w:rFonts w:cs="Arial"/>
        </w:rPr>
      </w:pPr>
    </w:p>
    <w:tbl>
      <w:tblPr>
        <w:tblStyle w:val="TableGrid"/>
        <w:tblW w:w="6874" w:type="dxa"/>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36"/>
        <w:gridCol w:w="2066"/>
        <w:gridCol w:w="236"/>
        <w:gridCol w:w="2271"/>
      </w:tblGrid>
      <w:tr w:rsidR="009C7225" w:rsidRPr="00FB1CBD" w:rsidTr="002E12AF">
        <w:tc>
          <w:tcPr>
            <w:tcW w:w="2065" w:type="dxa"/>
            <w:tcBorders>
              <w:bottom w:val="single" w:sz="8" w:space="0" w:color="auto"/>
            </w:tcBorders>
          </w:tcPr>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Number of</w:t>
            </w:r>
            <w:r w:rsidR="00A0632B">
              <w:rPr>
                <w:rFonts w:cs="Arial"/>
              </w:rPr>
              <w:t xml:space="preserve"> </w:t>
            </w:r>
          </w:p>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Days Late</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066" w:type="dxa"/>
            <w:tcBorders>
              <w:bottom w:val="single" w:sz="8" w:space="0" w:color="auto"/>
            </w:tcBorders>
          </w:tcPr>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Total Number of</w:t>
            </w:r>
          </w:p>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Late Logs</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Borders>
              <w:bottom w:val="single" w:sz="8" w:space="0" w:color="auto"/>
            </w:tcBorders>
          </w:tcPr>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Unduplicated</w:t>
            </w:r>
          </w:p>
          <w:p w:rsidR="009C7225" w:rsidRPr="00FB1CBD" w:rsidRDefault="009C7225" w:rsidP="00F84A56">
            <w:pPr>
              <w:overflowPunct/>
              <w:autoSpaceDE/>
              <w:autoSpaceDN/>
              <w:adjustRightInd/>
              <w:spacing w:line="300" w:lineRule="auto"/>
              <w:jc w:val="center"/>
              <w:textAlignment w:val="auto"/>
              <w:rPr>
                <w:rFonts w:cs="Arial"/>
              </w:rPr>
            </w:pPr>
            <w:r w:rsidRPr="00FB1CBD">
              <w:rPr>
                <w:rFonts w:cs="Arial"/>
              </w:rPr>
              <w:t>Number of Clients</w:t>
            </w:r>
          </w:p>
        </w:tc>
      </w:tr>
      <w:tr w:rsidR="009C7225" w:rsidRPr="00FB1CBD" w:rsidTr="002E12AF">
        <w:tc>
          <w:tcPr>
            <w:tcW w:w="2065" w:type="dxa"/>
            <w:tcBorders>
              <w:top w:val="single" w:sz="8" w:space="0" w:color="auto"/>
            </w:tcBorders>
          </w:tcPr>
          <w:p w:rsidR="009C7225" w:rsidRPr="00FB1CBD" w:rsidRDefault="009C7225" w:rsidP="00F84A56">
            <w:pPr>
              <w:overflowPunct/>
              <w:autoSpaceDE/>
              <w:autoSpaceDN/>
              <w:adjustRightInd/>
              <w:spacing w:line="300" w:lineRule="auto"/>
              <w:ind w:left="864"/>
              <w:jc w:val="both"/>
              <w:textAlignment w:val="auto"/>
              <w:rPr>
                <w:rFonts w:cs="Arial"/>
                <w:sz w:val="10"/>
                <w:szCs w:val="10"/>
              </w:rPr>
            </w:pPr>
          </w:p>
        </w:tc>
        <w:tc>
          <w:tcPr>
            <w:tcW w:w="236" w:type="dxa"/>
          </w:tcPr>
          <w:p w:rsidR="009C7225" w:rsidRPr="00FB1CBD" w:rsidRDefault="009C7225" w:rsidP="00F84A56">
            <w:pPr>
              <w:overflowPunct/>
              <w:autoSpaceDE/>
              <w:autoSpaceDN/>
              <w:adjustRightInd/>
              <w:spacing w:line="300" w:lineRule="auto"/>
              <w:jc w:val="both"/>
              <w:textAlignment w:val="auto"/>
              <w:rPr>
                <w:rFonts w:cs="Arial"/>
                <w:sz w:val="10"/>
                <w:szCs w:val="10"/>
              </w:rPr>
            </w:pPr>
          </w:p>
        </w:tc>
        <w:tc>
          <w:tcPr>
            <w:tcW w:w="2066" w:type="dxa"/>
            <w:tcBorders>
              <w:top w:val="single" w:sz="8" w:space="0" w:color="auto"/>
            </w:tcBorders>
          </w:tcPr>
          <w:p w:rsidR="009C7225" w:rsidRPr="00FB1CBD" w:rsidRDefault="009C7225" w:rsidP="00F84A56">
            <w:pPr>
              <w:overflowPunct/>
              <w:autoSpaceDE/>
              <w:autoSpaceDN/>
              <w:adjustRightInd/>
              <w:spacing w:line="300" w:lineRule="auto"/>
              <w:jc w:val="both"/>
              <w:textAlignment w:val="auto"/>
              <w:rPr>
                <w:rFonts w:cs="Arial"/>
                <w:sz w:val="10"/>
                <w:szCs w:val="10"/>
              </w:rPr>
            </w:pPr>
          </w:p>
        </w:tc>
        <w:tc>
          <w:tcPr>
            <w:tcW w:w="236" w:type="dxa"/>
          </w:tcPr>
          <w:p w:rsidR="009C7225" w:rsidRPr="00FB1CBD" w:rsidRDefault="009C7225" w:rsidP="00F84A56">
            <w:pPr>
              <w:overflowPunct/>
              <w:autoSpaceDE/>
              <w:autoSpaceDN/>
              <w:adjustRightInd/>
              <w:spacing w:line="300" w:lineRule="auto"/>
              <w:jc w:val="both"/>
              <w:textAlignment w:val="auto"/>
              <w:rPr>
                <w:rFonts w:cs="Arial"/>
                <w:sz w:val="10"/>
                <w:szCs w:val="10"/>
              </w:rPr>
            </w:pPr>
          </w:p>
        </w:tc>
        <w:tc>
          <w:tcPr>
            <w:tcW w:w="2271" w:type="dxa"/>
            <w:tcBorders>
              <w:top w:val="single" w:sz="8" w:space="0" w:color="auto"/>
            </w:tcBorders>
          </w:tcPr>
          <w:p w:rsidR="009C7225" w:rsidRPr="00FB1CBD" w:rsidRDefault="009C7225" w:rsidP="00F84A56">
            <w:pPr>
              <w:overflowPunct/>
              <w:autoSpaceDE/>
              <w:autoSpaceDN/>
              <w:adjustRightInd/>
              <w:spacing w:line="300" w:lineRule="auto"/>
              <w:jc w:val="both"/>
              <w:textAlignment w:val="auto"/>
              <w:rPr>
                <w:rFonts w:cs="Arial"/>
                <w:sz w:val="10"/>
                <w:szCs w:val="10"/>
              </w:rPr>
            </w:pPr>
          </w:p>
        </w:tc>
      </w:tr>
      <w:tr w:rsidR="002E12AF" w:rsidRPr="00FB1CBD" w:rsidTr="002E12AF">
        <w:tc>
          <w:tcPr>
            <w:tcW w:w="2065" w:type="dxa"/>
          </w:tcPr>
          <w:p w:rsidR="009C7225" w:rsidRPr="00FB1CBD" w:rsidRDefault="009C7225" w:rsidP="00F84A56">
            <w:pPr>
              <w:overflowPunct/>
              <w:autoSpaceDE/>
              <w:autoSpaceDN/>
              <w:adjustRightInd/>
              <w:spacing w:line="300" w:lineRule="auto"/>
              <w:textAlignment w:val="auto"/>
              <w:rPr>
                <w:rFonts w:cs="Arial"/>
              </w:rPr>
            </w:pPr>
            <w:r w:rsidRPr="00FB1CBD">
              <w:rPr>
                <w:rFonts w:cs="Arial"/>
              </w:rPr>
              <w:t>1 to 30 days</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Pr>
          <w:p w:rsidR="009C7225" w:rsidRPr="00FB1CBD" w:rsidRDefault="009C7225"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323</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59</w:t>
            </w:r>
          </w:p>
        </w:tc>
      </w:tr>
      <w:tr w:rsidR="002E12AF" w:rsidRPr="00FB1CBD" w:rsidTr="002E12AF">
        <w:tc>
          <w:tcPr>
            <w:tcW w:w="2065" w:type="dxa"/>
          </w:tcPr>
          <w:p w:rsidR="009C7225" w:rsidRPr="00FB1CBD" w:rsidRDefault="009C7225" w:rsidP="00F84A56">
            <w:pPr>
              <w:overflowPunct/>
              <w:autoSpaceDE/>
              <w:autoSpaceDN/>
              <w:adjustRightInd/>
              <w:spacing w:line="300" w:lineRule="auto"/>
              <w:textAlignment w:val="auto"/>
              <w:rPr>
                <w:rFonts w:asciiTheme="majorHAnsi" w:eastAsiaTheme="majorEastAsia" w:hAnsiTheme="majorHAnsi" w:cs="Arial"/>
                <w:b/>
                <w:bCs/>
              </w:rPr>
            </w:pPr>
            <w:r w:rsidRPr="00FB1CBD">
              <w:rPr>
                <w:rFonts w:cs="Arial"/>
              </w:rPr>
              <w:t>31 to 100 days</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Pr>
          <w:p w:rsidR="009C7225" w:rsidRPr="00FB1CBD" w:rsidRDefault="009C7225"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166</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39</w:t>
            </w:r>
          </w:p>
        </w:tc>
      </w:tr>
      <w:tr w:rsidR="002E12AF" w:rsidRPr="00FB1CBD" w:rsidTr="002E12AF">
        <w:tc>
          <w:tcPr>
            <w:tcW w:w="2065" w:type="dxa"/>
          </w:tcPr>
          <w:p w:rsidR="009C7225" w:rsidRPr="00FB1CBD" w:rsidRDefault="009C7225" w:rsidP="00F84A56">
            <w:pPr>
              <w:overflowPunct/>
              <w:autoSpaceDE/>
              <w:autoSpaceDN/>
              <w:adjustRightInd/>
              <w:spacing w:line="300" w:lineRule="auto"/>
              <w:textAlignment w:val="auto"/>
              <w:rPr>
                <w:rFonts w:asciiTheme="majorHAnsi" w:eastAsiaTheme="majorEastAsia" w:hAnsiTheme="majorHAnsi" w:cs="Arial"/>
                <w:b/>
                <w:bCs/>
              </w:rPr>
            </w:pPr>
            <w:r w:rsidRPr="00FB1CBD">
              <w:rPr>
                <w:rFonts w:cs="Arial"/>
              </w:rPr>
              <w:t>101 to 180 days</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66</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20</w:t>
            </w:r>
          </w:p>
        </w:tc>
      </w:tr>
      <w:tr w:rsidR="002E12AF" w:rsidRPr="00FB1CBD" w:rsidTr="002E12AF">
        <w:tc>
          <w:tcPr>
            <w:tcW w:w="2065" w:type="dxa"/>
          </w:tcPr>
          <w:p w:rsidR="009C7225" w:rsidRPr="00FB1CBD" w:rsidRDefault="009C7225" w:rsidP="00F84A56">
            <w:pPr>
              <w:overflowPunct/>
              <w:autoSpaceDE/>
              <w:autoSpaceDN/>
              <w:adjustRightInd/>
              <w:spacing w:line="300" w:lineRule="auto"/>
              <w:textAlignment w:val="auto"/>
              <w:rPr>
                <w:rFonts w:asciiTheme="majorHAnsi" w:eastAsiaTheme="majorEastAsia" w:hAnsiTheme="majorHAnsi" w:cs="Arial"/>
                <w:b/>
                <w:bCs/>
              </w:rPr>
            </w:pPr>
            <w:r w:rsidRPr="00FB1CBD">
              <w:rPr>
                <w:rFonts w:cs="Arial"/>
              </w:rPr>
              <w:t>181 to 360 days</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37</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9</w:t>
            </w:r>
          </w:p>
        </w:tc>
      </w:tr>
      <w:tr w:rsidR="002E12AF" w:rsidRPr="00FB1CBD" w:rsidTr="002E12AF">
        <w:tc>
          <w:tcPr>
            <w:tcW w:w="2065" w:type="dxa"/>
          </w:tcPr>
          <w:p w:rsidR="009C7225" w:rsidRPr="00FB1CBD" w:rsidRDefault="009C7225" w:rsidP="00F84A56">
            <w:pPr>
              <w:overflowPunct/>
              <w:autoSpaceDE/>
              <w:autoSpaceDN/>
              <w:adjustRightInd/>
              <w:spacing w:line="300" w:lineRule="auto"/>
              <w:textAlignment w:val="auto"/>
              <w:rPr>
                <w:rFonts w:asciiTheme="majorHAnsi" w:eastAsiaTheme="majorEastAsia" w:hAnsiTheme="majorHAnsi" w:cs="Arial"/>
                <w:b/>
                <w:bCs/>
              </w:rPr>
            </w:pPr>
            <w:r w:rsidRPr="00FB1CBD">
              <w:rPr>
                <w:rFonts w:cs="Arial"/>
              </w:rPr>
              <w:t>Over 360 days</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Borders>
              <w:bottom w:val="single" w:sz="8" w:space="0" w:color="auto"/>
            </w:tcBorders>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11</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Borders>
              <w:bottom w:val="single" w:sz="8" w:space="0" w:color="auto"/>
            </w:tcBorders>
          </w:tcPr>
          <w:p w:rsidR="009C7225" w:rsidRPr="00FB1CBD" w:rsidRDefault="002E12AF"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 xml:space="preserve">    </w:t>
            </w:r>
            <w:r w:rsidR="009C7225" w:rsidRPr="00FB1CBD">
              <w:rPr>
                <w:rFonts w:cs="Arial"/>
              </w:rPr>
              <w:t>4</w:t>
            </w:r>
          </w:p>
        </w:tc>
      </w:tr>
      <w:tr w:rsidR="002E12AF" w:rsidRPr="00FB1CBD" w:rsidTr="002E12AF">
        <w:tc>
          <w:tcPr>
            <w:tcW w:w="2065" w:type="dxa"/>
          </w:tcPr>
          <w:p w:rsidR="002E12AF" w:rsidRPr="00FB1CBD" w:rsidRDefault="002E12AF" w:rsidP="00F84A56">
            <w:pPr>
              <w:overflowPunct/>
              <w:autoSpaceDE/>
              <w:autoSpaceDN/>
              <w:adjustRightInd/>
              <w:spacing w:line="300" w:lineRule="auto"/>
              <w:textAlignment w:val="auto"/>
              <w:rPr>
                <w:rFonts w:cs="Arial"/>
                <w:sz w:val="16"/>
                <w:szCs w:val="16"/>
              </w:rPr>
            </w:pPr>
          </w:p>
        </w:tc>
        <w:tc>
          <w:tcPr>
            <w:tcW w:w="236" w:type="dxa"/>
          </w:tcPr>
          <w:p w:rsidR="002E12AF" w:rsidRPr="00FB1CBD" w:rsidRDefault="002E12AF" w:rsidP="00F84A56">
            <w:pPr>
              <w:overflowPunct/>
              <w:autoSpaceDE/>
              <w:autoSpaceDN/>
              <w:adjustRightInd/>
              <w:spacing w:line="300" w:lineRule="auto"/>
              <w:jc w:val="right"/>
              <w:textAlignment w:val="auto"/>
              <w:rPr>
                <w:rFonts w:cs="Arial"/>
                <w:sz w:val="16"/>
                <w:szCs w:val="16"/>
              </w:rPr>
            </w:pPr>
          </w:p>
        </w:tc>
        <w:tc>
          <w:tcPr>
            <w:tcW w:w="2066" w:type="dxa"/>
            <w:tcBorders>
              <w:top w:val="single" w:sz="8" w:space="0" w:color="auto"/>
            </w:tcBorders>
          </w:tcPr>
          <w:p w:rsidR="002E12AF" w:rsidRPr="00FB1CBD" w:rsidRDefault="002E12AF" w:rsidP="00F84A56">
            <w:pPr>
              <w:overflowPunct/>
              <w:autoSpaceDE/>
              <w:autoSpaceDN/>
              <w:adjustRightInd/>
              <w:spacing w:line="300" w:lineRule="auto"/>
              <w:jc w:val="center"/>
              <w:textAlignment w:val="auto"/>
              <w:rPr>
                <w:rFonts w:cs="Arial"/>
                <w:sz w:val="16"/>
                <w:szCs w:val="16"/>
              </w:rPr>
            </w:pPr>
          </w:p>
        </w:tc>
        <w:tc>
          <w:tcPr>
            <w:tcW w:w="236" w:type="dxa"/>
          </w:tcPr>
          <w:p w:rsidR="002E12AF" w:rsidRPr="00FB1CBD" w:rsidRDefault="002E12AF" w:rsidP="00F84A56">
            <w:pPr>
              <w:overflowPunct/>
              <w:autoSpaceDE/>
              <w:autoSpaceDN/>
              <w:adjustRightInd/>
              <w:spacing w:line="300" w:lineRule="auto"/>
              <w:jc w:val="center"/>
              <w:textAlignment w:val="auto"/>
              <w:rPr>
                <w:rFonts w:cs="Arial"/>
                <w:sz w:val="16"/>
                <w:szCs w:val="16"/>
              </w:rPr>
            </w:pPr>
          </w:p>
        </w:tc>
        <w:tc>
          <w:tcPr>
            <w:tcW w:w="2271" w:type="dxa"/>
            <w:tcBorders>
              <w:top w:val="single" w:sz="8" w:space="0" w:color="auto"/>
            </w:tcBorders>
          </w:tcPr>
          <w:p w:rsidR="002E12AF" w:rsidRPr="00FB1CBD" w:rsidRDefault="002E12AF" w:rsidP="00F84A56">
            <w:pPr>
              <w:overflowPunct/>
              <w:autoSpaceDE/>
              <w:autoSpaceDN/>
              <w:adjustRightInd/>
              <w:spacing w:line="300" w:lineRule="auto"/>
              <w:jc w:val="center"/>
              <w:textAlignment w:val="auto"/>
              <w:rPr>
                <w:rFonts w:cs="Arial"/>
                <w:sz w:val="16"/>
                <w:szCs w:val="16"/>
              </w:rPr>
            </w:pPr>
          </w:p>
        </w:tc>
      </w:tr>
      <w:tr w:rsidR="002E12AF" w:rsidRPr="00FB1CBD" w:rsidTr="002E12AF">
        <w:tc>
          <w:tcPr>
            <w:tcW w:w="2065" w:type="dxa"/>
          </w:tcPr>
          <w:p w:rsidR="009C7225" w:rsidRPr="00FB1CBD" w:rsidRDefault="002E12AF" w:rsidP="00F84A56">
            <w:pPr>
              <w:overflowPunct/>
              <w:autoSpaceDE/>
              <w:autoSpaceDN/>
              <w:adjustRightInd/>
              <w:spacing w:line="300" w:lineRule="auto"/>
              <w:textAlignment w:val="auto"/>
              <w:rPr>
                <w:rFonts w:asciiTheme="majorHAnsi" w:eastAsiaTheme="majorEastAsia" w:hAnsiTheme="majorHAnsi" w:cs="Arial"/>
                <w:b/>
                <w:bCs/>
              </w:rPr>
            </w:pPr>
            <w:r w:rsidRPr="00FB1CBD">
              <w:rPr>
                <w:rFonts w:cs="Arial"/>
              </w:rPr>
              <w:t xml:space="preserve">   </w:t>
            </w:r>
            <w:r w:rsidR="009C7225" w:rsidRPr="00FB1CBD">
              <w:rPr>
                <w:rFonts w:cs="Arial"/>
              </w:rPr>
              <w:t>Total</w:t>
            </w:r>
          </w:p>
        </w:tc>
        <w:tc>
          <w:tcPr>
            <w:tcW w:w="236" w:type="dxa"/>
          </w:tcPr>
          <w:p w:rsidR="009C7225" w:rsidRPr="00FB1CBD" w:rsidRDefault="009C7225" w:rsidP="00F84A56">
            <w:pPr>
              <w:overflowPunct/>
              <w:autoSpaceDE/>
              <w:autoSpaceDN/>
              <w:adjustRightInd/>
              <w:spacing w:line="300" w:lineRule="auto"/>
              <w:jc w:val="right"/>
              <w:textAlignment w:val="auto"/>
              <w:rPr>
                <w:rFonts w:cs="Arial"/>
              </w:rPr>
            </w:pPr>
          </w:p>
        </w:tc>
        <w:tc>
          <w:tcPr>
            <w:tcW w:w="2066" w:type="dxa"/>
            <w:tcBorders>
              <w:bottom w:val="double" w:sz="6" w:space="0" w:color="auto"/>
            </w:tcBorders>
          </w:tcPr>
          <w:p w:rsidR="009C7225" w:rsidRPr="00FB1CBD" w:rsidRDefault="009C7225"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603</w:t>
            </w:r>
          </w:p>
        </w:tc>
        <w:tc>
          <w:tcPr>
            <w:tcW w:w="236" w:type="dxa"/>
          </w:tcPr>
          <w:p w:rsidR="009C7225" w:rsidRPr="00FB1CBD" w:rsidRDefault="009C7225" w:rsidP="00F84A56">
            <w:pPr>
              <w:overflowPunct/>
              <w:autoSpaceDE/>
              <w:autoSpaceDN/>
              <w:adjustRightInd/>
              <w:spacing w:line="300" w:lineRule="auto"/>
              <w:jc w:val="center"/>
              <w:textAlignment w:val="auto"/>
              <w:rPr>
                <w:rFonts w:cs="Arial"/>
              </w:rPr>
            </w:pPr>
          </w:p>
        </w:tc>
        <w:tc>
          <w:tcPr>
            <w:tcW w:w="2271" w:type="dxa"/>
            <w:tcBorders>
              <w:bottom w:val="double" w:sz="6" w:space="0" w:color="auto"/>
            </w:tcBorders>
          </w:tcPr>
          <w:p w:rsidR="009C7225" w:rsidRPr="00FB1CBD" w:rsidRDefault="009C7225" w:rsidP="00F84A56">
            <w:pPr>
              <w:overflowPunct/>
              <w:autoSpaceDE/>
              <w:autoSpaceDN/>
              <w:adjustRightInd/>
              <w:spacing w:line="300" w:lineRule="auto"/>
              <w:jc w:val="center"/>
              <w:textAlignment w:val="auto"/>
              <w:rPr>
                <w:rFonts w:asciiTheme="majorHAnsi" w:eastAsiaTheme="majorEastAsia" w:hAnsiTheme="majorHAnsi" w:cs="Arial"/>
                <w:b/>
                <w:bCs/>
              </w:rPr>
            </w:pPr>
            <w:r w:rsidRPr="00FB1CBD">
              <w:rPr>
                <w:rFonts w:cs="Arial"/>
              </w:rPr>
              <w:t>131</w:t>
            </w:r>
          </w:p>
        </w:tc>
      </w:tr>
    </w:tbl>
    <w:p w:rsidR="00991305" w:rsidRPr="00FB1CBD" w:rsidRDefault="00991305" w:rsidP="00F84A56">
      <w:pPr>
        <w:overflowPunct/>
        <w:autoSpaceDE/>
        <w:autoSpaceDN/>
        <w:adjustRightInd/>
        <w:spacing w:line="300" w:lineRule="auto"/>
        <w:ind w:left="1008"/>
        <w:jc w:val="both"/>
        <w:textAlignment w:val="auto"/>
        <w:rPr>
          <w:rFonts w:cs="Arial"/>
        </w:rPr>
      </w:pPr>
    </w:p>
    <w:p w:rsidR="00991305" w:rsidRPr="00FB1CBD" w:rsidRDefault="00991305" w:rsidP="00F84A56">
      <w:pPr>
        <w:overflowPunct/>
        <w:autoSpaceDE/>
        <w:autoSpaceDN/>
        <w:adjustRightInd/>
        <w:spacing w:line="300" w:lineRule="auto"/>
        <w:ind w:left="1008"/>
        <w:jc w:val="both"/>
        <w:textAlignment w:val="auto"/>
        <w:rPr>
          <w:rFonts w:cs="Arial"/>
        </w:rPr>
      </w:pPr>
      <w:r w:rsidRPr="00FB1CBD">
        <w:rPr>
          <w:rFonts w:cs="Arial"/>
        </w:rPr>
        <w:t>Also, we could not determine whether providers timely submitted 246 (11.5%) of the 2,148 provider service logs or invoices because the ASWs did not document the date they received the provider service logs or invoices</w:t>
      </w:r>
      <w:r w:rsidR="00267822">
        <w:rPr>
          <w:rFonts w:cs="Arial"/>
        </w:rPr>
        <w:t xml:space="preserve"> (see Exhibit 4 for exceptions by county)</w:t>
      </w:r>
      <w:r w:rsidRPr="00FB1CBD">
        <w:rPr>
          <w:rFonts w:cs="Arial"/>
        </w:rPr>
        <w:t xml:space="preserve">. </w:t>
      </w:r>
      <w:r w:rsidR="00267822">
        <w:rPr>
          <w:rFonts w:cs="Arial"/>
        </w:rPr>
        <w:t xml:space="preserve"> </w:t>
      </w:r>
    </w:p>
    <w:p w:rsidR="002E12AF" w:rsidRPr="00FB1CBD" w:rsidRDefault="002E12AF" w:rsidP="00F84A56">
      <w:pPr>
        <w:overflowPunct/>
        <w:autoSpaceDE/>
        <w:autoSpaceDN/>
        <w:adjustRightInd/>
        <w:spacing w:line="300" w:lineRule="auto"/>
        <w:textAlignment w:val="auto"/>
        <w:rPr>
          <w:rFonts w:cs="Arial"/>
        </w:rPr>
      </w:pPr>
    </w:p>
    <w:p w:rsidR="00BD709D" w:rsidRDefault="00991305" w:rsidP="00F84A56">
      <w:pPr>
        <w:overflowPunct/>
        <w:autoSpaceDE/>
        <w:autoSpaceDN/>
        <w:adjustRightInd/>
        <w:spacing w:line="300" w:lineRule="auto"/>
        <w:ind w:left="1008"/>
        <w:jc w:val="both"/>
        <w:textAlignment w:val="auto"/>
        <w:rPr>
          <w:rFonts w:cs="Arial"/>
        </w:rPr>
      </w:pPr>
      <w:r w:rsidRPr="00FB1CBD">
        <w:rPr>
          <w:rFonts w:cs="Arial"/>
        </w:rPr>
        <w:t>ASM 135 requires providers to prepare and submit a client approved provider service log or invoice within 10 days of the last service date for the quarterly period.</w:t>
      </w:r>
      <w:r w:rsidR="00BE49E2" w:rsidRPr="00FB1CBD">
        <w:rPr>
          <w:rFonts w:cs="Arial"/>
        </w:rPr>
        <w:t xml:space="preserve"> </w:t>
      </w:r>
    </w:p>
    <w:p w:rsidR="00591604" w:rsidRDefault="00591604" w:rsidP="00F84A56">
      <w:pPr>
        <w:overflowPunct/>
        <w:autoSpaceDE/>
        <w:autoSpaceDN/>
        <w:adjustRightInd/>
        <w:spacing w:line="300" w:lineRule="auto"/>
        <w:ind w:left="1008"/>
        <w:jc w:val="both"/>
        <w:textAlignment w:val="auto"/>
        <w:rPr>
          <w:rFonts w:cs="Arial"/>
        </w:rPr>
      </w:pPr>
    </w:p>
    <w:p w:rsidR="00893F75" w:rsidRPr="00FB1CBD" w:rsidRDefault="00893F75" w:rsidP="0014364F">
      <w:pPr>
        <w:tabs>
          <w:tab w:val="left" w:pos="504"/>
        </w:tabs>
        <w:spacing w:line="300" w:lineRule="auto"/>
        <w:ind w:left="504"/>
        <w:jc w:val="both"/>
        <w:rPr>
          <w:rFonts w:cs="Arial"/>
        </w:rPr>
      </w:pPr>
      <w:r w:rsidRPr="00FB1CBD">
        <w:rPr>
          <w:rFonts w:cs="Arial"/>
        </w:rPr>
        <w:t xml:space="preserve">There is </w:t>
      </w:r>
      <w:r w:rsidR="00E907F0" w:rsidRPr="00FB1CBD">
        <w:rPr>
          <w:rFonts w:cs="Arial"/>
        </w:rPr>
        <w:t>limited</w:t>
      </w:r>
      <w:r w:rsidRPr="00FB1CBD">
        <w:rPr>
          <w:rFonts w:cs="Arial"/>
        </w:rPr>
        <w:t xml:space="preserve"> incentive for the provider to submit, or timely submit, the provider service logs or invoices because DCH</w:t>
      </w:r>
      <w:r w:rsidR="00F305E9">
        <w:rPr>
          <w:rFonts w:cs="Arial"/>
        </w:rPr>
        <w:t>'</w:t>
      </w:r>
      <w:r w:rsidRPr="00FB1CBD">
        <w:rPr>
          <w:rFonts w:cs="Arial"/>
        </w:rPr>
        <w:t xml:space="preserve">s payment system generates a monthly payment regardless of whether the providers submit the provider service logs or invoices.  The ASWs informed us that large caseloads and </w:t>
      </w:r>
      <w:r w:rsidR="0079233E">
        <w:rPr>
          <w:rFonts w:cs="Arial"/>
        </w:rPr>
        <w:t xml:space="preserve">the </w:t>
      </w:r>
      <w:r w:rsidRPr="00FB1CBD">
        <w:rPr>
          <w:rFonts w:cs="Arial"/>
        </w:rPr>
        <w:t>lack of a tracking system impacted their ability to monitor the provider service logs and invoices as required</w:t>
      </w:r>
      <w:r w:rsidR="002E12AF" w:rsidRPr="00FB1CBD">
        <w:rPr>
          <w:rFonts w:cs="Arial"/>
        </w:rPr>
        <w:t xml:space="preserve"> </w:t>
      </w:r>
      <w:r w:rsidRPr="00FB1CBD">
        <w:rPr>
          <w:rFonts w:cs="Arial"/>
        </w:rPr>
        <w:t>(</w:t>
      </w:r>
      <w:r w:rsidR="0079233E">
        <w:rPr>
          <w:rFonts w:cs="Arial"/>
        </w:rPr>
        <w:t>s</w:t>
      </w:r>
      <w:r w:rsidRPr="00FB1CBD">
        <w:rPr>
          <w:rFonts w:cs="Arial"/>
        </w:rPr>
        <w:t xml:space="preserve">ee </w:t>
      </w:r>
      <w:r w:rsidR="0079233E">
        <w:rPr>
          <w:rFonts w:cs="Arial"/>
        </w:rPr>
        <w:t>E</w:t>
      </w:r>
      <w:r w:rsidRPr="00FB1CBD">
        <w:rPr>
          <w:rFonts w:cs="Arial"/>
        </w:rPr>
        <w:t xml:space="preserve">xhibit 6 for an historical look at the number of </w:t>
      </w:r>
      <w:r w:rsidR="00A707F8">
        <w:rPr>
          <w:rFonts w:cs="Arial"/>
        </w:rPr>
        <w:t>HHP</w:t>
      </w:r>
      <w:r w:rsidR="0079233E">
        <w:rPr>
          <w:rFonts w:cs="Arial"/>
        </w:rPr>
        <w:t xml:space="preserve"> </w:t>
      </w:r>
      <w:r w:rsidRPr="00FB1CBD">
        <w:rPr>
          <w:rFonts w:cs="Arial"/>
        </w:rPr>
        <w:t xml:space="preserve">clients and </w:t>
      </w:r>
      <w:r w:rsidR="0050119E">
        <w:rPr>
          <w:rFonts w:cs="Arial"/>
        </w:rPr>
        <w:t xml:space="preserve">allocated </w:t>
      </w:r>
      <w:r w:rsidR="00D3096B">
        <w:rPr>
          <w:rFonts w:cs="Arial"/>
        </w:rPr>
        <w:t>ASWs).</w:t>
      </w:r>
    </w:p>
    <w:p w:rsidR="00B21A79" w:rsidRPr="00FB1CBD" w:rsidRDefault="00B21A79" w:rsidP="0014364F">
      <w:pPr>
        <w:tabs>
          <w:tab w:val="left" w:pos="504"/>
        </w:tabs>
        <w:spacing w:line="300" w:lineRule="auto"/>
        <w:ind w:left="504"/>
        <w:jc w:val="both"/>
        <w:rPr>
          <w:rFonts w:cs="Arial"/>
        </w:rPr>
      </w:pPr>
    </w:p>
    <w:p w:rsidR="00BD709D" w:rsidRDefault="00893F75" w:rsidP="0014364F">
      <w:pPr>
        <w:tabs>
          <w:tab w:val="left" w:pos="504"/>
        </w:tabs>
        <w:spacing w:line="300" w:lineRule="auto"/>
        <w:ind w:left="504"/>
        <w:jc w:val="both"/>
        <w:rPr>
          <w:rFonts w:cs="Arial"/>
        </w:rPr>
      </w:pPr>
      <w:r w:rsidRPr="00FB1CBD">
        <w:rPr>
          <w:rFonts w:cs="Arial"/>
        </w:rPr>
        <w:t xml:space="preserve">DCH and DHS were made aware of these missing documentation concerns through internal audits and other contracted reviews over the last several years.  For example, in a March 2005 audit report, </w:t>
      </w:r>
      <w:r w:rsidR="0079233E">
        <w:rPr>
          <w:rFonts w:cs="Arial"/>
        </w:rPr>
        <w:t xml:space="preserve">the </w:t>
      </w:r>
      <w:r w:rsidRPr="00FB1CBD">
        <w:rPr>
          <w:rFonts w:cs="Arial"/>
        </w:rPr>
        <w:t xml:space="preserve">DCH Office of Audit could not locate 21.7% of the provider service logs or invoices that it attempted to test.  In </w:t>
      </w:r>
      <w:r w:rsidR="008C5425">
        <w:rPr>
          <w:rFonts w:cs="Arial"/>
        </w:rPr>
        <w:t xml:space="preserve">April </w:t>
      </w:r>
      <w:r w:rsidRPr="00FB1CBD">
        <w:rPr>
          <w:rFonts w:cs="Arial"/>
        </w:rPr>
        <w:t xml:space="preserve">2009, </w:t>
      </w:r>
      <w:r w:rsidR="0079233E">
        <w:rPr>
          <w:rFonts w:cs="Arial"/>
        </w:rPr>
        <w:t xml:space="preserve">the </w:t>
      </w:r>
      <w:r w:rsidRPr="00FB1CBD">
        <w:rPr>
          <w:rFonts w:cs="Arial"/>
        </w:rPr>
        <w:t xml:space="preserve">Office of Internal Audit Services, </w:t>
      </w:r>
      <w:r w:rsidR="00BD709D" w:rsidRPr="00FB1CBD">
        <w:rPr>
          <w:rFonts w:cs="Arial"/>
        </w:rPr>
        <w:t xml:space="preserve">Department of Technology, </w:t>
      </w:r>
      <w:r w:rsidR="00BD709D">
        <w:rPr>
          <w:rFonts w:cs="Arial"/>
        </w:rPr>
        <w:br/>
      </w:r>
      <w:r w:rsidR="00BD709D">
        <w:rPr>
          <w:rFonts w:cs="Arial"/>
        </w:rPr>
        <w:br w:type="page"/>
      </w:r>
    </w:p>
    <w:p w:rsidR="00B21A79" w:rsidRPr="00FB1CBD" w:rsidRDefault="0014364F" w:rsidP="0014364F">
      <w:pPr>
        <w:tabs>
          <w:tab w:val="left" w:pos="504"/>
        </w:tabs>
        <w:spacing w:line="300" w:lineRule="auto"/>
        <w:ind w:left="504"/>
        <w:jc w:val="both"/>
        <w:rPr>
          <w:rFonts w:cs="Arial"/>
        </w:rPr>
      </w:pPr>
      <w:r w:rsidRPr="00FB1CBD">
        <w:rPr>
          <w:rFonts w:cs="Arial"/>
        </w:rPr>
        <w:lastRenderedPageBreak/>
        <w:t>Management</w:t>
      </w:r>
      <w:r>
        <w:rPr>
          <w:rFonts w:cs="Arial"/>
        </w:rPr>
        <w:t>,</w:t>
      </w:r>
      <w:r w:rsidRPr="00FB1CBD">
        <w:rPr>
          <w:rFonts w:cs="Arial"/>
        </w:rPr>
        <w:t xml:space="preserve"> and Budget </w:t>
      </w:r>
      <w:r>
        <w:rPr>
          <w:rFonts w:cs="Arial"/>
        </w:rPr>
        <w:t xml:space="preserve">(DTMB), </w:t>
      </w:r>
      <w:r w:rsidRPr="00FB1CBD">
        <w:rPr>
          <w:rFonts w:cs="Arial"/>
        </w:rPr>
        <w:t xml:space="preserve">conducted a </w:t>
      </w:r>
      <w:r w:rsidR="00893F75" w:rsidRPr="00FB1CBD">
        <w:rPr>
          <w:rFonts w:cs="Arial"/>
        </w:rPr>
        <w:t>follow-up to the DCH Office of Audit</w:t>
      </w:r>
      <w:r w:rsidR="00F305E9">
        <w:rPr>
          <w:rFonts w:cs="Arial"/>
        </w:rPr>
        <w:t>'</w:t>
      </w:r>
      <w:r w:rsidR="00893F75" w:rsidRPr="00FB1CBD">
        <w:rPr>
          <w:rFonts w:cs="Arial"/>
        </w:rPr>
        <w:t>s report and concluded that the same condition still existed.  Also, in October</w:t>
      </w:r>
      <w:r w:rsidR="0079233E">
        <w:rPr>
          <w:rFonts w:cs="Arial"/>
        </w:rPr>
        <w:t xml:space="preserve"> 2009, November 2010, and March </w:t>
      </w:r>
      <w:r w:rsidR="00893F75" w:rsidRPr="00FB1CBD">
        <w:rPr>
          <w:rFonts w:cs="Arial"/>
        </w:rPr>
        <w:t>2012</w:t>
      </w:r>
      <w:r w:rsidR="0079233E">
        <w:rPr>
          <w:rFonts w:cs="Arial"/>
        </w:rPr>
        <w:t>,</w:t>
      </w:r>
      <w:r w:rsidR="00893F75" w:rsidRPr="00FB1CBD">
        <w:rPr>
          <w:rFonts w:cs="Arial"/>
        </w:rPr>
        <w:t xml:space="preserve"> a contractor hired by DCH to conduct </w:t>
      </w:r>
      <w:r w:rsidR="00A707F8">
        <w:rPr>
          <w:rFonts w:cs="Arial"/>
        </w:rPr>
        <w:t>HHP</w:t>
      </w:r>
      <w:r w:rsidR="0079233E">
        <w:rPr>
          <w:rFonts w:cs="Arial"/>
        </w:rPr>
        <w:t xml:space="preserve"> </w:t>
      </w:r>
      <w:r w:rsidR="00893F75" w:rsidRPr="00FB1CBD">
        <w:rPr>
          <w:rFonts w:cs="Arial"/>
        </w:rPr>
        <w:t xml:space="preserve">case file reviews reported that DHS could not provide the contractor with a significant number of the provider service logs or invoices that it attempted to review.  </w:t>
      </w:r>
    </w:p>
    <w:p w:rsidR="00893F75" w:rsidRPr="00FB1CBD" w:rsidRDefault="00893F75" w:rsidP="00F84A56">
      <w:pPr>
        <w:tabs>
          <w:tab w:val="left" w:pos="504"/>
        </w:tabs>
        <w:spacing w:line="300" w:lineRule="auto"/>
        <w:ind w:left="1008"/>
        <w:jc w:val="both"/>
        <w:rPr>
          <w:rFonts w:cs="Arial"/>
          <w:u w:val="single"/>
        </w:rPr>
      </w:pPr>
    </w:p>
    <w:p w:rsidR="00893F75" w:rsidRPr="00FB1CBD" w:rsidRDefault="00B21A79" w:rsidP="00F84A56">
      <w:pPr>
        <w:tabs>
          <w:tab w:val="left" w:pos="0"/>
        </w:tabs>
        <w:spacing w:line="300" w:lineRule="auto"/>
        <w:jc w:val="both"/>
        <w:rPr>
          <w:rFonts w:cs="Arial"/>
          <w:b/>
          <w:smallCaps/>
          <w:color w:val="000000"/>
          <w:sz w:val="28"/>
          <w:u w:val="single"/>
        </w:rPr>
      </w:pPr>
      <w:r w:rsidRPr="00FB1CBD">
        <w:rPr>
          <w:rFonts w:cs="Arial"/>
          <w:b/>
          <w:smallCaps/>
          <w:color w:val="000000"/>
          <w:sz w:val="28"/>
          <w:u w:val="single"/>
        </w:rPr>
        <w:t>Recommendation</w:t>
      </w:r>
    </w:p>
    <w:p w:rsidR="0079233E" w:rsidRDefault="00893F75" w:rsidP="00F84A56">
      <w:pPr>
        <w:tabs>
          <w:tab w:val="left" w:pos="0"/>
        </w:tabs>
        <w:spacing w:line="300" w:lineRule="auto"/>
        <w:ind w:left="504"/>
        <w:jc w:val="both"/>
        <w:rPr>
          <w:rFonts w:cs="Arial"/>
        </w:rPr>
      </w:pPr>
      <w:r w:rsidRPr="00FB1CBD">
        <w:rPr>
          <w:rFonts w:cs="Arial"/>
        </w:rPr>
        <w:t xml:space="preserve">We recommend that </w:t>
      </w:r>
      <w:r w:rsidR="00AC2304" w:rsidRPr="00FB1CBD">
        <w:rPr>
          <w:rFonts w:cs="Arial"/>
        </w:rPr>
        <w:t xml:space="preserve">DCH and DHS timely </w:t>
      </w:r>
      <w:r w:rsidR="0079233E">
        <w:rPr>
          <w:rFonts w:cs="Arial"/>
        </w:rPr>
        <w:t>obtain sufficient documentation,</w:t>
      </w:r>
      <w:r w:rsidR="00AC2304" w:rsidRPr="00FB1CBD">
        <w:rPr>
          <w:rFonts w:cs="Arial"/>
        </w:rPr>
        <w:t xml:space="preserve"> including provider service logs or invoices, provider and client verification, and ASW reviews, to ensure that providers ha</w:t>
      </w:r>
      <w:r w:rsidR="005A2E06" w:rsidRPr="00FB1CBD">
        <w:rPr>
          <w:rFonts w:cs="Arial"/>
        </w:rPr>
        <w:t>ve</w:t>
      </w:r>
      <w:r w:rsidR="00AC2304" w:rsidRPr="00FB1CBD">
        <w:rPr>
          <w:rFonts w:cs="Arial"/>
        </w:rPr>
        <w:t xml:space="preserve"> delivered the services paid </w:t>
      </w:r>
      <w:r w:rsidR="005A2E06" w:rsidRPr="00FB1CBD">
        <w:rPr>
          <w:rFonts w:cs="Arial"/>
        </w:rPr>
        <w:t xml:space="preserve">for </w:t>
      </w:r>
      <w:r w:rsidR="00AC2304" w:rsidRPr="00FB1CBD">
        <w:rPr>
          <w:rFonts w:cs="Arial"/>
        </w:rPr>
        <w:t xml:space="preserve">through a preauthorized payment process. </w:t>
      </w:r>
    </w:p>
    <w:p w:rsidR="00591604" w:rsidRDefault="00591604" w:rsidP="00F84A56">
      <w:pPr>
        <w:overflowPunct/>
        <w:autoSpaceDE/>
        <w:autoSpaceDN/>
        <w:adjustRightInd/>
        <w:spacing w:line="300" w:lineRule="auto"/>
        <w:textAlignment w:val="auto"/>
        <w:rPr>
          <w:rFonts w:cs="Arial"/>
        </w:rPr>
      </w:pPr>
    </w:p>
    <w:p w:rsidR="0079233E" w:rsidRPr="009C39A0" w:rsidRDefault="009C39A0"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BD709D" w:rsidRPr="00E6466B" w:rsidRDefault="00BD709D" w:rsidP="00BD709D">
      <w:pPr>
        <w:tabs>
          <w:tab w:val="left" w:pos="0"/>
        </w:tabs>
        <w:spacing w:line="300" w:lineRule="auto"/>
        <w:ind w:left="504"/>
        <w:jc w:val="both"/>
        <w:rPr>
          <w:rFonts w:cs="Arial"/>
        </w:rPr>
      </w:pPr>
      <w:r w:rsidRPr="00CC1744">
        <w:rPr>
          <w:rFonts w:cs="Arial"/>
        </w:rPr>
        <w:t>DCH and DHS agree that sufficient documentation was not always obtained or timely obtained to support services provided, that the provider service logs were not always appropriately signed by the provider and the client, and that the ASW did not always initial their review of the provider service logs.  DCH and DHS also believe that actual missing provider service logs and service logs without appropriate signatures is significantly lower than the amount projected across the counties as noted in the finding.  In addition, DCH and DHS also rely on the certification by the client of services provided when they endorse the dual party check for services, however, DCH and DHS acknowledge that additional controls are necessary.</w:t>
      </w:r>
      <w:r w:rsidRPr="00E6466B">
        <w:rPr>
          <w:rFonts w:cs="Arial"/>
        </w:rPr>
        <w:t xml:space="preserve">  </w:t>
      </w:r>
    </w:p>
    <w:p w:rsidR="00BD709D" w:rsidRPr="00E6466B" w:rsidRDefault="00BD709D" w:rsidP="00BD709D">
      <w:pPr>
        <w:tabs>
          <w:tab w:val="left" w:pos="0"/>
        </w:tabs>
        <w:spacing w:line="300" w:lineRule="auto"/>
        <w:ind w:left="504"/>
        <w:jc w:val="both"/>
        <w:rPr>
          <w:rFonts w:cs="Arial"/>
        </w:rPr>
      </w:pPr>
    </w:p>
    <w:p w:rsidR="00BD709D" w:rsidRPr="00E6466B" w:rsidRDefault="00BD709D" w:rsidP="00BD709D">
      <w:pPr>
        <w:tabs>
          <w:tab w:val="left" w:pos="0"/>
        </w:tabs>
        <w:spacing w:line="300" w:lineRule="auto"/>
        <w:ind w:left="504"/>
        <w:jc w:val="both"/>
        <w:rPr>
          <w:rFonts w:cs="Arial"/>
        </w:rPr>
      </w:pPr>
      <w:r w:rsidRPr="00E6466B">
        <w:rPr>
          <w:rFonts w:cs="Arial"/>
        </w:rPr>
        <w:t xml:space="preserve">DCH and DHS informed us that they are undergoing a formal business process review of the home help program which recommends several process improvements, has identified weaknesses in current policies/procedures, and confirmed the need for a post service payment system.  DCH and DHS indicated that they will begin design requirements for a new system which will require attestation of service completion prior to reimbursement if it is determined that modifications to the current case management system are not cost effective.  </w:t>
      </w:r>
    </w:p>
    <w:p w:rsidR="00BD709D" w:rsidRPr="00E6466B" w:rsidRDefault="00BD709D" w:rsidP="00BD709D">
      <w:pPr>
        <w:tabs>
          <w:tab w:val="left" w:pos="0"/>
        </w:tabs>
        <w:spacing w:line="300" w:lineRule="auto"/>
        <w:ind w:left="504"/>
        <w:jc w:val="both"/>
        <w:rPr>
          <w:rFonts w:cs="Arial"/>
        </w:rPr>
      </w:pPr>
    </w:p>
    <w:p w:rsidR="00BD709D" w:rsidRPr="00E6466B" w:rsidRDefault="00BD709D">
      <w:pPr>
        <w:overflowPunct/>
        <w:autoSpaceDE/>
        <w:autoSpaceDN/>
        <w:adjustRightInd/>
        <w:textAlignment w:val="auto"/>
        <w:rPr>
          <w:rFonts w:cs="Arial"/>
        </w:rPr>
      </w:pPr>
      <w:r w:rsidRPr="00E6466B">
        <w:rPr>
          <w:rFonts w:cs="Arial"/>
        </w:rPr>
        <w:br w:type="page"/>
      </w:r>
    </w:p>
    <w:p w:rsidR="00BD709D" w:rsidRPr="00E6466B" w:rsidRDefault="00BD709D" w:rsidP="00BD709D">
      <w:pPr>
        <w:tabs>
          <w:tab w:val="left" w:pos="0"/>
        </w:tabs>
        <w:spacing w:line="300" w:lineRule="auto"/>
        <w:ind w:left="504"/>
        <w:jc w:val="both"/>
        <w:rPr>
          <w:rFonts w:cs="Arial"/>
        </w:rPr>
      </w:pPr>
      <w:r w:rsidRPr="00E6466B">
        <w:rPr>
          <w:rFonts w:cs="Arial"/>
        </w:rPr>
        <w:lastRenderedPageBreak/>
        <w:t>In addition, DCH and DHS indicated that they are implementing the following corrective actions:</w:t>
      </w:r>
    </w:p>
    <w:p w:rsidR="00BD709D" w:rsidRPr="00E6466B" w:rsidRDefault="00BD709D" w:rsidP="00BD709D">
      <w:pPr>
        <w:tabs>
          <w:tab w:val="left" w:pos="0"/>
        </w:tabs>
        <w:spacing w:line="300" w:lineRule="auto"/>
        <w:ind w:left="504"/>
        <w:jc w:val="both"/>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DCH and DHS will look at alternative preauthorization periods and assess the impact and feasibility of switching to a shorter period in lieu of the current 13 month preauthorization.</w:t>
      </w:r>
    </w:p>
    <w:p w:rsidR="00BD709D" w:rsidRPr="00E6466B" w:rsidRDefault="00BD709D" w:rsidP="00BD709D">
      <w:pPr>
        <w:pStyle w:val="ListParagraph"/>
        <w:overflowPunct/>
        <w:autoSpaceDE/>
        <w:autoSpaceDN/>
        <w:adjustRightInd/>
        <w:spacing w:line="300" w:lineRule="auto"/>
        <w:ind w:left="1008"/>
        <w:jc w:val="both"/>
        <w:textAlignment w:val="auto"/>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 xml:space="preserve">By July 1, 2014, DHS will issue a communication to the adult services staff reiterating the requirement to document their review of the provider log for completeness, accuracy, and that it supports the services provided. </w:t>
      </w:r>
    </w:p>
    <w:p w:rsidR="00BD709D" w:rsidRPr="00E6466B" w:rsidRDefault="00BD709D" w:rsidP="00BD709D">
      <w:pPr>
        <w:pStyle w:val="ListParagraph"/>
        <w:spacing w:line="300" w:lineRule="auto"/>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By September 30, 2014, DHS will ensure all adult services staff completes mandatory adult services core training that includes review of policy and requirements regarding the home help authorization and payment process.</w:t>
      </w:r>
    </w:p>
    <w:p w:rsidR="00BD709D" w:rsidRPr="00E6466B" w:rsidRDefault="00BD709D" w:rsidP="00BD709D">
      <w:pPr>
        <w:pStyle w:val="ListParagraph"/>
        <w:spacing w:line="300" w:lineRule="auto"/>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DCH and DHS will review short term solutions recommended by the business process review and determine implementation timelines.</w:t>
      </w:r>
    </w:p>
    <w:p w:rsidR="00BD709D" w:rsidRPr="00E6466B" w:rsidRDefault="00BD709D" w:rsidP="00BD709D">
      <w:pPr>
        <w:pStyle w:val="ListParagraph"/>
        <w:spacing w:line="300" w:lineRule="auto"/>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DHS management at all levels will monitor to ensure that sufficient documentation is timely obtained and maintained to support services provided and that the ASW</w:t>
      </w:r>
      <w:r w:rsidR="00F305E9">
        <w:rPr>
          <w:rFonts w:cs="Arial"/>
        </w:rPr>
        <w:t>'</w:t>
      </w:r>
      <w:r w:rsidRPr="00E6466B">
        <w:rPr>
          <w:rFonts w:cs="Arial"/>
        </w:rPr>
        <w:t>s review of the provider logs is appropriately documented.</w:t>
      </w:r>
    </w:p>
    <w:p w:rsidR="00BD709D" w:rsidRPr="00E6466B" w:rsidRDefault="00BD709D" w:rsidP="00BD709D">
      <w:pPr>
        <w:pStyle w:val="ListParagraph"/>
        <w:spacing w:line="300" w:lineRule="auto"/>
        <w:rPr>
          <w:rFonts w:cs="Arial"/>
        </w:rPr>
      </w:pPr>
    </w:p>
    <w:p w:rsidR="00BD709D" w:rsidRPr="00E6466B" w:rsidRDefault="00BD709D"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DCH and DHS management will develop additional monitoring protocols as necessary to ensure compliance with corrective actions.</w:t>
      </w:r>
    </w:p>
    <w:p w:rsidR="0079233E" w:rsidRPr="00E6466B" w:rsidRDefault="0079233E" w:rsidP="00BD709D">
      <w:pPr>
        <w:tabs>
          <w:tab w:val="left" w:pos="0"/>
        </w:tabs>
        <w:spacing w:line="300" w:lineRule="auto"/>
        <w:ind w:left="504"/>
        <w:jc w:val="both"/>
        <w:rPr>
          <w:rFonts w:cs="Arial"/>
        </w:rPr>
      </w:pPr>
    </w:p>
    <w:p w:rsidR="009C39A0" w:rsidRDefault="009C39A0" w:rsidP="00BD709D">
      <w:pPr>
        <w:tabs>
          <w:tab w:val="left" w:pos="0"/>
        </w:tabs>
        <w:spacing w:line="300" w:lineRule="auto"/>
        <w:ind w:left="504"/>
        <w:jc w:val="both"/>
        <w:rPr>
          <w:rFonts w:cs="Arial"/>
        </w:rPr>
      </w:pPr>
    </w:p>
    <w:p w:rsidR="00893F75" w:rsidRPr="00FB1CBD" w:rsidRDefault="00B21A79" w:rsidP="00F84A56">
      <w:pPr>
        <w:overflowPunct/>
        <w:autoSpaceDE/>
        <w:autoSpaceDN/>
        <w:adjustRightInd/>
        <w:spacing w:line="300" w:lineRule="auto"/>
        <w:textAlignment w:val="auto"/>
        <w:rPr>
          <w:rFonts w:cs="Arial"/>
          <w:b/>
          <w:smallCaps/>
          <w:noProof/>
          <w:sz w:val="28"/>
          <w:u w:val="single"/>
        </w:rPr>
      </w:pPr>
      <w:r w:rsidRPr="00FB1CBD">
        <w:rPr>
          <w:rFonts w:cs="Arial"/>
          <w:b/>
          <w:smallCaps/>
          <w:noProof/>
          <w:sz w:val="28"/>
          <w:u w:val="single"/>
        </w:rPr>
        <w:t>Finding</w:t>
      </w:r>
    </w:p>
    <w:p w:rsidR="00893F75" w:rsidRPr="00FB1CBD" w:rsidRDefault="00893F75" w:rsidP="00F84A56">
      <w:pPr>
        <w:pStyle w:val="A4-FindingTitle"/>
      </w:pPr>
      <w:r w:rsidRPr="00FB1CBD">
        <w:t xml:space="preserve">ASW </w:t>
      </w:r>
      <w:r w:rsidR="00EC64C6">
        <w:t>Contacts W</w:t>
      </w:r>
      <w:r w:rsidRPr="00FB1CBD">
        <w:t>ith Clients and Providers</w:t>
      </w:r>
    </w:p>
    <w:p w:rsidR="00E6466B" w:rsidRDefault="00893F75" w:rsidP="00E6466B">
      <w:pPr>
        <w:tabs>
          <w:tab w:val="left" w:pos="504"/>
        </w:tabs>
        <w:spacing w:line="300" w:lineRule="auto"/>
        <w:ind w:left="504"/>
        <w:contextualSpacing/>
        <w:jc w:val="both"/>
        <w:rPr>
          <w:rFonts w:cs="Arial"/>
        </w:rPr>
      </w:pPr>
      <w:r w:rsidRPr="00FB1CBD">
        <w:rPr>
          <w:rFonts w:eastAsia="Calibri" w:cs="Arial"/>
          <w:color w:val="000000"/>
        </w:rPr>
        <w:t xml:space="preserve">DCH and DHS did not ensure that ASWs timely completed six-month reviews, annual redeterminations, and other required monitoring contacts for their assigned clients and providers.  As a result, DCH and DHS could not ensure that </w:t>
      </w:r>
      <w:r w:rsidRPr="00FB1CBD">
        <w:rPr>
          <w:rFonts w:cs="Arial"/>
        </w:rPr>
        <w:t xml:space="preserve">clients timely received the most appropriate type and quantity of services </w:t>
      </w:r>
      <w:r w:rsidRPr="00FB1CBD">
        <w:rPr>
          <w:rFonts w:cs="Arial"/>
          <w:color w:val="000000"/>
        </w:rPr>
        <w:t xml:space="preserve">for their conditions.  Also, </w:t>
      </w:r>
      <w:r w:rsidR="003A17BF" w:rsidRPr="00FB1CBD">
        <w:rPr>
          <w:rFonts w:cs="Arial"/>
          <w:color w:val="000000"/>
        </w:rPr>
        <w:t xml:space="preserve">because ASWs </w:t>
      </w:r>
      <w:r w:rsidRPr="00FB1CBD">
        <w:rPr>
          <w:rFonts w:cs="Arial"/>
          <w:color w:val="000000"/>
        </w:rPr>
        <w:t xml:space="preserve">did not </w:t>
      </w:r>
      <w:r w:rsidR="003A17BF" w:rsidRPr="00FB1CBD">
        <w:rPr>
          <w:rFonts w:cs="Arial"/>
          <w:color w:val="000000"/>
        </w:rPr>
        <w:t>ensure that providers continued to deliver services to their clients, there is an increased risk of client and provider fraud.</w:t>
      </w:r>
      <w:r w:rsidRPr="00FB1CBD">
        <w:rPr>
          <w:rFonts w:cs="Arial"/>
          <w:color w:val="000000"/>
        </w:rPr>
        <w:t xml:space="preserve">  </w:t>
      </w:r>
      <w:r w:rsidR="00D45983" w:rsidRPr="00FB1CBD">
        <w:rPr>
          <w:rFonts w:cs="Arial"/>
          <w:color w:val="000000"/>
        </w:rPr>
        <w:t>In addition</w:t>
      </w:r>
      <w:r w:rsidRPr="00FB1CBD">
        <w:rPr>
          <w:rFonts w:cs="Arial"/>
          <w:color w:val="000000"/>
        </w:rPr>
        <w:t xml:space="preserve">, DCH could be liable for repaying the federal share of Medicaid payments made for </w:t>
      </w:r>
      <w:r w:rsidR="00A707F8">
        <w:rPr>
          <w:rFonts w:cs="Arial"/>
          <w:color w:val="000000"/>
        </w:rPr>
        <w:t>HHP</w:t>
      </w:r>
      <w:r w:rsidR="00956BBC">
        <w:rPr>
          <w:rFonts w:cs="Arial"/>
          <w:color w:val="000000"/>
        </w:rPr>
        <w:t xml:space="preserve"> </w:t>
      </w:r>
      <w:r w:rsidRPr="00FB1CBD">
        <w:rPr>
          <w:rFonts w:cs="Arial"/>
          <w:color w:val="000000"/>
        </w:rPr>
        <w:t xml:space="preserve">cases that were not monitored in accordance with established procedures. </w:t>
      </w:r>
      <w:r w:rsidR="00E6466B">
        <w:rPr>
          <w:rFonts w:cs="Arial"/>
        </w:rPr>
        <w:br w:type="page"/>
      </w:r>
    </w:p>
    <w:p w:rsidR="00893F75" w:rsidRPr="00FB1CBD" w:rsidRDefault="00893F75" w:rsidP="00F84A56">
      <w:pPr>
        <w:spacing w:line="300" w:lineRule="auto"/>
        <w:ind w:left="504"/>
        <w:jc w:val="both"/>
        <w:rPr>
          <w:rFonts w:cs="Arial"/>
        </w:rPr>
      </w:pPr>
      <w:r w:rsidRPr="00FB1CBD">
        <w:rPr>
          <w:rFonts w:cs="Arial"/>
        </w:rPr>
        <w:lastRenderedPageBreak/>
        <w:t>We reviewed the client and provider contact information for 154 randomly sampled clients from 9 selected counties for the period October 1, 2010 through April 30, 2013</w:t>
      </w:r>
      <w:r w:rsidR="00EC193A" w:rsidRPr="00FB1CBD">
        <w:rPr>
          <w:rFonts w:cs="Arial"/>
        </w:rPr>
        <w:t xml:space="preserve"> (see </w:t>
      </w:r>
      <w:r w:rsidR="00956BBC">
        <w:rPr>
          <w:rFonts w:cs="Arial"/>
        </w:rPr>
        <w:t>s</w:t>
      </w:r>
      <w:r w:rsidR="00CE715A" w:rsidRPr="00FB1CBD">
        <w:t xml:space="preserve">ampling </w:t>
      </w:r>
      <w:r w:rsidR="00956BBC">
        <w:t>m</w:t>
      </w:r>
      <w:r w:rsidR="00CE715A" w:rsidRPr="00FB1CBD">
        <w:t xml:space="preserve">ethodology for review of provider </w:t>
      </w:r>
      <w:r w:rsidR="00B62440">
        <w:t xml:space="preserve">service </w:t>
      </w:r>
      <w:r w:rsidR="00CE715A" w:rsidRPr="00FB1CBD">
        <w:t>logs or invoices, re</w:t>
      </w:r>
      <w:r w:rsidR="00D3598F">
        <w:t>quired client and provider contacts</w:t>
      </w:r>
      <w:r w:rsidR="00CE715A" w:rsidRPr="00FB1CBD">
        <w:t xml:space="preserve">, </w:t>
      </w:r>
      <w:r w:rsidR="00956BBC">
        <w:t xml:space="preserve">client </w:t>
      </w:r>
      <w:r w:rsidR="00CE715A" w:rsidRPr="00FB1CBD">
        <w:t>case files, and referral of suspected client and provider fraud</w:t>
      </w:r>
      <w:r w:rsidR="00956BBC">
        <w:t>s</w:t>
      </w:r>
      <w:r w:rsidR="00CE715A" w:rsidRPr="00FB1CBD">
        <w:t xml:space="preserve">). </w:t>
      </w:r>
      <w:r w:rsidRPr="00FB1CBD">
        <w:rPr>
          <w:rFonts w:cs="Arial"/>
        </w:rPr>
        <w:t xml:space="preserve"> Our review disclosed:   </w:t>
      </w:r>
    </w:p>
    <w:p w:rsidR="00893F75" w:rsidRPr="00FB1CBD" w:rsidRDefault="00893F75" w:rsidP="00F84A56">
      <w:pPr>
        <w:spacing w:line="300" w:lineRule="auto"/>
        <w:ind w:left="504"/>
        <w:jc w:val="both"/>
        <w:rPr>
          <w:rFonts w:cs="Arial"/>
        </w:rPr>
      </w:pPr>
    </w:p>
    <w:p w:rsidR="00893F75" w:rsidRPr="00FB1CBD" w:rsidRDefault="00893F75" w:rsidP="00027935">
      <w:pPr>
        <w:numPr>
          <w:ilvl w:val="0"/>
          <w:numId w:val="16"/>
        </w:numPr>
        <w:spacing w:line="300" w:lineRule="auto"/>
        <w:ind w:left="1008" w:hanging="504"/>
        <w:contextualSpacing/>
        <w:jc w:val="both"/>
        <w:rPr>
          <w:rFonts w:cs="Arial"/>
        </w:rPr>
      </w:pPr>
      <w:r w:rsidRPr="00FB1CBD">
        <w:rPr>
          <w:rFonts w:cs="Arial"/>
        </w:rPr>
        <w:t xml:space="preserve">ASWs did not complete 186 (69.7%) of 267 required six-month reviews. </w:t>
      </w:r>
      <w:r w:rsidR="00EC193A" w:rsidRPr="00FB1CBD">
        <w:rPr>
          <w:rFonts w:cs="Arial"/>
        </w:rPr>
        <w:t xml:space="preserve"> </w:t>
      </w:r>
      <w:r w:rsidRPr="00FB1CBD">
        <w:rPr>
          <w:rFonts w:cs="Arial"/>
        </w:rPr>
        <w:t xml:space="preserve">Also, ASWs did not timely complete 17 (6.4%) six-month reviews. </w:t>
      </w:r>
      <w:r w:rsidR="00EC193A" w:rsidRPr="00FB1CBD">
        <w:rPr>
          <w:rFonts w:cs="Arial"/>
        </w:rPr>
        <w:t xml:space="preserve"> </w:t>
      </w:r>
      <w:r w:rsidRPr="00FB1CBD">
        <w:rPr>
          <w:rFonts w:cs="Arial"/>
        </w:rPr>
        <w:t xml:space="preserve">The ASWs completed the untimely six-month reviews between 1 </w:t>
      </w:r>
      <w:r w:rsidR="00956BBC">
        <w:rPr>
          <w:rFonts w:cs="Arial"/>
        </w:rPr>
        <w:t xml:space="preserve">month </w:t>
      </w:r>
      <w:r w:rsidRPr="00FB1CBD">
        <w:rPr>
          <w:rFonts w:cs="Arial"/>
        </w:rPr>
        <w:t xml:space="preserve">and 4 months late (see </w:t>
      </w:r>
      <w:r w:rsidR="00956BBC">
        <w:rPr>
          <w:rFonts w:cs="Arial"/>
        </w:rPr>
        <w:t>E</w:t>
      </w:r>
      <w:r w:rsidRPr="00FB1CBD">
        <w:rPr>
          <w:rFonts w:cs="Arial"/>
        </w:rPr>
        <w:t>xhibit 7 for exceptions by county).</w:t>
      </w:r>
    </w:p>
    <w:p w:rsidR="00591604" w:rsidRDefault="00591604" w:rsidP="00F84A56">
      <w:pPr>
        <w:overflowPunct/>
        <w:autoSpaceDE/>
        <w:autoSpaceDN/>
        <w:adjustRightInd/>
        <w:spacing w:line="300" w:lineRule="auto"/>
        <w:textAlignment w:val="auto"/>
        <w:rPr>
          <w:rFonts w:cs="Arial"/>
        </w:rPr>
      </w:pPr>
    </w:p>
    <w:p w:rsidR="00893F75" w:rsidRPr="00FB1CBD" w:rsidRDefault="00893F75" w:rsidP="00F84A56">
      <w:pPr>
        <w:spacing w:line="300" w:lineRule="auto"/>
        <w:ind w:left="1008"/>
        <w:jc w:val="both"/>
        <w:rPr>
          <w:rFonts w:cs="Arial"/>
        </w:rPr>
      </w:pPr>
      <w:r w:rsidRPr="00FB1CBD">
        <w:rPr>
          <w:rFonts w:cs="Arial"/>
        </w:rPr>
        <w:t xml:space="preserve">ASM 155 requires ASWs to meet face-to-face with clients in their homes six months after </w:t>
      </w:r>
      <w:r w:rsidR="00956BBC">
        <w:rPr>
          <w:rFonts w:cs="Arial"/>
        </w:rPr>
        <w:t xml:space="preserve">each </w:t>
      </w:r>
      <w:r w:rsidRPr="00FB1CBD">
        <w:rPr>
          <w:rFonts w:cs="Arial"/>
        </w:rPr>
        <w:t>client</w:t>
      </w:r>
      <w:r w:rsidR="00F305E9">
        <w:rPr>
          <w:rFonts w:cs="Arial"/>
        </w:rPr>
        <w:t>'</w:t>
      </w:r>
      <w:r w:rsidRPr="00FB1CBD">
        <w:rPr>
          <w:rFonts w:cs="Arial"/>
        </w:rPr>
        <w:t xml:space="preserve">s initial assessment and annual reassessments. </w:t>
      </w:r>
      <w:r w:rsidR="00EC193A" w:rsidRPr="00FB1CBD">
        <w:rPr>
          <w:rFonts w:cs="Arial"/>
        </w:rPr>
        <w:t xml:space="preserve"> </w:t>
      </w:r>
      <w:r w:rsidRPr="00FB1CBD">
        <w:rPr>
          <w:rFonts w:cs="Arial"/>
        </w:rPr>
        <w:t>The ASW is required to review the quality of and client satisfaction with the services provided to the client and the continued appropriateness of the client</w:t>
      </w:r>
      <w:r w:rsidR="00F305E9">
        <w:rPr>
          <w:rFonts w:cs="Arial"/>
        </w:rPr>
        <w:t>'</w:t>
      </w:r>
      <w:r w:rsidRPr="00FB1CBD">
        <w:rPr>
          <w:rFonts w:cs="Arial"/>
        </w:rPr>
        <w:t>s comprehensive individualized service plan.  Often, client service plans require adjustment (</w:t>
      </w:r>
      <w:r w:rsidR="00956BBC">
        <w:rPr>
          <w:rFonts w:cs="Arial"/>
        </w:rPr>
        <w:t xml:space="preserve">an </w:t>
      </w:r>
      <w:r w:rsidRPr="00FB1CBD">
        <w:rPr>
          <w:rFonts w:cs="Arial"/>
        </w:rPr>
        <w:t xml:space="preserve">increase or decrease </w:t>
      </w:r>
      <w:r w:rsidR="00956BBC">
        <w:rPr>
          <w:rFonts w:cs="Arial"/>
        </w:rPr>
        <w:t xml:space="preserve">in </w:t>
      </w:r>
      <w:r w:rsidRPr="00FB1CBD">
        <w:rPr>
          <w:rFonts w:cs="Arial"/>
        </w:rPr>
        <w:t>services) when there is a change in a client</w:t>
      </w:r>
      <w:r w:rsidR="00F305E9">
        <w:rPr>
          <w:rFonts w:cs="Arial"/>
        </w:rPr>
        <w:t>'</w:t>
      </w:r>
      <w:r w:rsidRPr="00FB1CBD">
        <w:rPr>
          <w:rFonts w:cs="Arial"/>
        </w:rPr>
        <w:t xml:space="preserve">s health or living situation. </w:t>
      </w:r>
      <w:r w:rsidR="00EC193A" w:rsidRPr="00FB1CBD">
        <w:rPr>
          <w:rFonts w:cs="Arial"/>
        </w:rPr>
        <w:t xml:space="preserve"> </w:t>
      </w:r>
      <w:r w:rsidRPr="00FB1CBD">
        <w:rPr>
          <w:rFonts w:cs="Arial"/>
        </w:rPr>
        <w:t xml:space="preserve">Timely six-month reviews help to ensure that these adjustments are completed as quickly as possible.  </w:t>
      </w:r>
    </w:p>
    <w:p w:rsidR="00B21A79" w:rsidRPr="00FB1CBD" w:rsidRDefault="00B21A79" w:rsidP="00F84A56">
      <w:pPr>
        <w:spacing w:line="300" w:lineRule="auto"/>
        <w:ind w:left="1008"/>
        <w:jc w:val="both"/>
        <w:rPr>
          <w:rFonts w:cs="Arial"/>
        </w:rPr>
      </w:pPr>
    </w:p>
    <w:p w:rsidR="00893F75" w:rsidRPr="00FB1CBD" w:rsidRDefault="00893F75" w:rsidP="00027935">
      <w:pPr>
        <w:numPr>
          <w:ilvl w:val="0"/>
          <w:numId w:val="16"/>
        </w:numPr>
        <w:overflowPunct/>
        <w:autoSpaceDE/>
        <w:autoSpaceDN/>
        <w:adjustRightInd/>
        <w:spacing w:line="300" w:lineRule="auto"/>
        <w:ind w:left="1008" w:hanging="504"/>
        <w:contextualSpacing/>
        <w:jc w:val="both"/>
        <w:textAlignment w:val="auto"/>
        <w:rPr>
          <w:rFonts w:cs="Arial"/>
        </w:rPr>
      </w:pPr>
      <w:r w:rsidRPr="00FB1CBD">
        <w:rPr>
          <w:rFonts w:cs="Arial"/>
        </w:rPr>
        <w:t xml:space="preserve">ASWs did not complete 116 (43.9%) of 264 required face-to-face or telephone contacts with service providers (see </w:t>
      </w:r>
      <w:r w:rsidR="00956BBC">
        <w:rPr>
          <w:rFonts w:cs="Arial"/>
        </w:rPr>
        <w:t>E</w:t>
      </w:r>
      <w:r w:rsidRPr="00FB1CBD">
        <w:rPr>
          <w:rFonts w:cs="Arial"/>
        </w:rPr>
        <w:t xml:space="preserve">xhibit 8 for exceptions by county).  </w:t>
      </w:r>
    </w:p>
    <w:p w:rsidR="00B21A79" w:rsidRPr="00FB1CBD" w:rsidRDefault="00B21A79" w:rsidP="00F84A56">
      <w:pPr>
        <w:overflowPunct/>
        <w:autoSpaceDE/>
        <w:autoSpaceDN/>
        <w:adjustRightInd/>
        <w:spacing w:line="300" w:lineRule="auto"/>
        <w:ind w:left="1008"/>
        <w:contextualSpacing/>
        <w:jc w:val="both"/>
        <w:textAlignment w:val="auto"/>
        <w:rPr>
          <w:rFonts w:cs="Arial"/>
        </w:rPr>
      </w:pPr>
    </w:p>
    <w:p w:rsidR="00591604" w:rsidRDefault="00893F75" w:rsidP="00E6466B">
      <w:pPr>
        <w:spacing w:line="300" w:lineRule="auto"/>
        <w:ind w:left="1008"/>
        <w:jc w:val="both"/>
        <w:rPr>
          <w:rFonts w:cs="Arial"/>
        </w:rPr>
      </w:pPr>
      <w:r w:rsidRPr="00FB1CBD">
        <w:rPr>
          <w:rFonts w:cs="Arial"/>
        </w:rPr>
        <w:t>ASM 155 requires ASWs to complete a face-to-face or telephone contact with the provider for each of their clients at the client</w:t>
      </w:r>
      <w:r w:rsidR="00F305E9">
        <w:rPr>
          <w:rFonts w:cs="Arial"/>
        </w:rPr>
        <w:t>'</w:t>
      </w:r>
      <w:r w:rsidRPr="00FB1CBD">
        <w:rPr>
          <w:rFonts w:cs="Arial"/>
        </w:rPr>
        <w:t>s six-month review and annual redetermination to verify that the provider delivered the required services.  These contacts are necessary because payments for services delivered by individual pro</w:t>
      </w:r>
      <w:r w:rsidR="00956BBC">
        <w:rPr>
          <w:rFonts w:cs="Arial"/>
        </w:rPr>
        <w:t xml:space="preserve">viders are made via a two-party </w:t>
      </w:r>
      <w:r w:rsidRPr="00FB1CBD">
        <w:rPr>
          <w:rFonts w:cs="Arial"/>
        </w:rPr>
        <w:t xml:space="preserve">warrant made out to the client and </w:t>
      </w:r>
      <w:r w:rsidR="00956BBC">
        <w:rPr>
          <w:rFonts w:cs="Arial"/>
        </w:rPr>
        <w:t xml:space="preserve">the </w:t>
      </w:r>
      <w:r w:rsidRPr="00FB1CBD">
        <w:rPr>
          <w:rFonts w:cs="Arial"/>
        </w:rPr>
        <w:t>provider.  In these cases, the client receives the warrant, endorses it</w:t>
      </w:r>
      <w:r w:rsidR="00956BBC">
        <w:rPr>
          <w:rFonts w:cs="Arial"/>
        </w:rPr>
        <w:t>,</w:t>
      </w:r>
      <w:r w:rsidRPr="00FB1CBD">
        <w:rPr>
          <w:rFonts w:cs="Arial"/>
        </w:rPr>
        <w:t xml:space="preserve"> and then gives it to the provider.  The provider contacts serve as a control to help prevent clients from dismissing their providers without notifying their ASW</w:t>
      </w:r>
      <w:r w:rsidR="00956BBC">
        <w:rPr>
          <w:rFonts w:cs="Arial"/>
        </w:rPr>
        <w:t>s</w:t>
      </w:r>
      <w:r w:rsidRPr="00FB1CBD">
        <w:rPr>
          <w:rFonts w:cs="Arial"/>
        </w:rPr>
        <w:t xml:space="preserve"> and keeping subsequent </w:t>
      </w:r>
      <w:r w:rsidR="00A707F8">
        <w:rPr>
          <w:rFonts w:cs="Arial"/>
        </w:rPr>
        <w:t>HHP</w:t>
      </w:r>
      <w:r w:rsidRPr="00FB1CBD">
        <w:rPr>
          <w:rFonts w:cs="Arial"/>
        </w:rPr>
        <w:t xml:space="preserve"> payments for themselves. </w:t>
      </w:r>
      <w:r w:rsidR="00EC193A" w:rsidRPr="00FB1CBD">
        <w:rPr>
          <w:rFonts w:cs="Arial"/>
        </w:rPr>
        <w:t xml:space="preserve"> </w:t>
      </w:r>
      <w:r w:rsidRPr="00FB1CBD">
        <w:rPr>
          <w:rFonts w:cs="Arial"/>
        </w:rPr>
        <w:t xml:space="preserve">For example, in one of the cases that we reviewed, </w:t>
      </w:r>
      <w:r w:rsidR="00956BBC" w:rsidRPr="00FB1CBD">
        <w:rPr>
          <w:rFonts w:cs="Arial"/>
        </w:rPr>
        <w:t xml:space="preserve">we noted </w:t>
      </w:r>
      <w:r w:rsidRPr="00FB1CBD">
        <w:rPr>
          <w:rFonts w:cs="Arial"/>
        </w:rPr>
        <w:t>that</w:t>
      </w:r>
      <w:r w:rsidR="00956BBC">
        <w:rPr>
          <w:rFonts w:cs="Arial"/>
        </w:rPr>
        <w:t>,</w:t>
      </w:r>
      <w:r w:rsidRPr="00FB1CBD">
        <w:rPr>
          <w:rFonts w:cs="Arial"/>
        </w:rPr>
        <w:t xml:space="preserve"> if the ASW had timely co</w:t>
      </w:r>
      <w:r w:rsidR="003A17BF" w:rsidRPr="00FB1CBD">
        <w:rPr>
          <w:rFonts w:cs="Arial"/>
        </w:rPr>
        <w:t xml:space="preserve">ntacted </w:t>
      </w:r>
      <w:r w:rsidR="00956BBC">
        <w:rPr>
          <w:rFonts w:cs="Arial"/>
        </w:rPr>
        <w:t xml:space="preserve">the </w:t>
      </w:r>
      <w:r w:rsidR="00CE6C95" w:rsidRPr="00FB1CBD">
        <w:rPr>
          <w:rFonts w:cs="Arial"/>
        </w:rPr>
        <w:t>provider</w:t>
      </w:r>
      <w:r w:rsidRPr="00FB1CBD">
        <w:rPr>
          <w:rFonts w:cs="Arial"/>
        </w:rPr>
        <w:t>, the ASW could have prevented 6 erroneous payments totaling $3,598.</w:t>
      </w:r>
      <w:r w:rsidR="003A17BF" w:rsidRPr="00FB1CBD">
        <w:rPr>
          <w:rFonts w:cs="Arial"/>
        </w:rPr>
        <w:t xml:space="preserve"> </w:t>
      </w:r>
      <w:r w:rsidR="00EC193A" w:rsidRPr="00FB1CBD">
        <w:rPr>
          <w:rFonts w:cs="Arial"/>
        </w:rPr>
        <w:t xml:space="preserve"> </w:t>
      </w:r>
      <w:r w:rsidR="003A17BF" w:rsidRPr="00FB1CBD">
        <w:rPr>
          <w:rFonts w:cs="Arial"/>
        </w:rPr>
        <w:t xml:space="preserve">Although the ASW referred the erroneous payments to the DCH </w:t>
      </w:r>
      <w:r w:rsidR="00360B67">
        <w:rPr>
          <w:rFonts w:cs="Arial"/>
        </w:rPr>
        <w:t>Medicaid C</w:t>
      </w:r>
      <w:r w:rsidR="003A17BF" w:rsidRPr="00FB1CBD">
        <w:rPr>
          <w:rFonts w:cs="Arial"/>
        </w:rPr>
        <w:t>ollection</w:t>
      </w:r>
      <w:r w:rsidR="00703317">
        <w:rPr>
          <w:rFonts w:cs="Arial"/>
        </w:rPr>
        <w:t>s Unit for recoupment, as of March</w:t>
      </w:r>
      <w:r w:rsidR="003A17BF" w:rsidRPr="00FB1CBD">
        <w:rPr>
          <w:rFonts w:cs="Arial"/>
        </w:rPr>
        <w:t xml:space="preserve"> 27, 2014, DCH had not made any related recoveries.</w:t>
      </w:r>
      <w:r w:rsidR="00E6466B">
        <w:rPr>
          <w:rFonts w:cs="Arial"/>
        </w:rPr>
        <w:t xml:space="preserve">  </w:t>
      </w:r>
      <w:r w:rsidR="00591604">
        <w:rPr>
          <w:rFonts w:cs="Arial"/>
        </w:rPr>
        <w:br w:type="page"/>
      </w:r>
    </w:p>
    <w:p w:rsidR="003A17BF" w:rsidRPr="00FB1CBD" w:rsidRDefault="003A17BF" w:rsidP="00027935">
      <w:pPr>
        <w:numPr>
          <w:ilvl w:val="0"/>
          <w:numId w:val="16"/>
        </w:numPr>
        <w:spacing w:line="300" w:lineRule="auto"/>
        <w:ind w:left="1008" w:hanging="504"/>
        <w:contextualSpacing/>
        <w:jc w:val="both"/>
        <w:rPr>
          <w:rFonts w:cs="Arial"/>
        </w:rPr>
      </w:pPr>
      <w:r w:rsidRPr="00FB1CBD">
        <w:rPr>
          <w:rFonts w:cs="Arial"/>
        </w:rPr>
        <w:lastRenderedPageBreak/>
        <w:t xml:space="preserve">ASWs did not complete 5 (2.1%) of 240 required annual redeterminations. Also, ASWs did not timely complete 77 (32.1%) of the annual redeterminations (see </w:t>
      </w:r>
      <w:r w:rsidR="00360B67">
        <w:rPr>
          <w:rFonts w:cs="Arial"/>
        </w:rPr>
        <w:t>E</w:t>
      </w:r>
      <w:r w:rsidRPr="00FB1CBD">
        <w:rPr>
          <w:rFonts w:cs="Arial"/>
        </w:rPr>
        <w:t xml:space="preserve">xhibit 7 for exceptions by county).  The ASWs completed the untimely annual redeterminations between 1 </w:t>
      </w:r>
      <w:r w:rsidR="00360B67">
        <w:rPr>
          <w:rFonts w:cs="Arial"/>
        </w:rPr>
        <w:t>month and 10 </w:t>
      </w:r>
      <w:r w:rsidRPr="00FB1CBD">
        <w:rPr>
          <w:rFonts w:cs="Arial"/>
        </w:rPr>
        <w:t xml:space="preserve">months late. </w:t>
      </w:r>
    </w:p>
    <w:p w:rsidR="003A17BF" w:rsidRPr="00FB1CBD" w:rsidRDefault="003A17BF" w:rsidP="00F84A56">
      <w:pPr>
        <w:spacing w:line="300" w:lineRule="auto"/>
        <w:ind w:left="1008"/>
        <w:contextualSpacing/>
        <w:jc w:val="both"/>
        <w:rPr>
          <w:rFonts w:cs="Arial"/>
        </w:rPr>
      </w:pPr>
    </w:p>
    <w:p w:rsidR="003A17BF" w:rsidRPr="00FB1CBD" w:rsidRDefault="003A17BF" w:rsidP="00F84A56">
      <w:pPr>
        <w:spacing w:line="300" w:lineRule="auto"/>
        <w:ind w:left="1008"/>
        <w:jc w:val="both"/>
        <w:rPr>
          <w:rFonts w:cs="Arial"/>
        </w:rPr>
      </w:pPr>
      <w:r w:rsidRPr="00FB1CBD">
        <w:rPr>
          <w:rFonts w:cs="Arial"/>
        </w:rPr>
        <w:t>ASM 115 requires ASWs to meet face-to-face with clients in their homes to complete an annual redetermination.  The annual redetermination includes a comprehensive assessment to identify the client</w:t>
      </w:r>
      <w:r w:rsidR="00F305E9">
        <w:rPr>
          <w:rFonts w:cs="Arial"/>
        </w:rPr>
        <w:t>'</w:t>
      </w:r>
      <w:r w:rsidRPr="00FB1CBD">
        <w:rPr>
          <w:rFonts w:cs="Arial"/>
        </w:rPr>
        <w:t>s strengths and limitations and development of a comprehensive individualized service plan to address the client</w:t>
      </w:r>
      <w:r w:rsidR="00F305E9">
        <w:rPr>
          <w:rFonts w:cs="Arial"/>
        </w:rPr>
        <w:t>'</w:t>
      </w:r>
      <w:r w:rsidRPr="00FB1CBD">
        <w:rPr>
          <w:rFonts w:cs="Arial"/>
        </w:rPr>
        <w:t>s needs as identified in the comprehensive assessment.  As part of these meetings, ASWs are also required to assess clients</w:t>
      </w:r>
      <w:r w:rsidR="00F305E9">
        <w:rPr>
          <w:rFonts w:cs="Arial"/>
        </w:rPr>
        <w:t>'</w:t>
      </w:r>
      <w:r w:rsidRPr="00FB1CBD">
        <w:rPr>
          <w:rFonts w:cs="Arial"/>
        </w:rPr>
        <w:t xml:space="preserve"> satisfaction with already delivered services.</w:t>
      </w:r>
    </w:p>
    <w:p w:rsidR="00B21A79" w:rsidRPr="00FB1CBD" w:rsidRDefault="00B21A79" w:rsidP="00F84A56">
      <w:pPr>
        <w:spacing w:line="300" w:lineRule="auto"/>
        <w:ind w:left="1008"/>
        <w:jc w:val="both"/>
        <w:rPr>
          <w:rFonts w:cs="Arial"/>
        </w:rPr>
      </w:pPr>
    </w:p>
    <w:p w:rsidR="00893F75" w:rsidRPr="00FB1CBD" w:rsidRDefault="00893F75" w:rsidP="00027935">
      <w:pPr>
        <w:numPr>
          <w:ilvl w:val="0"/>
          <w:numId w:val="16"/>
        </w:numPr>
        <w:overflowPunct/>
        <w:autoSpaceDE/>
        <w:autoSpaceDN/>
        <w:adjustRightInd/>
        <w:spacing w:line="300" w:lineRule="auto"/>
        <w:ind w:left="1008" w:hanging="504"/>
        <w:contextualSpacing/>
        <w:jc w:val="both"/>
        <w:textAlignment w:val="auto"/>
        <w:rPr>
          <w:rFonts w:cs="Arial"/>
        </w:rPr>
      </w:pPr>
      <w:r w:rsidRPr="00FB1CBD">
        <w:rPr>
          <w:rFonts w:cs="Arial"/>
        </w:rPr>
        <w:t>ASWs did not complete new face-to-face asse</w:t>
      </w:r>
      <w:r w:rsidR="00EC193A" w:rsidRPr="00FB1CBD">
        <w:rPr>
          <w:rFonts w:cs="Arial"/>
        </w:rPr>
        <w:t>ssments for 9 (5.8%) of 154 </w:t>
      </w:r>
      <w:r w:rsidRPr="00FB1CBD">
        <w:rPr>
          <w:rFonts w:cs="Arial"/>
        </w:rPr>
        <w:t xml:space="preserve">clients before authorizing payment for increased service levels (see </w:t>
      </w:r>
      <w:r w:rsidR="007E2E9E">
        <w:rPr>
          <w:rFonts w:cs="Arial"/>
        </w:rPr>
        <w:t>E</w:t>
      </w:r>
      <w:r w:rsidRPr="00FB1CBD">
        <w:rPr>
          <w:rFonts w:cs="Arial"/>
        </w:rPr>
        <w:t xml:space="preserve">xhibit 8 for exceptions by county). </w:t>
      </w:r>
      <w:r w:rsidR="00EC193A" w:rsidRPr="00FB1CBD">
        <w:rPr>
          <w:rFonts w:cs="Arial"/>
        </w:rPr>
        <w:t xml:space="preserve"> </w:t>
      </w:r>
      <w:r w:rsidRPr="00FB1CBD">
        <w:rPr>
          <w:rFonts w:cs="Arial"/>
        </w:rPr>
        <w:t xml:space="preserve">In these cases, there was no documentation supporting the need for the increased service levels. </w:t>
      </w:r>
    </w:p>
    <w:p w:rsidR="00B21A79" w:rsidRPr="00FB1CBD" w:rsidRDefault="00B21A79" w:rsidP="00F84A56">
      <w:pPr>
        <w:overflowPunct/>
        <w:autoSpaceDE/>
        <w:autoSpaceDN/>
        <w:adjustRightInd/>
        <w:spacing w:line="300" w:lineRule="auto"/>
        <w:ind w:left="504"/>
        <w:contextualSpacing/>
        <w:jc w:val="both"/>
        <w:textAlignment w:val="auto"/>
        <w:rPr>
          <w:rFonts w:cs="Arial"/>
        </w:rPr>
      </w:pPr>
    </w:p>
    <w:p w:rsidR="00893F75" w:rsidRPr="00FB1CBD" w:rsidRDefault="00893F75" w:rsidP="00F84A56">
      <w:pPr>
        <w:spacing w:line="300" w:lineRule="auto"/>
        <w:ind w:left="1008"/>
        <w:jc w:val="both"/>
        <w:rPr>
          <w:rFonts w:cs="Arial"/>
        </w:rPr>
      </w:pPr>
      <w:r w:rsidRPr="00FB1CBD">
        <w:rPr>
          <w:rFonts w:cs="Arial"/>
        </w:rPr>
        <w:t>ASM 120 requires ASWs to complete a new face</w:t>
      </w:r>
      <w:r w:rsidR="00F305E9">
        <w:rPr>
          <w:rFonts w:cs="Arial"/>
        </w:rPr>
        <w:t>-to-</w:t>
      </w:r>
      <w:r w:rsidRPr="00FB1CBD">
        <w:rPr>
          <w:rFonts w:cs="Arial"/>
        </w:rPr>
        <w:t xml:space="preserve">face assessment of clients before authorizing higher payments for increased services.  </w:t>
      </w:r>
    </w:p>
    <w:p w:rsidR="00B21A79" w:rsidRPr="00FB1CBD" w:rsidRDefault="00B21A79" w:rsidP="00F84A56">
      <w:pPr>
        <w:spacing w:line="300" w:lineRule="auto"/>
        <w:ind w:left="504"/>
        <w:jc w:val="both"/>
        <w:rPr>
          <w:rFonts w:cs="Arial"/>
        </w:rPr>
      </w:pPr>
    </w:p>
    <w:p w:rsidR="00893F75" w:rsidRPr="00FB1CBD" w:rsidRDefault="00A707F8" w:rsidP="00F84A56">
      <w:pPr>
        <w:spacing w:line="300" w:lineRule="auto"/>
        <w:ind w:left="504"/>
        <w:jc w:val="both"/>
        <w:rPr>
          <w:rFonts w:cs="Arial"/>
        </w:rPr>
      </w:pPr>
      <w:r>
        <w:rPr>
          <w:rFonts w:cs="Arial"/>
        </w:rPr>
        <w:t>HHP</w:t>
      </w:r>
      <w:r w:rsidR="007E2E9E">
        <w:rPr>
          <w:rFonts w:cs="Arial"/>
        </w:rPr>
        <w:t xml:space="preserve"> </w:t>
      </w:r>
      <w:r w:rsidR="00893F75" w:rsidRPr="00FB1CBD">
        <w:rPr>
          <w:rFonts w:cs="Arial"/>
        </w:rPr>
        <w:t>supervisors from 2 of the counties that we rev</w:t>
      </w:r>
      <w:r w:rsidR="007E2E9E">
        <w:rPr>
          <w:rFonts w:cs="Arial"/>
        </w:rPr>
        <w:t>iewed informed us that high ASW case</w:t>
      </w:r>
      <w:r w:rsidR="00893F75" w:rsidRPr="00FB1CBD">
        <w:rPr>
          <w:rFonts w:cs="Arial"/>
        </w:rPr>
        <w:t xml:space="preserve">loads precluded many ASWs from completing all required contacts and, therefore, the ASWs in their respective counties were expected to complete </w:t>
      </w:r>
      <w:r w:rsidR="007E2E9E">
        <w:rPr>
          <w:rFonts w:cs="Arial"/>
        </w:rPr>
        <w:t xml:space="preserve">only </w:t>
      </w:r>
      <w:r w:rsidR="00893F75" w:rsidRPr="00FB1CBD">
        <w:rPr>
          <w:rFonts w:cs="Arial"/>
        </w:rPr>
        <w:t xml:space="preserve">one contact annually with each client and provider. </w:t>
      </w:r>
      <w:r w:rsidR="00EC193A" w:rsidRPr="00FB1CBD">
        <w:rPr>
          <w:rFonts w:cs="Arial"/>
        </w:rPr>
        <w:t xml:space="preserve"> </w:t>
      </w:r>
      <w:r w:rsidR="00893F75" w:rsidRPr="00FB1CBD">
        <w:rPr>
          <w:rFonts w:cs="Arial"/>
        </w:rPr>
        <w:t>DHS informed us that a lack of staffing likely contributed to most of the late or incomplete contacts.</w:t>
      </w:r>
    </w:p>
    <w:p w:rsidR="00591604" w:rsidRDefault="00591604" w:rsidP="00F84A56">
      <w:pPr>
        <w:overflowPunct/>
        <w:autoSpaceDE/>
        <w:autoSpaceDN/>
        <w:adjustRightInd/>
        <w:spacing w:line="300" w:lineRule="auto"/>
        <w:textAlignment w:val="auto"/>
        <w:rPr>
          <w:rFonts w:cs="Arial"/>
        </w:rPr>
      </w:pPr>
    </w:p>
    <w:p w:rsidR="00893F75" w:rsidRPr="00FB1CBD" w:rsidRDefault="00B21A79" w:rsidP="00F84A56">
      <w:pPr>
        <w:spacing w:line="300" w:lineRule="auto"/>
        <w:jc w:val="both"/>
        <w:rPr>
          <w:rFonts w:eastAsia="Calibri" w:cs="Arial"/>
          <w:b/>
          <w:smallCaps/>
          <w:color w:val="000000"/>
          <w:sz w:val="28"/>
          <w:u w:val="single"/>
        </w:rPr>
      </w:pPr>
      <w:r w:rsidRPr="00FB1CBD">
        <w:rPr>
          <w:rFonts w:eastAsia="Calibri" w:cs="Arial"/>
          <w:b/>
          <w:smallCaps/>
          <w:color w:val="000000"/>
          <w:sz w:val="28"/>
          <w:u w:val="single"/>
        </w:rPr>
        <w:t>Recommendation</w:t>
      </w:r>
    </w:p>
    <w:p w:rsidR="00893F75" w:rsidRPr="00FB1CBD" w:rsidRDefault="00893F75" w:rsidP="00F84A56">
      <w:pPr>
        <w:spacing w:line="300" w:lineRule="auto"/>
        <w:ind w:left="504"/>
        <w:jc w:val="both"/>
        <w:rPr>
          <w:rFonts w:eastAsia="Calibri" w:cs="Arial"/>
          <w:color w:val="000000"/>
        </w:rPr>
      </w:pPr>
      <w:r w:rsidRPr="00FB1CBD">
        <w:rPr>
          <w:rFonts w:eastAsia="Calibri" w:cs="Arial"/>
          <w:color w:val="000000"/>
        </w:rPr>
        <w:t xml:space="preserve">We recommend that DCH and DHS ensure that ASWs timely complete required six-month reviews, annual redeterminations, and other required monitoring contacts with their assigned clients and providers.  </w:t>
      </w:r>
    </w:p>
    <w:p w:rsidR="00B21A79" w:rsidRPr="00FB1CBD" w:rsidRDefault="00B21A79" w:rsidP="00F84A56">
      <w:pPr>
        <w:spacing w:line="300" w:lineRule="auto"/>
        <w:jc w:val="both"/>
        <w:rPr>
          <w:rFonts w:eastAsia="Calibri" w:cs="Arial"/>
          <w:color w:val="000000"/>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E6466B" w:rsidRPr="00D6707C" w:rsidRDefault="00E6466B" w:rsidP="00E6466B">
      <w:pPr>
        <w:spacing w:line="300" w:lineRule="auto"/>
        <w:ind w:left="504"/>
        <w:jc w:val="both"/>
        <w:rPr>
          <w:rFonts w:cs="Arial"/>
        </w:rPr>
      </w:pPr>
      <w:r w:rsidRPr="00D6707C">
        <w:rPr>
          <w:rFonts w:cs="Arial"/>
        </w:rPr>
        <w:t xml:space="preserve">DCH and DHS </w:t>
      </w:r>
      <w:r w:rsidRPr="00E6466B">
        <w:rPr>
          <w:rFonts w:eastAsia="Calibri" w:cs="Arial"/>
          <w:color w:val="000000"/>
        </w:rPr>
        <w:t>agree</w:t>
      </w:r>
      <w:r w:rsidRPr="00D6707C">
        <w:rPr>
          <w:rFonts w:cs="Arial"/>
        </w:rPr>
        <w:t xml:space="preserve"> that not all six</w:t>
      </w:r>
      <w:r>
        <w:rPr>
          <w:rFonts w:cs="Arial"/>
        </w:rPr>
        <w:t>-</w:t>
      </w:r>
      <w:r w:rsidRPr="00D6707C">
        <w:rPr>
          <w:rFonts w:cs="Arial"/>
        </w:rPr>
        <w:t>month, annual redeterminations, and other monitoring contacts with clients and providers were completed timely.</w:t>
      </w:r>
    </w:p>
    <w:p w:rsidR="00CC1744" w:rsidRDefault="00CC1744">
      <w:pPr>
        <w:overflowPunct/>
        <w:autoSpaceDE/>
        <w:autoSpaceDN/>
        <w:adjustRightInd/>
        <w:textAlignment w:val="auto"/>
        <w:rPr>
          <w:rFonts w:cs="Arial"/>
        </w:rPr>
      </w:pPr>
      <w:r>
        <w:rPr>
          <w:rFonts w:cs="Arial"/>
        </w:rPr>
        <w:br w:type="page"/>
      </w:r>
    </w:p>
    <w:p w:rsidR="00E6466B" w:rsidRPr="00D6707C" w:rsidRDefault="00E6466B" w:rsidP="00E6466B">
      <w:pPr>
        <w:spacing w:line="300" w:lineRule="auto"/>
        <w:ind w:left="504"/>
        <w:jc w:val="both"/>
        <w:rPr>
          <w:rFonts w:cs="Arial"/>
        </w:rPr>
      </w:pPr>
      <w:r w:rsidRPr="00D6707C">
        <w:rPr>
          <w:rFonts w:cs="Arial"/>
        </w:rPr>
        <w:lastRenderedPageBreak/>
        <w:t xml:space="preserve">DHS </w:t>
      </w:r>
      <w:r>
        <w:rPr>
          <w:rFonts w:cs="Arial"/>
        </w:rPr>
        <w:t xml:space="preserve">informed us that it </w:t>
      </w:r>
      <w:r w:rsidRPr="00D6707C">
        <w:rPr>
          <w:rFonts w:cs="Arial"/>
        </w:rPr>
        <w:t xml:space="preserve">is completing independent reviews of the cases that were cited in the audit to ensure that reviews, redeterminations and required monitoring contacts with clients and providers are completed.  </w:t>
      </w:r>
    </w:p>
    <w:p w:rsidR="00E6466B" w:rsidRPr="00D6707C" w:rsidRDefault="00E6466B" w:rsidP="00E6466B">
      <w:pPr>
        <w:spacing w:line="300" w:lineRule="auto"/>
        <w:ind w:left="504"/>
        <w:jc w:val="both"/>
        <w:rPr>
          <w:rFonts w:cs="Arial"/>
        </w:rPr>
      </w:pPr>
    </w:p>
    <w:p w:rsidR="00E6466B" w:rsidRDefault="00E6466B" w:rsidP="00E6466B">
      <w:pPr>
        <w:spacing w:line="300" w:lineRule="auto"/>
        <w:ind w:left="504"/>
        <w:jc w:val="both"/>
        <w:rPr>
          <w:rFonts w:cs="Arial"/>
        </w:rPr>
      </w:pPr>
      <w:r>
        <w:rPr>
          <w:rFonts w:cs="Arial"/>
        </w:rPr>
        <w:t xml:space="preserve">In </w:t>
      </w:r>
      <w:r w:rsidRPr="00E6466B">
        <w:rPr>
          <w:rFonts w:eastAsia="Calibri" w:cs="Arial"/>
          <w:color w:val="000000"/>
        </w:rPr>
        <w:t>addition</w:t>
      </w:r>
      <w:r>
        <w:rPr>
          <w:rFonts w:cs="Arial"/>
        </w:rPr>
        <w:t xml:space="preserve">, DCH and DHS indicated that they are implementing the </w:t>
      </w:r>
      <w:r w:rsidRPr="00D6707C">
        <w:rPr>
          <w:rFonts w:cs="Arial"/>
        </w:rPr>
        <w:t>following corrective actions</w:t>
      </w:r>
      <w:r>
        <w:rPr>
          <w:rFonts w:cs="Arial"/>
        </w:rPr>
        <w:t>:</w:t>
      </w:r>
      <w:r w:rsidRPr="00D6707C" w:rsidDel="00E77E58">
        <w:rPr>
          <w:rFonts w:cs="Arial"/>
        </w:rPr>
        <w:t xml:space="preserve"> </w:t>
      </w:r>
    </w:p>
    <w:p w:rsidR="00E6466B" w:rsidRDefault="00E6466B" w:rsidP="00E6466B">
      <w:pPr>
        <w:spacing w:line="300" w:lineRule="auto"/>
        <w:ind w:left="504"/>
        <w:jc w:val="bot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683B3C">
        <w:rPr>
          <w:rFonts w:cs="Arial"/>
        </w:rPr>
        <w:t xml:space="preserve">In May 2014, DHS reorganized and centralized all Adult Services Program functions and is analyzing home help caseloads. </w:t>
      </w:r>
      <w:r>
        <w:rPr>
          <w:rFonts w:cs="Arial"/>
        </w:rPr>
        <w:t xml:space="preserve"> </w:t>
      </w:r>
      <w:r w:rsidRPr="00683B3C">
        <w:rPr>
          <w:rFonts w:cs="Arial"/>
        </w:rPr>
        <w:t>This analysis is expected to aid DHS in effectively allocating ASW resources statewide.</w:t>
      </w:r>
    </w:p>
    <w:p w:rsidR="00E6466B" w:rsidRPr="00E77E58" w:rsidRDefault="00E6466B" w:rsidP="00E6466B">
      <w:pPr>
        <w:pStyle w:val="ListParagraph"/>
        <w:overflowPunct/>
        <w:autoSpaceDE/>
        <w:autoSpaceDN/>
        <w:adjustRightInd/>
        <w:spacing w:line="300" w:lineRule="auto"/>
        <w:ind w:left="1008"/>
        <w:jc w:val="both"/>
        <w:textAlignment w:val="auto"/>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D6707C">
        <w:rPr>
          <w:rFonts w:cs="Arial"/>
        </w:rPr>
        <w:t xml:space="preserve">Steps are currently underway to assure that the periodic reviews are conducted and monitored by DHS management at all levels.  </w:t>
      </w:r>
      <w:r>
        <w:rPr>
          <w:rFonts w:cs="Arial"/>
        </w:rPr>
        <w:t>DCH will also monitor compliance with these performance requirements.</w:t>
      </w:r>
    </w:p>
    <w:p w:rsidR="00E6466B" w:rsidRPr="00E6466B" w:rsidRDefault="00E6466B" w:rsidP="00E6466B">
      <w:pPr>
        <w:pStyle w:val="ListParagrap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D6707C">
        <w:rPr>
          <w:rFonts w:cs="Arial"/>
        </w:rPr>
        <w:t xml:space="preserve">Elements of the six-month review policy are being reviewed and clarified.  </w:t>
      </w:r>
    </w:p>
    <w:p w:rsidR="00E6466B" w:rsidRPr="00E6466B" w:rsidRDefault="00E6466B" w:rsidP="00E6466B">
      <w:pPr>
        <w:pStyle w:val="ListParagrap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 xml:space="preserve">A quality assurance review process will be developed to monitor and confirm compliance with the requirements of the six-month review, annual redeterminations and other monitoring contacts.  </w:t>
      </w:r>
    </w:p>
    <w:p w:rsidR="00E6466B" w:rsidRPr="00E6466B" w:rsidRDefault="00E6466B" w:rsidP="00E6466B">
      <w:pPr>
        <w:pStyle w:val="ListParagrap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By July 1, 2014, DHS will issue a communication to adult services staff reiterating the importance of completing timely reviews, redeterminations and other monitoring contacts.</w:t>
      </w:r>
    </w:p>
    <w:p w:rsidR="00E6466B" w:rsidRPr="00E6466B" w:rsidRDefault="00E6466B" w:rsidP="00E6466B">
      <w:pPr>
        <w:pStyle w:val="ListParagrap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D6707C">
        <w:rPr>
          <w:rFonts w:cs="Arial"/>
        </w:rPr>
        <w:t>By September 30, 2014, all adult services staff will complete mandatory adult services core training that includes review of policy and requirements regarding monthly face-to-face assessments, timely reviews, annual redeterminations and other required monitoring contacts.</w:t>
      </w:r>
    </w:p>
    <w:p w:rsidR="00E6466B" w:rsidRPr="00E6466B" w:rsidRDefault="00E6466B" w:rsidP="00E6466B">
      <w:pPr>
        <w:pStyle w:val="ListParagraph"/>
        <w:rPr>
          <w:rFonts w:cs="Arial"/>
        </w:rPr>
      </w:pPr>
    </w:p>
    <w:p w:rsid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D6707C">
        <w:rPr>
          <w:rFonts w:cs="Arial"/>
        </w:rPr>
        <w:t>DCH and DHS management will develop additional monitoring protocols as necessary to ensure compliance with corrective actions.</w:t>
      </w:r>
      <w:r>
        <w:rPr>
          <w:rFonts w:cs="Arial"/>
        </w:rPr>
        <w:t xml:space="preserve">  </w:t>
      </w:r>
    </w:p>
    <w:p w:rsidR="00E6466B" w:rsidRPr="00E6466B" w:rsidRDefault="00E6466B" w:rsidP="00E6466B">
      <w:pPr>
        <w:pStyle w:val="ListParagraph"/>
        <w:rPr>
          <w:rFonts w:cs="Arial"/>
        </w:rPr>
      </w:pPr>
    </w:p>
    <w:p w:rsidR="00E6466B" w:rsidRPr="00E6466B" w:rsidRDefault="00E6466B" w:rsidP="00027935">
      <w:pPr>
        <w:pStyle w:val="ListParagraph"/>
        <w:numPr>
          <w:ilvl w:val="0"/>
          <w:numId w:val="24"/>
        </w:numPr>
        <w:overflowPunct/>
        <w:autoSpaceDE/>
        <w:autoSpaceDN/>
        <w:adjustRightInd/>
        <w:spacing w:line="300" w:lineRule="auto"/>
        <w:ind w:left="1008" w:hanging="504"/>
        <w:jc w:val="both"/>
        <w:textAlignment w:val="auto"/>
        <w:rPr>
          <w:rFonts w:cs="Arial"/>
        </w:rPr>
      </w:pPr>
      <w:r w:rsidRPr="00E6466B">
        <w:rPr>
          <w:rFonts w:cs="Arial"/>
        </w:rPr>
        <w:t xml:space="preserve">DCH and DHS are pursuing an enhancement to, or the replacement of, the Home Help case management system (ASCAP); which integrates more effectively with other systems, is easily adaptable to changing needs, reduces time and effort required to input information, monitors workloads and events, and creates reports for effective monitoring for compliance.  </w:t>
      </w:r>
      <w:r w:rsidRPr="00E6466B">
        <w:rPr>
          <w:rFonts w:cs="Arial"/>
        </w:rPr>
        <w:br w:type="page"/>
      </w:r>
    </w:p>
    <w:p w:rsidR="00893F75" w:rsidRPr="00FB1CBD" w:rsidRDefault="00B21A79" w:rsidP="00F84A56">
      <w:pPr>
        <w:tabs>
          <w:tab w:val="left" w:pos="360"/>
        </w:tabs>
        <w:spacing w:line="300" w:lineRule="auto"/>
        <w:jc w:val="both"/>
        <w:rPr>
          <w:rFonts w:cs="Arial"/>
          <w:b/>
          <w:smallCaps/>
          <w:noProof/>
          <w:sz w:val="28"/>
          <w:u w:val="single"/>
        </w:rPr>
      </w:pPr>
      <w:r w:rsidRPr="00FB1CBD">
        <w:rPr>
          <w:rFonts w:cs="Arial"/>
          <w:b/>
          <w:smallCaps/>
          <w:noProof/>
          <w:sz w:val="28"/>
          <w:u w:val="single"/>
        </w:rPr>
        <w:lastRenderedPageBreak/>
        <w:t>Finding</w:t>
      </w:r>
    </w:p>
    <w:p w:rsidR="00893F75" w:rsidRPr="00FB1CBD" w:rsidRDefault="00893F75" w:rsidP="00F84A56">
      <w:pPr>
        <w:pStyle w:val="A4-FindingTitle"/>
      </w:pPr>
      <w:r w:rsidRPr="00FB1CBD">
        <w:t>Payments for Services for Ineligible Clients</w:t>
      </w:r>
    </w:p>
    <w:p w:rsidR="00893F75" w:rsidRPr="00FB1CBD" w:rsidRDefault="00893F75" w:rsidP="00F84A56">
      <w:pPr>
        <w:spacing w:line="300" w:lineRule="auto"/>
        <w:ind w:left="504"/>
        <w:jc w:val="both"/>
        <w:rPr>
          <w:rFonts w:cs="Arial"/>
        </w:rPr>
      </w:pPr>
      <w:r w:rsidRPr="00FB1CBD">
        <w:rPr>
          <w:rFonts w:cs="Arial"/>
        </w:rPr>
        <w:t xml:space="preserve">DCH and DHS did not ensure that </w:t>
      </w:r>
      <w:r w:rsidR="00A707F8">
        <w:rPr>
          <w:rFonts w:cs="Arial"/>
        </w:rPr>
        <w:t>HHP</w:t>
      </w:r>
      <w:r w:rsidR="00662B13">
        <w:rPr>
          <w:rFonts w:cs="Arial"/>
        </w:rPr>
        <w:t xml:space="preserve"> </w:t>
      </w:r>
      <w:r w:rsidRPr="00FB1CBD">
        <w:rPr>
          <w:rFonts w:cs="Arial"/>
        </w:rPr>
        <w:t xml:space="preserve">clients met </w:t>
      </w:r>
      <w:r w:rsidR="00A707F8">
        <w:rPr>
          <w:rFonts w:cs="Arial"/>
        </w:rPr>
        <w:t>HHP</w:t>
      </w:r>
      <w:r w:rsidR="00662B13">
        <w:rPr>
          <w:rFonts w:cs="Arial"/>
        </w:rPr>
        <w:t xml:space="preserve"> </w:t>
      </w:r>
      <w:r w:rsidRPr="00FB1CBD">
        <w:rPr>
          <w:rFonts w:cs="Arial"/>
        </w:rPr>
        <w:t xml:space="preserve">eligibility criteria. </w:t>
      </w:r>
      <w:r w:rsidR="00EC193A" w:rsidRPr="00FB1CBD">
        <w:rPr>
          <w:rFonts w:cs="Arial"/>
        </w:rPr>
        <w:t xml:space="preserve"> </w:t>
      </w:r>
      <w:r w:rsidRPr="00FB1CBD">
        <w:rPr>
          <w:rFonts w:cs="Arial"/>
        </w:rPr>
        <w:t>As a result, from April 1, 2012 through February 28, 2013, DCH paid $3.3 million (</w:t>
      </w:r>
      <w:r w:rsidR="00662B13">
        <w:rPr>
          <w:rFonts w:cs="Arial"/>
        </w:rPr>
        <w:t>$1.1 </w:t>
      </w:r>
      <w:r w:rsidRPr="00FB1CBD">
        <w:rPr>
          <w:rFonts w:cs="Arial"/>
        </w:rPr>
        <w:t>million General Fund/general purpose)</w:t>
      </w:r>
      <w:bookmarkStart w:id="13" w:name="tm_385745133"/>
      <w:r w:rsidRPr="00FB1CBD">
        <w:rPr>
          <w:rFonts w:cs="Arial"/>
        </w:rPr>
        <w:t xml:space="preserve"> </w:t>
      </w:r>
      <w:bookmarkEnd w:id="13"/>
      <w:r w:rsidRPr="00FB1CBD">
        <w:rPr>
          <w:rFonts w:cs="Arial"/>
        </w:rPr>
        <w:t>for services delivered to individuals who did not qualify for them.</w:t>
      </w:r>
    </w:p>
    <w:p w:rsidR="00CE6C95" w:rsidRPr="00FB1CBD" w:rsidRDefault="00CE6C95" w:rsidP="00F84A56">
      <w:pPr>
        <w:overflowPunct/>
        <w:autoSpaceDE/>
        <w:autoSpaceDN/>
        <w:adjustRightInd/>
        <w:spacing w:line="300" w:lineRule="auto"/>
        <w:ind w:left="504"/>
        <w:textAlignment w:val="auto"/>
        <w:rPr>
          <w:rFonts w:cs="Arial"/>
        </w:rPr>
      </w:pPr>
    </w:p>
    <w:p w:rsidR="00893F75" w:rsidRPr="00FB1CBD" w:rsidRDefault="00893F75" w:rsidP="00F84A56">
      <w:pPr>
        <w:overflowPunct/>
        <w:autoSpaceDE/>
        <w:autoSpaceDN/>
        <w:adjustRightInd/>
        <w:spacing w:line="300" w:lineRule="auto"/>
        <w:ind w:left="504"/>
        <w:jc w:val="both"/>
        <w:textAlignment w:val="auto"/>
        <w:rPr>
          <w:rFonts w:cs="Arial"/>
        </w:rPr>
      </w:pPr>
      <w:r w:rsidRPr="00FB1CBD">
        <w:rPr>
          <w:rFonts w:cs="Arial"/>
        </w:rPr>
        <w:t>Effective October 1, 2011, DCH and DHS changed the eligibility criteria for</w:t>
      </w:r>
      <w:r w:rsidR="00662B13">
        <w:rPr>
          <w:rFonts w:cs="Arial"/>
        </w:rPr>
        <w:t xml:space="preserve"> </w:t>
      </w:r>
      <w:r w:rsidR="00A707F8">
        <w:rPr>
          <w:rFonts w:cs="Arial"/>
        </w:rPr>
        <w:t>HHP</w:t>
      </w:r>
      <w:r w:rsidRPr="00FB1CBD">
        <w:rPr>
          <w:rFonts w:cs="Arial"/>
        </w:rPr>
        <w:t>.</w:t>
      </w:r>
      <w:bookmarkStart w:id="14" w:name="tm_385745141"/>
      <w:r w:rsidRPr="00FB1CBD">
        <w:rPr>
          <w:rFonts w:cs="Arial"/>
        </w:rPr>
        <w:t xml:space="preserve"> </w:t>
      </w:r>
      <w:bookmarkEnd w:id="14"/>
      <w:r w:rsidR="00EC193A" w:rsidRPr="00FB1CBD">
        <w:rPr>
          <w:rFonts w:cs="Arial"/>
        </w:rPr>
        <w:t xml:space="preserve"> </w:t>
      </w:r>
      <w:r w:rsidRPr="00FB1CBD">
        <w:rPr>
          <w:rFonts w:cs="Arial"/>
        </w:rPr>
        <w:t xml:space="preserve">The new criteria required eligible individuals to have an assessment score of 3 or higher in at least one activity of daily living (ADL).  An assessment score of 3 or higher signifies that the individual requires some direct physical assistance and/or assistive technology to complete the ADL (e.g., </w:t>
      </w:r>
      <w:r w:rsidR="00B62440">
        <w:rPr>
          <w:rFonts w:cs="Arial"/>
        </w:rPr>
        <w:t>dressing</w:t>
      </w:r>
      <w:r w:rsidRPr="00FB1CBD">
        <w:rPr>
          <w:rFonts w:cs="Arial"/>
        </w:rPr>
        <w:t>).</w:t>
      </w:r>
      <w:bookmarkStart w:id="15" w:name="tm_385745148"/>
      <w:r w:rsidR="00EC193A" w:rsidRPr="00FB1CBD">
        <w:rPr>
          <w:rFonts w:cs="Arial"/>
        </w:rPr>
        <w:t xml:space="preserve"> </w:t>
      </w:r>
      <w:r w:rsidRPr="00FB1CBD">
        <w:rPr>
          <w:rFonts w:cs="Arial"/>
        </w:rPr>
        <w:t xml:space="preserve"> </w:t>
      </w:r>
      <w:bookmarkEnd w:id="15"/>
      <w:r w:rsidRPr="00FB1CBD">
        <w:rPr>
          <w:rFonts w:cs="Arial"/>
        </w:rPr>
        <w:t xml:space="preserve">Prior to this change, there were no ADL-related requirements </w:t>
      </w:r>
      <w:r w:rsidR="00662B13">
        <w:rPr>
          <w:rFonts w:cs="Arial"/>
        </w:rPr>
        <w:t>a</w:t>
      </w:r>
      <w:r w:rsidRPr="00FB1CBD">
        <w:rPr>
          <w:rFonts w:cs="Arial"/>
        </w:rPr>
        <w:t xml:space="preserve">ffecting </w:t>
      </w:r>
      <w:r w:rsidR="00A707F8">
        <w:rPr>
          <w:rFonts w:cs="Arial"/>
        </w:rPr>
        <w:t>HHP</w:t>
      </w:r>
      <w:r w:rsidR="00662B13">
        <w:rPr>
          <w:rFonts w:cs="Arial"/>
        </w:rPr>
        <w:t xml:space="preserve"> </w:t>
      </w:r>
      <w:r w:rsidRPr="00FB1CBD">
        <w:rPr>
          <w:rFonts w:cs="Arial"/>
        </w:rPr>
        <w:t xml:space="preserve">eligibility. </w:t>
      </w:r>
    </w:p>
    <w:p w:rsidR="00893F75" w:rsidRPr="00FB1CBD" w:rsidRDefault="00893F75" w:rsidP="00F84A56">
      <w:pPr>
        <w:spacing w:line="300" w:lineRule="auto"/>
        <w:ind w:left="504"/>
        <w:jc w:val="both"/>
        <w:rPr>
          <w:rFonts w:cs="Arial"/>
        </w:rPr>
      </w:pPr>
    </w:p>
    <w:p w:rsidR="00893F75" w:rsidRPr="00A61EDE" w:rsidRDefault="00893F75" w:rsidP="00F84A56">
      <w:pPr>
        <w:spacing w:line="300" w:lineRule="auto"/>
        <w:ind w:left="504"/>
        <w:jc w:val="both"/>
        <w:rPr>
          <w:rFonts w:cs="Arial"/>
        </w:rPr>
      </w:pPr>
      <w:r w:rsidRPr="00FB1CBD">
        <w:rPr>
          <w:rFonts w:cs="Arial"/>
        </w:rPr>
        <w:t xml:space="preserve">To effectuate the policy change, </w:t>
      </w:r>
      <w:r w:rsidR="00662B13">
        <w:rPr>
          <w:rFonts w:cs="Arial"/>
        </w:rPr>
        <w:t xml:space="preserve">DCH and DHS </w:t>
      </w:r>
      <w:r w:rsidRPr="00FB1CBD">
        <w:rPr>
          <w:rFonts w:cs="Arial"/>
        </w:rPr>
        <w:t>required ASWs to reassess their existing clients</w:t>
      </w:r>
      <w:r w:rsidR="00F305E9">
        <w:rPr>
          <w:rFonts w:cs="Arial"/>
        </w:rPr>
        <w:t>'</w:t>
      </w:r>
      <w:r w:rsidRPr="00FB1CBD">
        <w:rPr>
          <w:rFonts w:cs="Arial"/>
        </w:rPr>
        <w:t xml:space="preserve"> continued eligibility for s</w:t>
      </w:r>
      <w:r w:rsidR="00662B13">
        <w:rPr>
          <w:rFonts w:cs="Arial"/>
        </w:rPr>
        <w:t>ervices during the next face-to-</w:t>
      </w:r>
      <w:r w:rsidRPr="00FB1CBD">
        <w:rPr>
          <w:rFonts w:cs="Arial"/>
        </w:rPr>
        <w:t xml:space="preserve">face </w:t>
      </w:r>
      <w:r w:rsidR="00B62440">
        <w:rPr>
          <w:rFonts w:cs="Arial"/>
        </w:rPr>
        <w:t xml:space="preserve">contact </w:t>
      </w:r>
      <w:r w:rsidRPr="00FB1CBD">
        <w:rPr>
          <w:rFonts w:cs="Arial"/>
        </w:rPr>
        <w:t>with the clients.</w:t>
      </w:r>
      <w:bookmarkStart w:id="16" w:name="tm_385745149"/>
      <w:r w:rsidRPr="00FB1CBD">
        <w:rPr>
          <w:rFonts w:cs="Arial"/>
        </w:rPr>
        <w:t xml:space="preserve"> </w:t>
      </w:r>
      <w:bookmarkEnd w:id="16"/>
      <w:r w:rsidR="00EC193A" w:rsidRPr="00FB1CBD">
        <w:rPr>
          <w:rFonts w:cs="Arial"/>
        </w:rPr>
        <w:t xml:space="preserve"> </w:t>
      </w:r>
      <w:r w:rsidRPr="00FB1CBD">
        <w:rPr>
          <w:rFonts w:cs="Arial"/>
        </w:rPr>
        <w:t xml:space="preserve">Because </w:t>
      </w:r>
      <w:r w:rsidR="00A707F8">
        <w:rPr>
          <w:rFonts w:cs="Arial"/>
        </w:rPr>
        <w:t>HHP</w:t>
      </w:r>
      <w:r w:rsidR="00662B13">
        <w:rPr>
          <w:rFonts w:cs="Arial"/>
        </w:rPr>
        <w:t xml:space="preserve"> </w:t>
      </w:r>
      <w:r w:rsidRPr="00FB1CBD">
        <w:rPr>
          <w:rFonts w:cs="Arial"/>
        </w:rPr>
        <w:t xml:space="preserve">policy requires ASWs to meet with their </w:t>
      </w:r>
      <w:r w:rsidR="00B62440" w:rsidRPr="00FB1CBD">
        <w:rPr>
          <w:rFonts w:cs="Arial"/>
        </w:rPr>
        <w:t>clients</w:t>
      </w:r>
      <w:r w:rsidR="00027935">
        <w:rPr>
          <w:rFonts w:cs="Arial"/>
        </w:rPr>
        <w:t xml:space="preserve"> </w:t>
      </w:r>
      <w:r w:rsidRPr="00FB1CBD">
        <w:rPr>
          <w:rFonts w:cs="Arial"/>
        </w:rPr>
        <w:t>at least once every six months,</w:t>
      </w:r>
      <w:bookmarkStart w:id="17" w:name="tm_385745142"/>
      <w:r w:rsidRPr="00FB1CBD">
        <w:rPr>
          <w:rFonts w:cs="Arial"/>
        </w:rPr>
        <w:t xml:space="preserve"> </w:t>
      </w:r>
      <w:bookmarkEnd w:id="17"/>
      <w:r w:rsidRPr="00FB1CBD">
        <w:rPr>
          <w:rFonts w:cs="Arial"/>
        </w:rPr>
        <w:t>ASWs should have completed the reassessment of all clients and closed the cases of ineligible clients by April 1, 2012.  However, we noted that</w:t>
      </w:r>
      <w:r w:rsidR="003675B3">
        <w:rPr>
          <w:rFonts w:cs="Arial"/>
        </w:rPr>
        <w:t xml:space="preserve"> </w:t>
      </w:r>
      <w:r w:rsidRPr="00FB1CBD">
        <w:rPr>
          <w:rFonts w:cs="Arial"/>
        </w:rPr>
        <w:t>916</w:t>
      </w:r>
      <w:bookmarkStart w:id="18" w:name="tm_385745144"/>
      <w:r w:rsidRPr="00FB1CBD">
        <w:rPr>
          <w:rFonts w:cs="Arial"/>
        </w:rPr>
        <w:t xml:space="preserve"> </w:t>
      </w:r>
      <w:bookmarkEnd w:id="18"/>
      <w:r w:rsidRPr="00FB1CBD">
        <w:rPr>
          <w:rFonts w:cs="Arial"/>
        </w:rPr>
        <w:t>clients, who did not have an assessment score of 3 or higher in at least one ADL, inappropriately started or continued receiving services</w:t>
      </w:r>
      <w:r w:rsidR="00027935">
        <w:rPr>
          <w:rFonts w:cs="Arial"/>
        </w:rPr>
        <w:t xml:space="preserve"> in February </w:t>
      </w:r>
      <w:r w:rsidR="003675B3">
        <w:rPr>
          <w:rFonts w:cs="Arial"/>
        </w:rPr>
        <w:t>2013</w:t>
      </w:r>
      <w:r w:rsidRPr="00FB1CBD">
        <w:rPr>
          <w:rFonts w:cs="Arial"/>
        </w:rPr>
        <w:t xml:space="preserve">. </w:t>
      </w:r>
      <w:r w:rsidR="00EC193A" w:rsidRPr="00FB1CBD">
        <w:rPr>
          <w:rFonts w:cs="Arial"/>
        </w:rPr>
        <w:t xml:space="preserve"> </w:t>
      </w:r>
      <w:r w:rsidRPr="00FB1CBD">
        <w:rPr>
          <w:rFonts w:cs="Arial"/>
        </w:rPr>
        <w:t>The services provided to these clients totaled $187,000</w:t>
      </w:r>
      <w:r w:rsidR="006F4D5B">
        <w:rPr>
          <w:rFonts w:cs="Arial"/>
        </w:rPr>
        <w:t>,</w:t>
      </w:r>
      <w:r w:rsidRPr="00FB1CBD">
        <w:rPr>
          <w:rFonts w:cs="Arial"/>
        </w:rPr>
        <w:t xml:space="preserve"> net of </w:t>
      </w:r>
      <w:r w:rsidR="00A61EDE">
        <w:rPr>
          <w:rFonts w:cs="Arial"/>
        </w:rPr>
        <w:t xml:space="preserve">Federal Insurance Contributions Act </w:t>
      </w:r>
      <w:r w:rsidR="00F47EB9">
        <w:rPr>
          <w:rFonts w:cs="Arial"/>
        </w:rPr>
        <w:t>(</w:t>
      </w:r>
      <w:r w:rsidRPr="00FB1CBD">
        <w:rPr>
          <w:rFonts w:cs="Arial"/>
        </w:rPr>
        <w:t>FICA</w:t>
      </w:r>
      <w:r w:rsidR="00F47EB9">
        <w:rPr>
          <w:rFonts w:cs="Arial"/>
        </w:rPr>
        <w:t>)</w:t>
      </w:r>
      <w:r w:rsidRPr="00FB1CBD">
        <w:rPr>
          <w:rFonts w:cs="Arial"/>
        </w:rPr>
        <w:t xml:space="preserve"> taxes</w:t>
      </w:r>
      <w:r w:rsidR="006F4D5B">
        <w:rPr>
          <w:rFonts w:cs="Arial"/>
        </w:rPr>
        <w:t>,</w:t>
      </w:r>
      <w:r w:rsidRPr="00FB1CBD">
        <w:rPr>
          <w:rFonts w:cs="Arial"/>
        </w:rPr>
        <w:t xml:space="preserve"> for February 2013.</w:t>
      </w:r>
      <w:r w:rsidRPr="00A61EDE">
        <w:rPr>
          <w:rFonts w:cs="Arial"/>
        </w:rPr>
        <w:t xml:space="preserve"> </w:t>
      </w:r>
    </w:p>
    <w:p w:rsidR="00893F75" w:rsidRPr="00FB1CBD" w:rsidRDefault="00893F75" w:rsidP="00F84A56">
      <w:pPr>
        <w:spacing w:line="300" w:lineRule="auto"/>
        <w:ind w:left="504"/>
        <w:jc w:val="both"/>
        <w:rPr>
          <w:rFonts w:cs="Arial"/>
        </w:rPr>
      </w:pPr>
    </w:p>
    <w:p w:rsidR="00893F75" w:rsidRPr="00FB1CBD" w:rsidRDefault="00893F75" w:rsidP="00F84A56">
      <w:pPr>
        <w:spacing w:line="300" w:lineRule="auto"/>
        <w:ind w:left="504"/>
        <w:jc w:val="both"/>
        <w:rPr>
          <w:rFonts w:cs="Arial"/>
        </w:rPr>
      </w:pPr>
      <w:r w:rsidRPr="00FB1CBD">
        <w:rPr>
          <w:rFonts w:cs="Arial"/>
        </w:rPr>
        <w:t xml:space="preserve">A lack of reporting capability within the </w:t>
      </w:r>
      <w:r w:rsidR="00A707F8">
        <w:rPr>
          <w:rFonts w:cs="Arial"/>
        </w:rPr>
        <w:t>HHP</w:t>
      </w:r>
      <w:r w:rsidR="00E553BC">
        <w:rPr>
          <w:rFonts w:cs="Arial"/>
        </w:rPr>
        <w:t xml:space="preserve"> </w:t>
      </w:r>
      <w:r w:rsidRPr="00FB1CBD">
        <w:rPr>
          <w:rFonts w:cs="Arial"/>
        </w:rPr>
        <w:t>data system likely contributed to management</w:t>
      </w:r>
      <w:r w:rsidR="00F305E9">
        <w:rPr>
          <w:rFonts w:cs="Arial"/>
        </w:rPr>
        <w:t>'</w:t>
      </w:r>
      <w:r w:rsidRPr="00FB1CBD">
        <w:rPr>
          <w:rFonts w:cs="Arial"/>
        </w:rPr>
        <w:t xml:space="preserve">s inability to monitor and ensure the implementation of the new eligibility criteria. </w:t>
      </w:r>
    </w:p>
    <w:p w:rsidR="00EC193A" w:rsidRPr="00FB1CBD" w:rsidRDefault="00EC193A" w:rsidP="00F84A56">
      <w:pPr>
        <w:overflowPunct/>
        <w:autoSpaceDE/>
        <w:autoSpaceDN/>
        <w:adjustRightInd/>
        <w:spacing w:line="300" w:lineRule="auto"/>
        <w:textAlignment w:val="auto"/>
        <w:rPr>
          <w:rFonts w:cs="Arial"/>
        </w:rPr>
      </w:pPr>
    </w:p>
    <w:p w:rsidR="00893F75" w:rsidRPr="00FB1CBD" w:rsidRDefault="00B21A79" w:rsidP="00F84A56">
      <w:pPr>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spacing w:line="300" w:lineRule="auto"/>
        <w:ind w:left="504"/>
        <w:jc w:val="both"/>
        <w:rPr>
          <w:rFonts w:cs="Arial"/>
        </w:rPr>
      </w:pPr>
      <w:r w:rsidRPr="00FB1CBD">
        <w:rPr>
          <w:rFonts w:cs="Arial"/>
        </w:rPr>
        <w:t xml:space="preserve">We recommend that </w:t>
      </w:r>
      <w:r w:rsidR="00E553BC">
        <w:rPr>
          <w:rFonts w:cs="Arial"/>
        </w:rPr>
        <w:t xml:space="preserve">DCH and DHS </w:t>
      </w:r>
      <w:r w:rsidRPr="00FB1CBD">
        <w:rPr>
          <w:rFonts w:cs="Arial"/>
        </w:rPr>
        <w:t xml:space="preserve">implement measures to ensure that </w:t>
      </w:r>
      <w:r w:rsidR="00A707F8">
        <w:rPr>
          <w:rFonts w:cs="Arial"/>
        </w:rPr>
        <w:t>HHP</w:t>
      </w:r>
      <w:r w:rsidR="00E553BC">
        <w:rPr>
          <w:rFonts w:cs="Arial"/>
        </w:rPr>
        <w:t xml:space="preserve"> </w:t>
      </w:r>
      <w:r w:rsidRPr="00FB1CBD">
        <w:rPr>
          <w:rFonts w:cs="Arial"/>
        </w:rPr>
        <w:t xml:space="preserve">clients meet </w:t>
      </w:r>
      <w:r w:rsidR="00A707F8">
        <w:rPr>
          <w:rFonts w:cs="Arial"/>
        </w:rPr>
        <w:t>HHP</w:t>
      </w:r>
      <w:r w:rsidR="00E553BC">
        <w:rPr>
          <w:rFonts w:cs="Arial"/>
        </w:rPr>
        <w:t xml:space="preserve"> </w:t>
      </w:r>
      <w:r w:rsidRPr="00FB1CBD">
        <w:rPr>
          <w:rFonts w:cs="Arial"/>
        </w:rPr>
        <w:t xml:space="preserve">eligibility criteria. </w:t>
      </w:r>
    </w:p>
    <w:p w:rsidR="00B21A79" w:rsidRPr="00FB1CBD" w:rsidRDefault="00B21A79" w:rsidP="00F84A56">
      <w:pPr>
        <w:spacing w:line="300" w:lineRule="auto"/>
        <w:jc w:val="both"/>
        <w:rPr>
          <w:rFonts w:cs="Arial"/>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CC1744" w:rsidRDefault="00027935" w:rsidP="00CC1744">
      <w:pPr>
        <w:spacing w:line="300" w:lineRule="auto"/>
        <w:ind w:left="504"/>
        <w:jc w:val="both"/>
        <w:rPr>
          <w:rFonts w:cs="Arial"/>
        </w:rPr>
      </w:pPr>
      <w:r w:rsidRPr="00667440">
        <w:rPr>
          <w:rFonts w:cs="Arial"/>
        </w:rPr>
        <w:t>DCH and DHS agree in part with the finding.  DCH</w:t>
      </w:r>
      <w:r w:rsidRPr="00D6707C">
        <w:rPr>
          <w:rFonts w:cs="Arial"/>
        </w:rPr>
        <w:t xml:space="preserve"> and DHS agree that additional measures need to be implemented to ensure that clients have an assessment score of 3 or higher in at least one ADL.  However, </w:t>
      </w:r>
      <w:r>
        <w:rPr>
          <w:rFonts w:cs="Arial"/>
        </w:rPr>
        <w:t xml:space="preserve">DCH and DHS informed us that </w:t>
      </w:r>
      <w:r w:rsidR="00CC1744">
        <w:rPr>
          <w:rFonts w:cs="Arial"/>
        </w:rPr>
        <w:br/>
      </w:r>
      <w:r w:rsidR="00CC1744">
        <w:rPr>
          <w:rFonts w:cs="Arial"/>
        </w:rPr>
        <w:br w:type="page"/>
      </w:r>
    </w:p>
    <w:p w:rsidR="00027935" w:rsidRPr="00D6707C" w:rsidRDefault="00027935" w:rsidP="00027935">
      <w:pPr>
        <w:spacing w:line="300" w:lineRule="auto"/>
        <w:ind w:left="504"/>
        <w:jc w:val="both"/>
        <w:rPr>
          <w:rFonts w:cs="Arial"/>
        </w:rPr>
      </w:pPr>
      <w:r w:rsidRPr="00D6707C">
        <w:rPr>
          <w:rFonts w:cs="Arial"/>
        </w:rPr>
        <w:lastRenderedPageBreak/>
        <w:t xml:space="preserve">all </w:t>
      </w:r>
      <w:r>
        <w:rPr>
          <w:rFonts w:cs="Arial"/>
        </w:rPr>
        <w:t xml:space="preserve">of the </w:t>
      </w:r>
      <w:r w:rsidRPr="00D6707C">
        <w:rPr>
          <w:rFonts w:cs="Arial"/>
        </w:rPr>
        <w:t xml:space="preserve">case </w:t>
      </w:r>
      <w:r>
        <w:rPr>
          <w:rFonts w:cs="Arial"/>
        </w:rPr>
        <w:t xml:space="preserve">records were reviewed for each case </w:t>
      </w:r>
      <w:r w:rsidRPr="00D6707C">
        <w:rPr>
          <w:rFonts w:cs="Arial"/>
        </w:rPr>
        <w:t xml:space="preserve">identified in the audit by the ASWs and the majority of the cases were found to qualify with at least one ADL, and therefore qualified for the services they received.  The coding for these cases has been corrected in ASCAP.  The remaining cases have been appropriately closed or are set to close.  </w:t>
      </w:r>
      <w:r w:rsidRPr="00667440">
        <w:rPr>
          <w:rFonts w:cs="Arial"/>
        </w:rPr>
        <w:t>Based on the review of case records for each of these cases, DCH and DHS indicated that they disagree that DCH paid $3.3 million for services delivered to individuals who did not qualify for them.</w:t>
      </w:r>
    </w:p>
    <w:p w:rsidR="00027935" w:rsidRPr="00D6707C" w:rsidRDefault="00027935" w:rsidP="00027935">
      <w:pPr>
        <w:spacing w:line="300" w:lineRule="auto"/>
        <w:ind w:left="504"/>
        <w:jc w:val="both"/>
        <w:rPr>
          <w:rFonts w:cs="Arial"/>
        </w:rPr>
      </w:pPr>
    </w:p>
    <w:p w:rsidR="00027935" w:rsidRPr="00D6707C" w:rsidRDefault="00027935" w:rsidP="00027935">
      <w:pPr>
        <w:spacing w:line="300" w:lineRule="auto"/>
        <w:ind w:left="504"/>
        <w:jc w:val="both"/>
        <w:rPr>
          <w:rFonts w:cs="Arial"/>
        </w:rPr>
      </w:pPr>
      <w:r>
        <w:rPr>
          <w:rFonts w:cs="Arial"/>
        </w:rPr>
        <w:t>DCH and DHS also informed us that t</w:t>
      </w:r>
      <w:r w:rsidRPr="00D6707C">
        <w:rPr>
          <w:rFonts w:cs="Arial"/>
        </w:rPr>
        <w:t xml:space="preserve">his finding was resolved with the implementation of a system edit in March 2014 which prohibits the ASW from entering an authorization for a client without an assessment score of 3 or higher in at least one ADL.  </w:t>
      </w:r>
    </w:p>
    <w:p w:rsidR="0097689D" w:rsidRDefault="0097689D" w:rsidP="00F84A56">
      <w:pPr>
        <w:tabs>
          <w:tab w:val="left" w:pos="0"/>
        </w:tabs>
        <w:spacing w:line="300" w:lineRule="auto"/>
        <w:ind w:left="504"/>
        <w:jc w:val="both"/>
        <w:rPr>
          <w:rFonts w:cs="Arial"/>
        </w:rPr>
      </w:pPr>
    </w:p>
    <w:p w:rsidR="00027935" w:rsidRDefault="00027935" w:rsidP="00F84A56">
      <w:pPr>
        <w:tabs>
          <w:tab w:val="left" w:pos="0"/>
        </w:tabs>
        <w:spacing w:line="300" w:lineRule="auto"/>
        <w:ind w:left="504"/>
        <w:jc w:val="both"/>
        <w:rPr>
          <w:rFonts w:cs="Arial"/>
        </w:rPr>
      </w:pPr>
    </w:p>
    <w:p w:rsidR="00893F75" w:rsidRPr="00FB1CBD" w:rsidRDefault="00B21A79" w:rsidP="00F84A56">
      <w:pPr>
        <w:overflowPunct/>
        <w:autoSpaceDE/>
        <w:autoSpaceDN/>
        <w:adjustRightInd/>
        <w:spacing w:line="300" w:lineRule="auto"/>
        <w:textAlignment w:val="auto"/>
        <w:rPr>
          <w:rFonts w:cs="Arial"/>
          <w:b/>
          <w:smallCaps/>
          <w:noProof/>
          <w:sz w:val="28"/>
          <w:u w:val="single"/>
        </w:rPr>
      </w:pPr>
      <w:r w:rsidRPr="00FB1CBD">
        <w:rPr>
          <w:rFonts w:cs="Arial"/>
          <w:b/>
          <w:smallCaps/>
          <w:noProof/>
          <w:sz w:val="28"/>
          <w:u w:val="single"/>
        </w:rPr>
        <w:t>Finding</w:t>
      </w:r>
    </w:p>
    <w:p w:rsidR="00893F75" w:rsidRPr="00FB1CBD" w:rsidRDefault="00893F75" w:rsidP="00F84A56">
      <w:pPr>
        <w:pStyle w:val="A4-FindingTitle"/>
      </w:pPr>
      <w:r w:rsidRPr="00FB1CBD">
        <w:t xml:space="preserve">Unemployment Insurance </w:t>
      </w:r>
      <w:r w:rsidR="00E553BC">
        <w:t xml:space="preserve">(UI) </w:t>
      </w:r>
      <w:r w:rsidRPr="00FB1CBD">
        <w:t>Claims</w:t>
      </w:r>
    </w:p>
    <w:p w:rsidR="00893F75" w:rsidRPr="00FB1CBD" w:rsidRDefault="00893F75" w:rsidP="00F84A56">
      <w:pPr>
        <w:spacing w:line="300" w:lineRule="auto"/>
        <w:ind w:left="504"/>
        <w:jc w:val="both"/>
        <w:rPr>
          <w:rFonts w:cs="Arial"/>
        </w:rPr>
      </w:pPr>
      <w:r w:rsidRPr="00FB1CBD">
        <w:rPr>
          <w:rFonts w:cs="Arial"/>
        </w:rPr>
        <w:t xml:space="preserve">DCH did not verify the accuracy of information included on the monetary eligibility determinations* and other documents sent to it by the Unemployment Insurance Agency (UIA) related to provider claims.  As a result, DCH missed its opportunity to protest inaccurate information and UIA likely improperly paid </w:t>
      </w:r>
      <w:r w:rsidR="00E553BC">
        <w:rPr>
          <w:rFonts w:cs="Arial"/>
        </w:rPr>
        <w:t xml:space="preserve">providers regular and federally </w:t>
      </w:r>
      <w:r w:rsidRPr="00FB1CBD">
        <w:rPr>
          <w:rFonts w:cs="Arial"/>
        </w:rPr>
        <w:t>funded extended and em</w:t>
      </w:r>
      <w:r w:rsidR="00E553BC">
        <w:rPr>
          <w:rFonts w:cs="Arial"/>
        </w:rPr>
        <w:t xml:space="preserve">ergency </w:t>
      </w:r>
      <w:r w:rsidRPr="00FB1CBD">
        <w:rPr>
          <w:rFonts w:cs="Arial"/>
        </w:rPr>
        <w:t>UI benefits.  From October 1, 2010 through March 31, 2013, DCH reimbursed UIA $7</w:t>
      </w:r>
      <w:r w:rsidR="00E553BC">
        <w:rPr>
          <w:rFonts w:cs="Arial"/>
        </w:rPr>
        <w:t>.0</w:t>
      </w:r>
      <w:r w:rsidRPr="00FB1CBD">
        <w:rPr>
          <w:rFonts w:cs="Arial"/>
        </w:rPr>
        <w:t xml:space="preserve"> million for regul</w:t>
      </w:r>
      <w:r w:rsidR="00E553BC">
        <w:rPr>
          <w:rFonts w:cs="Arial"/>
        </w:rPr>
        <w:t xml:space="preserve">ar UI benefits paid to provider </w:t>
      </w:r>
      <w:r w:rsidRPr="00FB1CBD">
        <w:rPr>
          <w:rFonts w:cs="Arial"/>
        </w:rPr>
        <w:t xml:space="preserve">claimants. </w:t>
      </w:r>
    </w:p>
    <w:p w:rsidR="00EC193A" w:rsidRPr="00FB1CBD" w:rsidRDefault="00EC193A" w:rsidP="00F84A56">
      <w:pPr>
        <w:spacing w:line="300" w:lineRule="auto"/>
        <w:ind w:left="504"/>
        <w:jc w:val="both"/>
        <w:rPr>
          <w:rFonts w:cs="Arial"/>
        </w:rPr>
      </w:pPr>
    </w:p>
    <w:p w:rsidR="00893F75" w:rsidRPr="00FB1CBD" w:rsidRDefault="00E553BC" w:rsidP="00F84A56">
      <w:pPr>
        <w:spacing w:line="300" w:lineRule="auto"/>
        <w:ind w:left="504"/>
        <w:jc w:val="both"/>
        <w:rPr>
          <w:rFonts w:cs="Arial"/>
        </w:rPr>
      </w:pPr>
      <w:r>
        <w:rPr>
          <w:rFonts w:cs="Arial"/>
        </w:rPr>
        <w:t xml:space="preserve">Although </w:t>
      </w:r>
      <w:r w:rsidR="00A707F8">
        <w:rPr>
          <w:rFonts w:cs="Arial"/>
        </w:rPr>
        <w:t>HHP</w:t>
      </w:r>
      <w:r>
        <w:rPr>
          <w:rFonts w:cs="Arial"/>
        </w:rPr>
        <w:t xml:space="preserve"> </w:t>
      </w:r>
      <w:r w:rsidR="00893F75" w:rsidRPr="00FB1CBD">
        <w:rPr>
          <w:rFonts w:cs="Arial"/>
        </w:rPr>
        <w:t xml:space="preserve">clients hired and fired their own providers, DCH acted as an employer-agent for the clients and reimbursed UIA for the regular UI benefits that it paid to claimants based on their earnings as providers.  To help ensure that UIA paid benefits in </w:t>
      </w:r>
      <w:r w:rsidR="000A3908">
        <w:rPr>
          <w:rFonts w:cs="Arial"/>
        </w:rPr>
        <w:t xml:space="preserve">only </w:t>
      </w:r>
      <w:r w:rsidR="00893F75" w:rsidRPr="00FB1CBD">
        <w:rPr>
          <w:rFonts w:cs="Arial"/>
        </w:rPr>
        <w:t xml:space="preserve">the correct amount and to </w:t>
      </w:r>
      <w:r w:rsidR="000A3908">
        <w:rPr>
          <w:rFonts w:cs="Arial"/>
        </w:rPr>
        <w:t xml:space="preserve">only </w:t>
      </w:r>
      <w:r w:rsidR="00893F75" w:rsidRPr="00FB1CBD">
        <w:rPr>
          <w:rFonts w:cs="Arial"/>
        </w:rPr>
        <w:t>eligible claimants, DCH, as the employer-agent, should have verified the accuracy of the pertinent claims-related information that UIA sent to it, such as the accuracy of the separation reason and the claimants</w:t>
      </w:r>
      <w:r w:rsidR="00F305E9">
        <w:rPr>
          <w:rFonts w:cs="Arial"/>
        </w:rPr>
        <w:t>'</w:t>
      </w:r>
      <w:r w:rsidR="00893F75" w:rsidRPr="00FB1CBD">
        <w:rPr>
          <w:rFonts w:cs="Arial"/>
        </w:rPr>
        <w:t xml:space="preserve"> reported earnings.  </w:t>
      </w:r>
    </w:p>
    <w:p w:rsidR="00893F75" w:rsidRPr="00FB1CBD" w:rsidRDefault="00893F75" w:rsidP="00F84A56">
      <w:pPr>
        <w:spacing w:line="300" w:lineRule="auto"/>
        <w:ind w:left="504"/>
        <w:jc w:val="both"/>
        <w:rPr>
          <w:rFonts w:cs="Arial"/>
        </w:rPr>
      </w:pPr>
    </w:p>
    <w:p w:rsidR="00027935" w:rsidRDefault="00893F75" w:rsidP="00F84A56">
      <w:pPr>
        <w:spacing w:line="300" w:lineRule="auto"/>
        <w:ind w:left="504"/>
        <w:jc w:val="both"/>
        <w:rPr>
          <w:rFonts w:cs="Arial"/>
        </w:rPr>
      </w:pPr>
      <w:r w:rsidRPr="00FB1CBD">
        <w:rPr>
          <w:rFonts w:cs="Arial"/>
        </w:rPr>
        <w:t xml:space="preserve">DCH informed us that the monetary eligibility determinations and other UIA forms that it received from approximately September 2011 through late June 2012 were no longer available for review.  From the monetary eligibility determinations that </w:t>
      </w:r>
      <w:r w:rsidR="00027935">
        <w:rPr>
          <w:rFonts w:cs="Arial"/>
        </w:rPr>
        <w:br/>
      </w:r>
    </w:p>
    <w:p w:rsidR="00027935" w:rsidRPr="00C87A26" w:rsidRDefault="00027935" w:rsidP="00027935">
      <w:pPr>
        <w:pStyle w:val="ListParagraph"/>
        <w:overflowPunct/>
        <w:autoSpaceDE/>
        <w:autoSpaceDN/>
        <w:adjustRightInd/>
        <w:spacing w:line="300" w:lineRule="auto"/>
        <w:ind w:left="0"/>
        <w:jc w:val="both"/>
        <w:textAlignment w:val="auto"/>
        <w:rPr>
          <w:rFonts w:cs="Arial"/>
          <w:sz w:val="20"/>
          <w:szCs w:val="20"/>
        </w:rPr>
      </w:pPr>
      <w:r w:rsidRPr="00C87A26">
        <w:rPr>
          <w:rFonts w:cs="Arial"/>
          <w:i/>
          <w:sz w:val="20"/>
          <w:szCs w:val="20"/>
        </w:rPr>
        <w:t xml:space="preserve">*  See glossary at end of report for definition.  </w:t>
      </w:r>
      <w:r w:rsidRPr="00C87A26">
        <w:rPr>
          <w:rFonts w:cs="Arial"/>
          <w:sz w:val="20"/>
          <w:szCs w:val="20"/>
        </w:rPr>
        <w:br w:type="page"/>
      </w:r>
    </w:p>
    <w:p w:rsidR="00893F75" w:rsidRPr="00FB1CBD" w:rsidRDefault="00893F75" w:rsidP="00F84A56">
      <w:pPr>
        <w:spacing w:line="300" w:lineRule="auto"/>
        <w:ind w:left="504"/>
        <w:jc w:val="both"/>
        <w:rPr>
          <w:rFonts w:cs="Arial"/>
        </w:rPr>
      </w:pPr>
      <w:r w:rsidRPr="00FB1CBD">
        <w:rPr>
          <w:rFonts w:cs="Arial"/>
        </w:rPr>
        <w:lastRenderedPageBreak/>
        <w:t>DCH received from late June 2012 to early May 2013, we randomly selected and reviewed 25 determinations with maximum UI benefit charges payable by DCH totaling $21,111 and assessed the accuracy of each provider</w:t>
      </w:r>
      <w:r w:rsidR="00F305E9">
        <w:rPr>
          <w:rFonts w:cs="Arial"/>
        </w:rPr>
        <w:t>'</w:t>
      </w:r>
      <w:r w:rsidRPr="00FB1CBD">
        <w:rPr>
          <w:rFonts w:cs="Arial"/>
        </w:rPr>
        <w:t>s stated separation reason and noted:</w:t>
      </w:r>
      <w:r w:rsidR="000A3908">
        <w:rPr>
          <w:rFonts w:cs="Arial"/>
        </w:rPr>
        <w:t xml:space="preserve">  </w:t>
      </w:r>
    </w:p>
    <w:p w:rsidR="00893F75" w:rsidRPr="00FB1CBD" w:rsidRDefault="00893F75" w:rsidP="00F84A56">
      <w:pPr>
        <w:spacing w:line="300" w:lineRule="auto"/>
        <w:ind w:left="504"/>
        <w:jc w:val="both"/>
        <w:rPr>
          <w:rFonts w:cs="Arial"/>
        </w:rPr>
      </w:pPr>
    </w:p>
    <w:p w:rsidR="00027935" w:rsidRDefault="00893F75" w:rsidP="00027935">
      <w:pPr>
        <w:numPr>
          <w:ilvl w:val="0"/>
          <w:numId w:val="13"/>
        </w:numPr>
        <w:overflowPunct/>
        <w:autoSpaceDE/>
        <w:autoSpaceDN/>
        <w:adjustRightInd/>
        <w:spacing w:line="300" w:lineRule="auto"/>
        <w:ind w:left="1008" w:hanging="504"/>
        <w:contextualSpacing/>
        <w:jc w:val="both"/>
        <w:textAlignment w:val="auto"/>
        <w:rPr>
          <w:rFonts w:cs="Arial"/>
        </w:rPr>
      </w:pPr>
      <w:r w:rsidRPr="00591604">
        <w:rPr>
          <w:rFonts w:cs="Arial"/>
        </w:rPr>
        <w:t>Thirteen (52.0%) providers with maximum UI b</w:t>
      </w:r>
      <w:r w:rsidR="00027935">
        <w:rPr>
          <w:rFonts w:cs="Arial"/>
        </w:rPr>
        <w:t>enefit charges totaling $13,523 </w:t>
      </w:r>
      <w:r w:rsidRPr="00591604">
        <w:rPr>
          <w:rFonts w:cs="Arial"/>
        </w:rPr>
        <w:t>erroneously informed UIA that they separated from employment because of</w:t>
      </w:r>
      <w:r w:rsidR="00D751A6" w:rsidRPr="00591604">
        <w:rPr>
          <w:rFonts w:cs="Arial"/>
        </w:rPr>
        <w:t xml:space="preserve"> a lack of work when, in fact, </w:t>
      </w:r>
      <w:r w:rsidRPr="00591604">
        <w:rPr>
          <w:rFonts w:cs="Arial"/>
        </w:rPr>
        <w:t xml:space="preserve">they were still actively working as </w:t>
      </w:r>
      <w:r w:rsidR="00A707F8">
        <w:rPr>
          <w:rFonts w:cs="Arial"/>
        </w:rPr>
        <w:t>HHP</w:t>
      </w:r>
      <w:r w:rsidR="00761880" w:rsidRPr="00591604">
        <w:rPr>
          <w:rFonts w:cs="Arial"/>
        </w:rPr>
        <w:t xml:space="preserve"> </w:t>
      </w:r>
      <w:r w:rsidRPr="00591604">
        <w:rPr>
          <w:rFonts w:cs="Arial"/>
        </w:rPr>
        <w:t xml:space="preserve">providers serving the same clients. </w:t>
      </w:r>
      <w:r w:rsidR="00D751A6" w:rsidRPr="00591604">
        <w:rPr>
          <w:rFonts w:cs="Arial"/>
        </w:rPr>
        <w:t xml:space="preserve"> </w:t>
      </w:r>
      <w:r w:rsidRPr="00591604">
        <w:rPr>
          <w:rFonts w:cs="Arial"/>
        </w:rPr>
        <w:t>According to UIA</w:t>
      </w:r>
      <w:r w:rsidR="00F305E9">
        <w:rPr>
          <w:rFonts w:cs="Arial"/>
        </w:rPr>
        <w:t>'</w:t>
      </w:r>
      <w:r w:rsidRPr="00591604">
        <w:rPr>
          <w:rFonts w:cs="Arial"/>
        </w:rPr>
        <w:t>s Employer Handbook, if DCH had protested these claims and informed UIA that the providers were still working as providers and earning as much or more per week than DCH</w:t>
      </w:r>
      <w:r w:rsidR="00F305E9">
        <w:rPr>
          <w:rFonts w:cs="Arial"/>
        </w:rPr>
        <w:t>'</w:t>
      </w:r>
      <w:r w:rsidRPr="00591604">
        <w:rPr>
          <w:rFonts w:cs="Arial"/>
        </w:rPr>
        <w:t>s related weekly UI benefit ch</w:t>
      </w:r>
      <w:r w:rsidR="00027935">
        <w:rPr>
          <w:rFonts w:cs="Arial"/>
        </w:rPr>
        <w:t>arge (which was true for all 13 </w:t>
      </w:r>
      <w:r w:rsidRPr="00591604">
        <w:rPr>
          <w:rFonts w:cs="Arial"/>
        </w:rPr>
        <w:t xml:space="preserve">providers), DCH would not have had any UI liability related to the claims.   </w:t>
      </w:r>
    </w:p>
    <w:p w:rsidR="00591604" w:rsidRPr="00591604" w:rsidRDefault="00591604" w:rsidP="00027935">
      <w:pPr>
        <w:overflowPunct/>
        <w:autoSpaceDE/>
        <w:autoSpaceDN/>
        <w:adjustRightInd/>
        <w:spacing w:line="300" w:lineRule="auto"/>
        <w:contextualSpacing/>
        <w:jc w:val="both"/>
        <w:textAlignment w:val="auto"/>
        <w:rPr>
          <w:rFonts w:cs="Arial"/>
        </w:rPr>
      </w:pPr>
    </w:p>
    <w:p w:rsidR="00893F75" w:rsidRPr="00FB1CBD" w:rsidRDefault="00893F75" w:rsidP="00027935">
      <w:pPr>
        <w:numPr>
          <w:ilvl w:val="0"/>
          <w:numId w:val="13"/>
        </w:numPr>
        <w:overflowPunct/>
        <w:spacing w:line="300" w:lineRule="auto"/>
        <w:ind w:left="1008" w:hanging="504"/>
        <w:contextualSpacing/>
        <w:jc w:val="both"/>
        <w:textAlignment w:val="auto"/>
        <w:rPr>
          <w:rFonts w:cs="Arial"/>
        </w:rPr>
      </w:pPr>
      <w:r w:rsidRPr="00FB1CBD">
        <w:rPr>
          <w:rFonts w:cs="Arial"/>
        </w:rPr>
        <w:t>One (4.0%) provider with maximum U</w:t>
      </w:r>
      <w:r w:rsidR="00027935">
        <w:rPr>
          <w:rFonts w:cs="Arial"/>
        </w:rPr>
        <w:t>I benefit charges totaling $401 </w:t>
      </w:r>
      <w:r w:rsidRPr="00FB1CBD">
        <w:rPr>
          <w:rFonts w:cs="Arial"/>
        </w:rPr>
        <w:t>erroneously informed UIA that he separated because of a lack of work when, according to ASCAP, he was fired for having illegal drugs in the client</w:t>
      </w:r>
      <w:r w:rsidR="00F305E9">
        <w:rPr>
          <w:rFonts w:cs="Arial"/>
        </w:rPr>
        <w:t>'</w:t>
      </w:r>
      <w:r w:rsidRPr="00FB1CBD">
        <w:rPr>
          <w:rFonts w:cs="Arial"/>
        </w:rPr>
        <w:t>s home and taking the client</w:t>
      </w:r>
      <w:r w:rsidR="00F305E9">
        <w:rPr>
          <w:rFonts w:cs="Arial"/>
        </w:rPr>
        <w:t>'</w:t>
      </w:r>
      <w:r w:rsidRPr="00FB1CBD">
        <w:rPr>
          <w:rFonts w:cs="Arial"/>
        </w:rPr>
        <w:t>s medications.  UIA</w:t>
      </w:r>
      <w:r w:rsidR="00F305E9">
        <w:rPr>
          <w:rFonts w:cs="Arial"/>
        </w:rPr>
        <w:t>'</w:t>
      </w:r>
      <w:r w:rsidRPr="00FB1CBD">
        <w:rPr>
          <w:rFonts w:cs="Arial"/>
        </w:rPr>
        <w:t>s Employer Handbook states that</w:t>
      </w:r>
      <w:r w:rsidR="00761880">
        <w:rPr>
          <w:rFonts w:cs="Arial"/>
        </w:rPr>
        <w:t>,</w:t>
      </w:r>
      <w:r w:rsidRPr="00FB1CBD">
        <w:rPr>
          <w:rFonts w:cs="Arial"/>
        </w:rPr>
        <w:t xml:space="preserve"> when an individual is discharged for possession or use of drugs or theft from the employer, the individual will not be entitled to UI benefits related to his work at the employer.</w:t>
      </w:r>
      <w:r w:rsidR="00F0309A" w:rsidRPr="00FB1CBD">
        <w:rPr>
          <w:rFonts w:cs="Arial"/>
        </w:rPr>
        <w:t xml:space="preserve"> </w:t>
      </w:r>
      <w:r w:rsidRPr="00FB1CBD">
        <w:rPr>
          <w:rFonts w:cs="Arial"/>
        </w:rPr>
        <w:t xml:space="preserve"> Consequently, if DCH had protested the claim, it could have eliminated its </w:t>
      </w:r>
      <w:r w:rsidR="00761880" w:rsidRPr="00FB1CBD">
        <w:rPr>
          <w:rFonts w:cs="Arial"/>
        </w:rPr>
        <w:t xml:space="preserve">related </w:t>
      </w:r>
      <w:r w:rsidRPr="00FB1CBD">
        <w:rPr>
          <w:rFonts w:cs="Arial"/>
        </w:rPr>
        <w:t>UI liability.</w:t>
      </w:r>
    </w:p>
    <w:p w:rsidR="00893F75" w:rsidRPr="00FB1CBD" w:rsidRDefault="00893F75" w:rsidP="00F84A56">
      <w:pPr>
        <w:spacing w:line="300" w:lineRule="auto"/>
        <w:ind w:left="1008" w:hanging="504"/>
        <w:jc w:val="both"/>
        <w:rPr>
          <w:rFonts w:cs="Arial"/>
        </w:rPr>
      </w:pPr>
    </w:p>
    <w:p w:rsidR="00F0309A" w:rsidRPr="0097689D" w:rsidRDefault="00893F75" w:rsidP="00027935">
      <w:pPr>
        <w:numPr>
          <w:ilvl w:val="0"/>
          <w:numId w:val="13"/>
        </w:numPr>
        <w:overflowPunct/>
        <w:autoSpaceDE/>
        <w:autoSpaceDN/>
        <w:adjustRightInd/>
        <w:spacing w:line="300" w:lineRule="auto"/>
        <w:ind w:left="1008" w:hanging="504"/>
        <w:contextualSpacing/>
        <w:jc w:val="both"/>
        <w:textAlignment w:val="auto"/>
        <w:rPr>
          <w:rFonts w:cs="Arial"/>
        </w:rPr>
      </w:pPr>
      <w:r w:rsidRPr="0097689D">
        <w:rPr>
          <w:rFonts w:cs="Arial"/>
        </w:rPr>
        <w:t>One (4.0%) provider with maximum UI benefit charges totaling $413 informed UIA that he separated from employment by quitting. While factually correct, ASCAP showed that the provider quit for another job.  UIA</w:t>
      </w:r>
      <w:r w:rsidR="00F305E9">
        <w:rPr>
          <w:rFonts w:cs="Arial"/>
        </w:rPr>
        <w:t>'</w:t>
      </w:r>
      <w:r w:rsidRPr="0097689D">
        <w:rPr>
          <w:rFonts w:cs="Arial"/>
        </w:rPr>
        <w:t>s Employer Handbook states that</w:t>
      </w:r>
      <w:r w:rsidR="00761880">
        <w:rPr>
          <w:rFonts w:cs="Arial"/>
        </w:rPr>
        <w:t>,</w:t>
      </w:r>
      <w:r w:rsidRPr="0097689D">
        <w:rPr>
          <w:rFonts w:cs="Arial"/>
        </w:rPr>
        <w:t xml:space="preserve"> when a worker quits for permanent, full-time work </w:t>
      </w:r>
      <w:r w:rsidR="003675B3">
        <w:rPr>
          <w:rFonts w:cs="Arial"/>
        </w:rPr>
        <w:t xml:space="preserve">for </w:t>
      </w:r>
      <w:r w:rsidRPr="0097689D">
        <w:rPr>
          <w:rFonts w:cs="Arial"/>
        </w:rPr>
        <w:t>another employer, the new employer is responsible for any UI charges related to the work at the original employer.  Consequently, if DCH had protested the claim</w:t>
      </w:r>
      <w:r w:rsidR="00761880">
        <w:rPr>
          <w:rFonts w:cs="Arial"/>
        </w:rPr>
        <w:t>,</w:t>
      </w:r>
      <w:r w:rsidRPr="0097689D">
        <w:rPr>
          <w:rFonts w:cs="Arial"/>
        </w:rPr>
        <w:t xml:space="preserve"> it could have eliminated its </w:t>
      </w:r>
      <w:r w:rsidR="00761880">
        <w:rPr>
          <w:rFonts w:cs="Arial"/>
        </w:rPr>
        <w:t xml:space="preserve">related </w:t>
      </w:r>
      <w:r w:rsidRPr="0097689D">
        <w:rPr>
          <w:rFonts w:cs="Arial"/>
        </w:rPr>
        <w:t>UI liability.</w:t>
      </w:r>
      <w:r w:rsidR="00A61231">
        <w:rPr>
          <w:rFonts w:cs="Arial"/>
        </w:rPr>
        <w:t xml:space="preserve">  </w:t>
      </w:r>
    </w:p>
    <w:p w:rsidR="0065331C" w:rsidRPr="00FB1CBD" w:rsidRDefault="0065331C" w:rsidP="00F84A56">
      <w:pPr>
        <w:overflowPunct/>
        <w:autoSpaceDE/>
        <w:autoSpaceDN/>
        <w:adjustRightInd/>
        <w:spacing w:line="300" w:lineRule="auto"/>
        <w:ind w:left="1008"/>
        <w:contextualSpacing/>
        <w:jc w:val="both"/>
        <w:textAlignment w:val="auto"/>
        <w:rPr>
          <w:rFonts w:cs="Arial"/>
        </w:rPr>
      </w:pPr>
    </w:p>
    <w:p w:rsidR="00027935" w:rsidRPr="00027935" w:rsidRDefault="00893F75" w:rsidP="00027935">
      <w:pPr>
        <w:numPr>
          <w:ilvl w:val="0"/>
          <w:numId w:val="13"/>
        </w:numPr>
        <w:overflowPunct/>
        <w:autoSpaceDE/>
        <w:autoSpaceDN/>
        <w:adjustRightInd/>
        <w:spacing w:line="300" w:lineRule="auto"/>
        <w:ind w:left="1008" w:hanging="504"/>
        <w:contextualSpacing/>
        <w:jc w:val="both"/>
        <w:textAlignment w:val="auto"/>
        <w:rPr>
          <w:rFonts w:cs="Arial"/>
        </w:rPr>
      </w:pPr>
      <w:r w:rsidRPr="00027935">
        <w:rPr>
          <w:rFonts w:cs="Arial"/>
        </w:rPr>
        <w:t xml:space="preserve">Three (12.0%) providers with maximum UI </w:t>
      </w:r>
      <w:r w:rsidR="00027935" w:rsidRPr="00027935">
        <w:rPr>
          <w:rFonts w:cs="Arial"/>
        </w:rPr>
        <w:t>benefit charges totaling $1,399 </w:t>
      </w:r>
      <w:r w:rsidRPr="00027935">
        <w:rPr>
          <w:rFonts w:cs="Arial"/>
        </w:rPr>
        <w:t xml:space="preserve">informed UIA that they separated because of a lack of work.  However, we noted that the clients that the providers served at the time of their separations continued receiving services, suggesting that the providers had </w:t>
      </w:r>
      <w:r w:rsidR="00027935" w:rsidRPr="00027935">
        <w:rPr>
          <w:rFonts w:cs="Arial"/>
        </w:rPr>
        <w:br/>
      </w:r>
      <w:r w:rsidR="00027935" w:rsidRPr="00027935">
        <w:rPr>
          <w:rFonts w:cs="Arial"/>
        </w:rPr>
        <w:br w:type="page"/>
      </w:r>
    </w:p>
    <w:p w:rsidR="00893F75" w:rsidRPr="00FB1CBD" w:rsidRDefault="00893F75" w:rsidP="00027935">
      <w:pPr>
        <w:overflowPunct/>
        <w:spacing w:line="300" w:lineRule="auto"/>
        <w:ind w:left="1008"/>
        <w:contextualSpacing/>
        <w:jc w:val="both"/>
        <w:textAlignment w:val="auto"/>
        <w:rPr>
          <w:rFonts w:cs="Arial"/>
        </w:rPr>
      </w:pPr>
      <w:r w:rsidRPr="00FB1CBD">
        <w:rPr>
          <w:rFonts w:cs="Arial"/>
        </w:rPr>
        <w:lastRenderedPageBreak/>
        <w:t xml:space="preserve">either quit or were discharged. </w:t>
      </w:r>
      <w:r w:rsidR="00F0309A" w:rsidRPr="00FB1CBD">
        <w:rPr>
          <w:rFonts w:cs="Arial"/>
        </w:rPr>
        <w:t xml:space="preserve"> </w:t>
      </w:r>
      <w:r w:rsidRPr="00FB1CBD">
        <w:rPr>
          <w:rFonts w:cs="Arial"/>
        </w:rPr>
        <w:t xml:space="preserve">We also noted 2 (8.0%) providers with maximum UI benefit charges totaling $2,318 indicated that they separated by quitting. </w:t>
      </w:r>
      <w:r w:rsidR="00F0309A" w:rsidRPr="00FB1CBD">
        <w:rPr>
          <w:rFonts w:cs="Arial"/>
        </w:rPr>
        <w:t xml:space="preserve"> </w:t>
      </w:r>
      <w:r w:rsidRPr="00FB1CBD">
        <w:rPr>
          <w:rFonts w:cs="Arial"/>
        </w:rPr>
        <w:t xml:space="preserve">However, we could not determine why these </w:t>
      </w:r>
      <w:r w:rsidR="00310C97">
        <w:rPr>
          <w:rFonts w:cs="Arial"/>
        </w:rPr>
        <w:t xml:space="preserve">2 </w:t>
      </w:r>
      <w:r w:rsidRPr="00FB1CBD">
        <w:rPr>
          <w:rFonts w:cs="Arial"/>
        </w:rPr>
        <w:t xml:space="preserve">or the </w:t>
      </w:r>
      <w:r w:rsidR="00310C97">
        <w:rPr>
          <w:rFonts w:cs="Arial"/>
        </w:rPr>
        <w:t xml:space="preserve">3 </w:t>
      </w:r>
      <w:r w:rsidRPr="00FB1CBD">
        <w:rPr>
          <w:rFonts w:cs="Arial"/>
        </w:rPr>
        <w:t>aforementioned providers separated because the ASWs did not document the providers</w:t>
      </w:r>
      <w:r w:rsidR="00F305E9">
        <w:rPr>
          <w:rFonts w:cs="Arial"/>
        </w:rPr>
        <w:t>'</w:t>
      </w:r>
      <w:r w:rsidRPr="00FB1CBD">
        <w:rPr>
          <w:rFonts w:cs="Arial"/>
        </w:rPr>
        <w:t xml:space="preserve"> separation reasons in ASCAP. </w:t>
      </w:r>
    </w:p>
    <w:p w:rsidR="00591604" w:rsidRDefault="00591604" w:rsidP="00F84A56">
      <w:pPr>
        <w:overflowPunct/>
        <w:autoSpaceDE/>
        <w:autoSpaceDN/>
        <w:adjustRightInd/>
        <w:spacing w:line="300" w:lineRule="auto"/>
        <w:textAlignment w:val="auto"/>
        <w:rPr>
          <w:rFonts w:cs="Arial"/>
        </w:rPr>
      </w:pPr>
    </w:p>
    <w:p w:rsidR="00893F75" w:rsidRPr="00FB1CBD" w:rsidRDefault="00893F75" w:rsidP="00F84A56">
      <w:pPr>
        <w:spacing w:line="300" w:lineRule="auto"/>
        <w:ind w:left="1008"/>
        <w:jc w:val="both"/>
        <w:rPr>
          <w:rFonts w:cs="Arial"/>
        </w:rPr>
      </w:pPr>
      <w:r w:rsidRPr="00FB1CBD">
        <w:rPr>
          <w:rFonts w:cs="Arial"/>
        </w:rPr>
        <w:t>UIA</w:t>
      </w:r>
      <w:r w:rsidR="00F305E9">
        <w:rPr>
          <w:rFonts w:cs="Arial"/>
        </w:rPr>
        <w:t>'</w:t>
      </w:r>
      <w:r w:rsidRPr="00FB1CBD">
        <w:rPr>
          <w:rFonts w:cs="Arial"/>
        </w:rPr>
        <w:t>s Employer Handbook states that</w:t>
      </w:r>
      <w:r w:rsidR="00310C97">
        <w:rPr>
          <w:rFonts w:cs="Arial"/>
        </w:rPr>
        <w:t>,</w:t>
      </w:r>
      <w:r w:rsidRPr="00FB1CBD">
        <w:rPr>
          <w:rFonts w:cs="Arial"/>
        </w:rPr>
        <w:t xml:space="preserve"> when individuals quit without good cause attributable to their employer or are discharged for misconduct, the employer is not liable for the individual</w:t>
      </w:r>
      <w:r w:rsidR="00F305E9">
        <w:rPr>
          <w:rFonts w:cs="Arial"/>
        </w:rPr>
        <w:t>'</w:t>
      </w:r>
      <w:r w:rsidRPr="00FB1CBD">
        <w:rPr>
          <w:rFonts w:cs="Arial"/>
        </w:rPr>
        <w:t>s UI benefit charges.  Consequently, it is essential that ASWs sufficiently document each provider</w:t>
      </w:r>
      <w:r w:rsidR="00F305E9">
        <w:rPr>
          <w:rFonts w:cs="Arial"/>
        </w:rPr>
        <w:t>'</w:t>
      </w:r>
      <w:r w:rsidRPr="00FB1CBD">
        <w:rPr>
          <w:rFonts w:cs="Arial"/>
        </w:rPr>
        <w:t xml:space="preserve">s separation reason to allow DCH to assess the need for and </w:t>
      </w:r>
      <w:r w:rsidR="00310C97">
        <w:rPr>
          <w:rFonts w:cs="Arial"/>
        </w:rPr>
        <w:t xml:space="preserve">to </w:t>
      </w:r>
      <w:r w:rsidRPr="00FB1CBD">
        <w:rPr>
          <w:rFonts w:cs="Arial"/>
        </w:rPr>
        <w:t xml:space="preserve">support a protest of inaccurate information affecting its UI liability. </w:t>
      </w:r>
    </w:p>
    <w:p w:rsidR="00893F75" w:rsidRPr="00FB1CBD" w:rsidRDefault="00893F75" w:rsidP="00F84A56">
      <w:pPr>
        <w:spacing w:line="300" w:lineRule="auto"/>
        <w:ind w:left="1008"/>
        <w:jc w:val="both"/>
        <w:rPr>
          <w:rFonts w:cs="Arial"/>
        </w:rPr>
      </w:pPr>
    </w:p>
    <w:p w:rsidR="0065331C" w:rsidRPr="00FB1CBD" w:rsidRDefault="00893F75" w:rsidP="00027935">
      <w:pPr>
        <w:numPr>
          <w:ilvl w:val="0"/>
          <w:numId w:val="13"/>
        </w:numPr>
        <w:overflowPunct/>
        <w:spacing w:line="300" w:lineRule="auto"/>
        <w:ind w:left="1008" w:hanging="504"/>
        <w:contextualSpacing/>
        <w:jc w:val="both"/>
        <w:textAlignment w:val="auto"/>
        <w:rPr>
          <w:rFonts w:cs="Arial"/>
        </w:rPr>
      </w:pPr>
      <w:r w:rsidRPr="00FB1CBD">
        <w:rPr>
          <w:rFonts w:cs="Arial"/>
        </w:rPr>
        <w:t xml:space="preserve">One (4.0%) provider with maximum UI benefit charges totaling $487 correctly reported to UIA that he was still employed as a provider; however, the provider did not correctly report his earnings to UIA for the weeks that he received UI benefits. </w:t>
      </w:r>
      <w:r w:rsidR="00F0309A" w:rsidRPr="00FB1CBD">
        <w:rPr>
          <w:rFonts w:cs="Arial"/>
        </w:rPr>
        <w:t xml:space="preserve"> </w:t>
      </w:r>
      <w:r w:rsidRPr="00FB1CBD">
        <w:rPr>
          <w:rFonts w:cs="Arial"/>
        </w:rPr>
        <w:t>If DCH had protested the provider</w:t>
      </w:r>
      <w:r w:rsidR="00F305E9">
        <w:rPr>
          <w:rFonts w:cs="Arial"/>
        </w:rPr>
        <w:t>'</w:t>
      </w:r>
      <w:r w:rsidRPr="00FB1CBD">
        <w:rPr>
          <w:rFonts w:cs="Arial"/>
        </w:rPr>
        <w:t>s misreported earnings, DCH could have reduced its related UI liability.</w:t>
      </w:r>
    </w:p>
    <w:p w:rsidR="00893F75" w:rsidRPr="00FB1CBD" w:rsidRDefault="00893F75" w:rsidP="00F84A56">
      <w:pPr>
        <w:overflowPunct/>
        <w:spacing w:line="300" w:lineRule="auto"/>
        <w:ind w:left="1008"/>
        <w:contextualSpacing/>
        <w:jc w:val="both"/>
        <w:textAlignment w:val="auto"/>
        <w:rPr>
          <w:rFonts w:cs="Arial"/>
        </w:rPr>
      </w:pPr>
    </w:p>
    <w:p w:rsidR="00893F75" w:rsidRPr="00FB1CBD" w:rsidRDefault="00893F75" w:rsidP="0014364F">
      <w:pPr>
        <w:spacing w:line="300" w:lineRule="auto"/>
        <w:ind w:left="504"/>
        <w:contextualSpacing/>
        <w:jc w:val="both"/>
        <w:rPr>
          <w:rFonts w:cs="Arial"/>
        </w:rPr>
      </w:pPr>
      <w:r w:rsidRPr="00FB1CBD">
        <w:rPr>
          <w:rFonts w:cs="Arial"/>
        </w:rPr>
        <w:t>DCH informed us that</w:t>
      </w:r>
      <w:r w:rsidR="003675B3">
        <w:rPr>
          <w:rFonts w:cs="Arial"/>
        </w:rPr>
        <w:t>,</w:t>
      </w:r>
      <w:r w:rsidRPr="00FB1CBD">
        <w:rPr>
          <w:rFonts w:cs="Arial"/>
        </w:rPr>
        <w:t xml:space="preserve"> on a monthly basis from 2006 to approximately September 2011, a DCH contractor verified and protested, as applicable, the accuracy of the earnings data reported for some claimants that received regular UI benefits.  Documentation suggests that neither DCH nor its contractor reviewed the accuracy of the separation reasons included on the monetary eligibility determinations.  DCH informed us that</w:t>
      </w:r>
      <w:r w:rsidR="00310C97">
        <w:rPr>
          <w:rFonts w:cs="Arial"/>
        </w:rPr>
        <w:t>,</w:t>
      </w:r>
      <w:r w:rsidRPr="00FB1CBD">
        <w:rPr>
          <w:rFonts w:cs="Arial"/>
        </w:rPr>
        <w:t xml:space="preserve"> when its contractor stopped reviewing the biweekly statements in</w:t>
      </w:r>
      <w:r w:rsidR="00310C97">
        <w:rPr>
          <w:rFonts w:cs="Arial"/>
        </w:rPr>
        <w:t xml:space="preserve"> September 2011, DCH did not re</w:t>
      </w:r>
      <w:r w:rsidRPr="00FB1CBD">
        <w:rPr>
          <w:rFonts w:cs="Arial"/>
        </w:rPr>
        <w:t xml:space="preserve">assign the responsibility to review the </w:t>
      </w:r>
      <w:r w:rsidR="00A707F8">
        <w:rPr>
          <w:rFonts w:cs="Arial"/>
        </w:rPr>
        <w:t>HHP</w:t>
      </w:r>
      <w:r w:rsidRPr="00FB1CBD">
        <w:rPr>
          <w:rFonts w:cs="Arial"/>
        </w:rPr>
        <w:t xml:space="preserve">-related correspondence that it received from UIA. </w:t>
      </w:r>
      <w:r w:rsidR="00F0309A" w:rsidRPr="00FB1CBD">
        <w:rPr>
          <w:rFonts w:cs="Arial"/>
        </w:rPr>
        <w:t xml:space="preserve"> </w:t>
      </w:r>
      <w:r w:rsidRPr="00FB1CBD">
        <w:rPr>
          <w:rFonts w:cs="Arial"/>
        </w:rPr>
        <w:t xml:space="preserve">In addition to separation reasons and earnings, this </w:t>
      </w:r>
      <w:r w:rsidR="00310C97">
        <w:rPr>
          <w:rFonts w:cs="Arial"/>
        </w:rPr>
        <w:t>correspond</w:t>
      </w:r>
      <w:r w:rsidR="00F305E9">
        <w:rPr>
          <w:rFonts w:cs="Arial"/>
        </w:rPr>
        <w:t>ence</w:t>
      </w:r>
      <w:r w:rsidR="00310C97">
        <w:rPr>
          <w:rFonts w:cs="Arial"/>
        </w:rPr>
        <w:t xml:space="preserve"> </w:t>
      </w:r>
      <w:r w:rsidRPr="00FB1CBD">
        <w:rPr>
          <w:rFonts w:cs="Arial"/>
        </w:rPr>
        <w:t xml:space="preserve">included requests for information relative to possible ineligibility or disqualification, notices of claim renewals, and other items </w:t>
      </w:r>
      <w:r w:rsidR="00310C97">
        <w:rPr>
          <w:rFonts w:cs="Arial"/>
        </w:rPr>
        <w:t xml:space="preserve">that </w:t>
      </w:r>
      <w:r w:rsidRPr="00FB1CBD">
        <w:rPr>
          <w:rFonts w:cs="Arial"/>
        </w:rPr>
        <w:t xml:space="preserve">held the potential for DCH to reduce its </w:t>
      </w:r>
      <w:r w:rsidR="00A707F8">
        <w:rPr>
          <w:rFonts w:cs="Arial"/>
        </w:rPr>
        <w:t>HHP</w:t>
      </w:r>
      <w:r w:rsidRPr="00FB1CBD">
        <w:rPr>
          <w:rFonts w:cs="Arial"/>
        </w:rPr>
        <w:t>-related UI liability.  DCH resumed the responsibility for reviewing UIA forms and related correspon</w:t>
      </w:r>
      <w:r w:rsidR="00591604">
        <w:rPr>
          <w:rFonts w:cs="Arial"/>
        </w:rPr>
        <w:t>dence in May </w:t>
      </w:r>
      <w:r w:rsidRPr="00FB1CBD">
        <w:rPr>
          <w:rFonts w:cs="Arial"/>
        </w:rPr>
        <w:t xml:space="preserve">2013.  </w:t>
      </w:r>
    </w:p>
    <w:p w:rsidR="00027935" w:rsidRDefault="00027935">
      <w:pPr>
        <w:overflowPunct/>
        <w:autoSpaceDE/>
        <w:autoSpaceDN/>
        <w:adjustRightInd/>
        <w:textAlignment w:val="auto"/>
        <w:rPr>
          <w:rFonts w:cs="Arial"/>
        </w:rPr>
      </w:pPr>
      <w:r>
        <w:rPr>
          <w:rFonts w:cs="Arial"/>
        </w:rPr>
        <w:br w:type="page"/>
      </w:r>
    </w:p>
    <w:p w:rsidR="00893F75" w:rsidRPr="00FB1CBD" w:rsidRDefault="0065331C" w:rsidP="00F84A56">
      <w:pPr>
        <w:spacing w:line="300" w:lineRule="auto"/>
        <w:jc w:val="both"/>
        <w:rPr>
          <w:rFonts w:cs="Arial"/>
          <w:b/>
          <w:smallCaps/>
          <w:sz w:val="28"/>
          <w:u w:val="single"/>
        </w:rPr>
      </w:pPr>
      <w:r w:rsidRPr="00FB1CBD">
        <w:rPr>
          <w:rFonts w:cs="Arial"/>
          <w:b/>
          <w:smallCaps/>
          <w:sz w:val="28"/>
          <w:u w:val="single"/>
        </w:rPr>
        <w:lastRenderedPageBreak/>
        <w:t>Recommendation</w:t>
      </w:r>
    </w:p>
    <w:p w:rsidR="00893F75" w:rsidRPr="00FB1CBD" w:rsidRDefault="00893F75" w:rsidP="00F84A56">
      <w:pPr>
        <w:spacing w:line="300" w:lineRule="auto"/>
        <w:ind w:left="504"/>
        <w:jc w:val="both"/>
        <w:rPr>
          <w:rFonts w:cs="Arial"/>
        </w:rPr>
      </w:pPr>
      <w:r w:rsidRPr="00FB1CBD">
        <w:rPr>
          <w:rFonts w:cs="Arial"/>
        </w:rPr>
        <w:t xml:space="preserve">We recommend that DCH verify the accuracy of information included on the monetary eligibility determinations and other documents sent to it by UIA related to provider claims.  </w:t>
      </w:r>
    </w:p>
    <w:p w:rsidR="0065331C" w:rsidRPr="00FB1CBD" w:rsidRDefault="0065331C" w:rsidP="00F84A56">
      <w:pPr>
        <w:spacing w:line="300" w:lineRule="auto"/>
        <w:jc w:val="both"/>
        <w:rPr>
          <w:rFonts w:cs="Arial"/>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027935" w:rsidRPr="00D6707C" w:rsidRDefault="00027935" w:rsidP="00027935">
      <w:pPr>
        <w:spacing w:line="300" w:lineRule="auto"/>
        <w:ind w:left="504"/>
        <w:jc w:val="both"/>
        <w:rPr>
          <w:rFonts w:cs="Arial"/>
        </w:rPr>
      </w:pPr>
      <w:r w:rsidRPr="00D6707C">
        <w:rPr>
          <w:rFonts w:cs="Arial"/>
        </w:rPr>
        <w:t xml:space="preserve">DCH agrees that appropriate measures were not taken to verify the accuracy of information included on the monetary eligibility determinations and other documents sent to it by the UIA.  </w:t>
      </w:r>
    </w:p>
    <w:p w:rsidR="00027935" w:rsidRPr="00D6707C" w:rsidRDefault="00027935" w:rsidP="00027935">
      <w:pPr>
        <w:spacing w:line="300" w:lineRule="auto"/>
        <w:ind w:left="504"/>
        <w:jc w:val="both"/>
        <w:rPr>
          <w:rFonts w:cs="Arial"/>
        </w:rPr>
      </w:pPr>
    </w:p>
    <w:p w:rsidR="00027935" w:rsidRPr="00D6707C" w:rsidRDefault="00027935" w:rsidP="00027935">
      <w:pPr>
        <w:spacing w:line="300" w:lineRule="auto"/>
        <w:ind w:left="504"/>
        <w:jc w:val="both"/>
        <w:rPr>
          <w:rFonts w:cs="Arial"/>
        </w:rPr>
      </w:pPr>
      <w:r w:rsidRPr="00D6707C">
        <w:rPr>
          <w:rFonts w:cs="Arial"/>
        </w:rPr>
        <w:t xml:space="preserve">DCH </w:t>
      </w:r>
      <w:r>
        <w:rPr>
          <w:rFonts w:cs="Arial"/>
        </w:rPr>
        <w:t xml:space="preserve">informed us that it </w:t>
      </w:r>
      <w:r w:rsidRPr="00D6707C">
        <w:rPr>
          <w:rFonts w:cs="Arial"/>
        </w:rPr>
        <w:t xml:space="preserve">reassigned many of the payroll-related functions of the Home Help program to the DCH Finance Bureau, including the responsibility for reviewing and responding to the monetary eligibility determinations.  That bureau has begun collecting, organizing, reviewing, investigating, and responding to the monetary eligibility determinations provided by the UIA.  DCH </w:t>
      </w:r>
      <w:r>
        <w:rPr>
          <w:rFonts w:cs="Arial"/>
        </w:rPr>
        <w:t xml:space="preserve">indicated that it </w:t>
      </w:r>
      <w:r w:rsidRPr="00D6707C">
        <w:rPr>
          <w:rFonts w:cs="Arial"/>
        </w:rPr>
        <w:t xml:space="preserve">is also working with the UIA to streamline the process to efficiently use existing resources.  Since the reassignment, over 900 claims for roughly $600,000 in potential claim payments have been disputed and may be potentially avoided.  </w:t>
      </w:r>
    </w:p>
    <w:p w:rsidR="00027935" w:rsidRPr="00D6707C" w:rsidRDefault="00027935" w:rsidP="00027935">
      <w:pPr>
        <w:spacing w:line="300" w:lineRule="auto"/>
        <w:ind w:left="504"/>
        <w:jc w:val="both"/>
        <w:rPr>
          <w:rFonts w:cs="Arial"/>
        </w:rPr>
      </w:pPr>
    </w:p>
    <w:p w:rsidR="00027935" w:rsidRPr="00D6707C" w:rsidRDefault="00027935" w:rsidP="00027935">
      <w:pPr>
        <w:spacing w:line="300" w:lineRule="auto"/>
        <w:ind w:left="504"/>
        <w:jc w:val="both"/>
        <w:rPr>
          <w:rFonts w:cs="Arial"/>
        </w:rPr>
      </w:pPr>
      <w:r>
        <w:rPr>
          <w:rFonts w:cs="Arial"/>
        </w:rPr>
        <w:t xml:space="preserve">Also, </w:t>
      </w:r>
      <w:r w:rsidRPr="00D6707C">
        <w:rPr>
          <w:rFonts w:cs="Arial"/>
        </w:rPr>
        <w:t xml:space="preserve">DCH </w:t>
      </w:r>
      <w:r>
        <w:rPr>
          <w:rFonts w:cs="Arial"/>
        </w:rPr>
        <w:t xml:space="preserve">informed us that it </w:t>
      </w:r>
      <w:r w:rsidRPr="00D6707C">
        <w:rPr>
          <w:rFonts w:cs="Arial"/>
        </w:rPr>
        <w:t>is reviewing existing policy to determine where enhancements can be implemented to further strengthen the UIA review process.  In addition, during the design phase of the new case management system</w:t>
      </w:r>
      <w:r>
        <w:rPr>
          <w:rFonts w:cs="Arial"/>
        </w:rPr>
        <w:t>,</w:t>
      </w:r>
      <w:r w:rsidRPr="00D6707C">
        <w:rPr>
          <w:rFonts w:cs="Arial"/>
        </w:rPr>
        <w:t xml:space="preserve"> DCH and DHS </w:t>
      </w:r>
      <w:r>
        <w:rPr>
          <w:rFonts w:cs="Arial"/>
        </w:rPr>
        <w:t xml:space="preserve">indicated that they </w:t>
      </w:r>
      <w:r w:rsidRPr="00D6707C">
        <w:rPr>
          <w:rFonts w:cs="Arial"/>
        </w:rPr>
        <w:t>will capture additional provider data elements to further enhance the review of the monetary determinations provided by UIA.  Until a new system can be implemented, DCH will work with DHS to ensure the ASWs capture additional provider departure information in the client</w:t>
      </w:r>
      <w:r w:rsidR="00F305E9">
        <w:rPr>
          <w:rFonts w:cs="Arial"/>
        </w:rPr>
        <w:t>'</w:t>
      </w:r>
      <w:r w:rsidRPr="00D6707C">
        <w:rPr>
          <w:rFonts w:cs="Arial"/>
        </w:rPr>
        <w:t xml:space="preserve">s case notes.  </w:t>
      </w:r>
    </w:p>
    <w:p w:rsidR="0097689D" w:rsidRDefault="0097689D" w:rsidP="00F84A56">
      <w:pPr>
        <w:tabs>
          <w:tab w:val="left" w:pos="0"/>
        </w:tabs>
        <w:spacing w:line="300" w:lineRule="auto"/>
        <w:ind w:left="504"/>
        <w:jc w:val="both"/>
        <w:rPr>
          <w:rFonts w:cs="Arial"/>
        </w:rPr>
      </w:pPr>
    </w:p>
    <w:p w:rsidR="0097689D" w:rsidRDefault="0097689D" w:rsidP="00F84A56">
      <w:pPr>
        <w:tabs>
          <w:tab w:val="left" w:pos="0"/>
        </w:tabs>
        <w:spacing w:line="300" w:lineRule="auto"/>
        <w:ind w:left="504"/>
        <w:jc w:val="both"/>
        <w:rPr>
          <w:rFonts w:cs="Arial"/>
        </w:rPr>
      </w:pPr>
    </w:p>
    <w:p w:rsidR="00893F75" w:rsidRPr="00FB1CBD" w:rsidRDefault="0065331C" w:rsidP="00F84A56">
      <w:pPr>
        <w:tabs>
          <w:tab w:val="left" w:pos="360"/>
        </w:tabs>
        <w:spacing w:line="300" w:lineRule="auto"/>
        <w:jc w:val="both"/>
        <w:rPr>
          <w:rFonts w:cs="Arial"/>
          <w:b/>
          <w:smallCaps/>
          <w:noProof/>
          <w:sz w:val="28"/>
          <w:u w:val="single"/>
        </w:rPr>
      </w:pPr>
      <w:r w:rsidRPr="00FB1CBD">
        <w:rPr>
          <w:rFonts w:cs="Arial"/>
          <w:b/>
          <w:smallCaps/>
          <w:noProof/>
          <w:sz w:val="28"/>
          <w:u w:val="single"/>
        </w:rPr>
        <w:t>Finding</w:t>
      </w:r>
    </w:p>
    <w:p w:rsidR="00893F75" w:rsidRPr="00FB1CBD" w:rsidRDefault="00893F75" w:rsidP="00F84A56">
      <w:pPr>
        <w:pStyle w:val="A4-FindingTitle"/>
      </w:pPr>
      <w:r w:rsidRPr="00FB1CBD">
        <w:t xml:space="preserve">Agency </w:t>
      </w:r>
      <w:r w:rsidR="00310C97">
        <w:t xml:space="preserve">Pay </w:t>
      </w:r>
      <w:r w:rsidRPr="00FB1CBD">
        <w:t xml:space="preserve">Rates </w:t>
      </w:r>
      <w:r w:rsidR="003675B3">
        <w:t xml:space="preserve">for </w:t>
      </w:r>
      <w:r w:rsidRPr="00FB1CBD">
        <w:t>Nonqualified Providers</w:t>
      </w:r>
    </w:p>
    <w:p w:rsidR="002C0655" w:rsidRDefault="00893F75" w:rsidP="00F84A56">
      <w:pPr>
        <w:tabs>
          <w:tab w:val="left" w:pos="720"/>
        </w:tabs>
        <w:spacing w:line="300" w:lineRule="auto"/>
        <w:ind w:left="504"/>
        <w:jc w:val="both"/>
        <w:rPr>
          <w:rFonts w:cs="Arial"/>
        </w:rPr>
      </w:pPr>
      <w:r w:rsidRPr="00FB1CBD">
        <w:rPr>
          <w:rFonts w:cs="Arial"/>
        </w:rPr>
        <w:t xml:space="preserve">DCH did not </w:t>
      </w:r>
      <w:r w:rsidR="00383D02" w:rsidRPr="00FB1CBD">
        <w:rPr>
          <w:rFonts w:cs="Arial"/>
        </w:rPr>
        <w:t xml:space="preserve">ensure </w:t>
      </w:r>
      <w:r w:rsidR="00F0309A" w:rsidRPr="00FB1CBD">
        <w:rPr>
          <w:rFonts w:cs="Arial"/>
        </w:rPr>
        <w:t xml:space="preserve">that </w:t>
      </w:r>
      <w:r w:rsidRPr="00FB1CBD">
        <w:rPr>
          <w:rFonts w:cs="Arial"/>
        </w:rPr>
        <w:t>agenc</w:t>
      </w:r>
      <w:r w:rsidR="00383D02" w:rsidRPr="00FB1CBD">
        <w:rPr>
          <w:rFonts w:cs="Arial"/>
        </w:rPr>
        <w:t>y providers</w:t>
      </w:r>
      <w:r w:rsidRPr="00FB1CBD">
        <w:rPr>
          <w:rFonts w:cs="Arial"/>
        </w:rPr>
        <w:t xml:space="preserve"> met the requirements to receive the higher agency </w:t>
      </w:r>
      <w:r w:rsidR="00310C97">
        <w:rPr>
          <w:rFonts w:cs="Arial"/>
        </w:rPr>
        <w:t xml:space="preserve">pay </w:t>
      </w:r>
      <w:r w:rsidRPr="00FB1CBD">
        <w:rPr>
          <w:rFonts w:cs="Arial"/>
        </w:rPr>
        <w:t xml:space="preserve">rate.  As a result, DCH overpaid </w:t>
      </w:r>
      <w:r w:rsidR="00310C97">
        <w:rPr>
          <w:rFonts w:cs="Arial"/>
        </w:rPr>
        <w:t xml:space="preserve">80 </w:t>
      </w:r>
      <w:r w:rsidRPr="00FB1CBD">
        <w:rPr>
          <w:rFonts w:cs="Arial"/>
        </w:rPr>
        <w:t xml:space="preserve">agencies </w:t>
      </w:r>
      <w:r w:rsidR="00310C97">
        <w:rPr>
          <w:rFonts w:cs="Arial"/>
        </w:rPr>
        <w:t>$6.8</w:t>
      </w:r>
      <w:r w:rsidRPr="00FB1CBD">
        <w:rPr>
          <w:rFonts w:cs="Arial"/>
        </w:rPr>
        <w:t xml:space="preserve"> million ($2.</w:t>
      </w:r>
      <w:r w:rsidR="00310C97">
        <w:rPr>
          <w:rFonts w:cs="Arial"/>
        </w:rPr>
        <w:t>3 </w:t>
      </w:r>
      <w:r w:rsidRPr="00FB1CBD">
        <w:rPr>
          <w:rFonts w:cs="Arial"/>
        </w:rPr>
        <w:t xml:space="preserve">million General Fund/general purpose). </w:t>
      </w:r>
      <w:r w:rsidR="00F0309A" w:rsidRPr="00FB1CBD">
        <w:rPr>
          <w:rFonts w:cs="Arial"/>
        </w:rPr>
        <w:t xml:space="preserve"> </w:t>
      </w:r>
      <w:r w:rsidR="00310C97">
        <w:rPr>
          <w:rFonts w:cs="Arial"/>
        </w:rPr>
        <w:t>During our audit period, i</w:t>
      </w:r>
      <w:r w:rsidR="00383D02" w:rsidRPr="00FB1CBD">
        <w:rPr>
          <w:rFonts w:cs="Arial"/>
        </w:rPr>
        <w:t xml:space="preserve">ndividual </w:t>
      </w:r>
      <w:r w:rsidR="002C0655">
        <w:rPr>
          <w:rFonts w:cs="Arial"/>
        </w:rPr>
        <w:br/>
      </w:r>
    </w:p>
    <w:p w:rsidR="002C0655" w:rsidRDefault="002C0655">
      <w:pPr>
        <w:overflowPunct/>
        <w:autoSpaceDE/>
        <w:autoSpaceDN/>
        <w:adjustRightInd/>
        <w:textAlignment w:val="auto"/>
        <w:rPr>
          <w:rFonts w:cs="Arial"/>
        </w:rPr>
      </w:pPr>
      <w:r>
        <w:rPr>
          <w:rFonts w:cs="Arial"/>
        </w:rPr>
        <w:br w:type="page"/>
      </w:r>
    </w:p>
    <w:p w:rsidR="00893F75" w:rsidRPr="00FB1CBD" w:rsidRDefault="00383D02" w:rsidP="00F84A56">
      <w:pPr>
        <w:tabs>
          <w:tab w:val="left" w:pos="720"/>
        </w:tabs>
        <w:spacing w:line="300" w:lineRule="auto"/>
        <w:ind w:left="504"/>
        <w:jc w:val="both"/>
        <w:rPr>
          <w:rFonts w:cs="Arial"/>
        </w:rPr>
      </w:pPr>
      <w:r w:rsidRPr="00FB1CBD">
        <w:rPr>
          <w:rFonts w:cs="Arial"/>
        </w:rPr>
        <w:lastRenderedPageBreak/>
        <w:t xml:space="preserve">provider </w:t>
      </w:r>
      <w:r w:rsidR="00310C97">
        <w:rPr>
          <w:rFonts w:cs="Arial"/>
        </w:rPr>
        <w:t xml:space="preserve">pay </w:t>
      </w:r>
      <w:r w:rsidRPr="00FB1CBD">
        <w:rPr>
          <w:rFonts w:cs="Arial"/>
        </w:rPr>
        <w:t>rates ranged from $8</w:t>
      </w:r>
      <w:r w:rsidR="00310C97">
        <w:rPr>
          <w:rFonts w:cs="Arial"/>
        </w:rPr>
        <w:t>.00</w:t>
      </w:r>
      <w:r w:rsidRPr="00FB1CBD">
        <w:rPr>
          <w:rFonts w:cs="Arial"/>
        </w:rPr>
        <w:t xml:space="preserve"> to $11</w:t>
      </w:r>
      <w:r w:rsidR="00310C97">
        <w:rPr>
          <w:rFonts w:cs="Arial"/>
        </w:rPr>
        <w:t>.00</w:t>
      </w:r>
      <w:r w:rsidRPr="00FB1CBD">
        <w:rPr>
          <w:rFonts w:cs="Arial"/>
        </w:rPr>
        <w:t xml:space="preserve"> per hour</w:t>
      </w:r>
      <w:r w:rsidR="00310C97">
        <w:rPr>
          <w:rFonts w:cs="Arial"/>
        </w:rPr>
        <w:t>,</w:t>
      </w:r>
      <w:r w:rsidRPr="00FB1CBD">
        <w:rPr>
          <w:rFonts w:cs="Arial"/>
        </w:rPr>
        <w:t xml:space="preserve"> </w:t>
      </w:r>
      <w:r w:rsidR="00310C97">
        <w:rPr>
          <w:rFonts w:cs="Arial"/>
        </w:rPr>
        <w:t xml:space="preserve">whereas </w:t>
      </w:r>
      <w:r w:rsidRPr="00FB1CBD">
        <w:rPr>
          <w:rFonts w:cs="Arial"/>
        </w:rPr>
        <w:t xml:space="preserve">agency provider </w:t>
      </w:r>
      <w:r w:rsidR="0047344F">
        <w:rPr>
          <w:rFonts w:cs="Arial"/>
        </w:rPr>
        <w:t xml:space="preserve">pay </w:t>
      </w:r>
      <w:r w:rsidRPr="00FB1CBD">
        <w:rPr>
          <w:rFonts w:cs="Arial"/>
        </w:rPr>
        <w:t xml:space="preserve">rates ranged from $13.50 to $15.50 per hour. </w:t>
      </w:r>
      <w:r w:rsidR="0047344F">
        <w:rPr>
          <w:rFonts w:cs="Arial"/>
        </w:rPr>
        <w:t xml:space="preserve"> </w:t>
      </w:r>
      <w:r w:rsidRPr="00FB1CBD">
        <w:rPr>
          <w:rFonts w:cs="Arial"/>
        </w:rPr>
        <w:t>Our review disclosed:</w:t>
      </w:r>
    </w:p>
    <w:p w:rsidR="0065331C" w:rsidRPr="00FB1CBD" w:rsidRDefault="0065331C" w:rsidP="00F84A56">
      <w:pPr>
        <w:spacing w:line="300" w:lineRule="auto"/>
        <w:ind w:left="504"/>
        <w:jc w:val="both"/>
        <w:rPr>
          <w:rFonts w:cs="Arial"/>
        </w:rPr>
      </w:pPr>
    </w:p>
    <w:p w:rsidR="0065331C" w:rsidRPr="00FB1CBD" w:rsidRDefault="00893F75" w:rsidP="00027935">
      <w:pPr>
        <w:numPr>
          <w:ilvl w:val="0"/>
          <w:numId w:val="14"/>
        </w:numPr>
        <w:overflowPunct/>
        <w:spacing w:line="300" w:lineRule="auto"/>
        <w:ind w:left="1008" w:hanging="504"/>
        <w:contextualSpacing/>
        <w:jc w:val="both"/>
        <w:textAlignment w:val="auto"/>
        <w:rPr>
          <w:rFonts w:cs="Arial"/>
        </w:rPr>
      </w:pPr>
      <w:r w:rsidRPr="00FB1CBD">
        <w:rPr>
          <w:rFonts w:cs="Arial"/>
        </w:rPr>
        <w:t xml:space="preserve">DCH did not have the required supporting documentation for </w:t>
      </w:r>
      <w:r w:rsidR="00383D02" w:rsidRPr="00FB1CBD">
        <w:rPr>
          <w:rFonts w:cs="Arial"/>
        </w:rPr>
        <w:t>33</w:t>
      </w:r>
      <w:r w:rsidRPr="00FB1CBD">
        <w:rPr>
          <w:rFonts w:cs="Arial"/>
        </w:rPr>
        <w:t xml:space="preserve"> agencies that were on DCH</w:t>
      </w:r>
      <w:r w:rsidR="00F305E9">
        <w:rPr>
          <w:rFonts w:cs="Arial"/>
        </w:rPr>
        <w:t>'</w:t>
      </w:r>
      <w:r w:rsidRPr="00FB1CBD">
        <w:rPr>
          <w:rFonts w:cs="Arial"/>
        </w:rPr>
        <w:t xml:space="preserve">s list of approved agencies. </w:t>
      </w:r>
      <w:r w:rsidR="00F0309A" w:rsidRPr="00FB1CBD">
        <w:rPr>
          <w:rFonts w:cs="Arial"/>
        </w:rPr>
        <w:t xml:space="preserve"> </w:t>
      </w:r>
      <w:r w:rsidRPr="00FB1CBD">
        <w:rPr>
          <w:rFonts w:cs="Arial"/>
        </w:rPr>
        <w:t xml:space="preserve">From October 1, 2010 through February 28, 2013, DCH paid </w:t>
      </w:r>
      <w:r w:rsidR="00383D02" w:rsidRPr="00FB1CBD">
        <w:rPr>
          <w:rFonts w:cs="Arial"/>
        </w:rPr>
        <w:t>22</w:t>
      </w:r>
      <w:r w:rsidRPr="00FB1CBD">
        <w:rPr>
          <w:rFonts w:cs="Arial"/>
        </w:rPr>
        <w:t xml:space="preserve"> of these agencies a total of $2.3 million at the agency </w:t>
      </w:r>
      <w:r w:rsidR="0047344F">
        <w:rPr>
          <w:rFonts w:cs="Arial"/>
        </w:rPr>
        <w:t xml:space="preserve">pay </w:t>
      </w:r>
      <w:r w:rsidRPr="00FB1CBD">
        <w:rPr>
          <w:rFonts w:cs="Arial"/>
        </w:rPr>
        <w:t xml:space="preserve">rates, an amount that exceeded the respective individual </w:t>
      </w:r>
      <w:r w:rsidR="0047344F">
        <w:rPr>
          <w:rFonts w:cs="Arial"/>
        </w:rPr>
        <w:t xml:space="preserve">pay </w:t>
      </w:r>
      <w:r w:rsidRPr="00FB1CBD">
        <w:rPr>
          <w:rFonts w:cs="Arial"/>
        </w:rPr>
        <w:t>rates by $</w:t>
      </w:r>
      <w:r w:rsidR="00383D02" w:rsidRPr="00FB1CBD">
        <w:rPr>
          <w:rFonts w:cs="Arial"/>
        </w:rPr>
        <w:t>904,529</w:t>
      </w:r>
      <w:r w:rsidRPr="00FB1CBD">
        <w:rPr>
          <w:rFonts w:cs="Arial"/>
        </w:rPr>
        <w:t>.</w:t>
      </w:r>
      <w:r w:rsidR="00F0309A" w:rsidRPr="00FB1CBD">
        <w:rPr>
          <w:rFonts w:cs="Arial"/>
        </w:rPr>
        <w:t xml:space="preserve"> </w:t>
      </w:r>
      <w:r w:rsidRPr="00FB1CBD">
        <w:rPr>
          <w:rFonts w:cs="Arial"/>
        </w:rPr>
        <w:t xml:space="preserve"> The other 11 agencies did not provide services during the cited time period.</w:t>
      </w:r>
    </w:p>
    <w:p w:rsidR="0065331C" w:rsidRPr="00FB1CBD" w:rsidRDefault="0065331C" w:rsidP="00F84A56">
      <w:pPr>
        <w:overflowPunct/>
        <w:spacing w:line="300" w:lineRule="auto"/>
        <w:ind w:left="1008"/>
        <w:contextualSpacing/>
        <w:jc w:val="both"/>
        <w:textAlignment w:val="auto"/>
        <w:rPr>
          <w:rFonts w:cs="Arial"/>
        </w:rPr>
      </w:pPr>
    </w:p>
    <w:p w:rsidR="00893F75" w:rsidRPr="00FB1CBD" w:rsidRDefault="00893F75" w:rsidP="00F84A56">
      <w:pPr>
        <w:overflowPunct/>
        <w:spacing w:line="300" w:lineRule="auto"/>
        <w:ind w:left="1008"/>
        <w:contextualSpacing/>
        <w:jc w:val="both"/>
        <w:textAlignment w:val="auto"/>
        <w:rPr>
          <w:rFonts w:cs="Arial"/>
        </w:rPr>
      </w:pPr>
      <w:r w:rsidRPr="00FB1CBD">
        <w:rPr>
          <w:rFonts w:cs="Arial"/>
        </w:rPr>
        <w:t xml:space="preserve">ASM 136 requires an agency </w:t>
      </w:r>
      <w:r w:rsidR="00EA0466">
        <w:rPr>
          <w:rFonts w:cs="Arial"/>
        </w:rPr>
        <w:t>provider to either be a current Medicaid-</w:t>
      </w:r>
      <w:r w:rsidRPr="00FB1CBD">
        <w:rPr>
          <w:rFonts w:cs="Arial"/>
        </w:rPr>
        <w:t xml:space="preserve">enrolled home health agency or provide DCH with the </w:t>
      </w:r>
      <w:r w:rsidR="00383D02" w:rsidRPr="00FB1CBD">
        <w:rPr>
          <w:rFonts w:cs="Arial"/>
        </w:rPr>
        <w:t>agency</w:t>
      </w:r>
      <w:r w:rsidR="00F305E9">
        <w:rPr>
          <w:rFonts w:cs="Arial"/>
        </w:rPr>
        <w:t>'</w:t>
      </w:r>
      <w:r w:rsidR="00383D02" w:rsidRPr="00FB1CBD">
        <w:rPr>
          <w:rFonts w:cs="Arial"/>
        </w:rPr>
        <w:t>s</w:t>
      </w:r>
      <w:r w:rsidRPr="00FB1CBD">
        <w:rPr>
          <w:rFonts w:cs="Arial"/>
        </w:rPr>
        <w:t xml:space="preserve"> federal employment identification number and evidence that the a</w:t>
      </w:r>
      <w:r w:rsidR="00383D02" w:rsidRPr="00FB1CBD">
        <w:rPr>
          <w:rFonts w:cs="Arial"/>
        </w:rPr>
        <w:t>gency</w:t>
      </w:r>
      <w:r w:rsidRPr="00FB1CBD">
        <w:rPr>
          <w:rFonts w:cs="Arial"/>
        </w:rPr>
        <w:t xml:space="preserve"> either employed or subcontracted with two individuals, excluding the owner, to receive the agency </w:t>
      </w:r>
      <w:r w:rsidR="00EA0466">
        <w:rPr>
          <w:rFonts w:cs="Arial"/>
        </w:rPr>
        <w:t xml:space="preserve">pay </w:t>
      </w:r>
      <w:r w:rsidRPr="00FB1CBD">
        <w:rPr>
          <w:rFonts w:cs="Arial"/>
        </w:rPr>
        <w:t xml:space="preserve">rate. </w:t>
      </w:r>
      <w:r w:rsidR="00F0309A" w:rsidRPr="00FB1CBD">
        <w:rPr>
          <w:rFonts w:cs="Arial"/>
        </w:rPr>
        <w:t xml:space="preserve"> </w:t>
      </w:r>
      <w:r w:rsidRPr="00FB1CBD">
        <w:rPr>
          <w:rFonts w:cs="Arial"/>
        </w:rPr>
        <w:t xml:space="preserve">ASM 136 also requires each employer agency to provide specific documentation showing that it paid FICA taxes and State UI taxes for its service providers.  In addition, ASM 136 requires each contractor agency to provide DCH with the 1099 forms it issued for its subcontractors or the response letter it received from the </w:t>
      </w:r>
      <w:r w:rsidR="008D168E">
        <w:rPr>
          <w:rFonts w:cs="Arial"/>
        </w:rPr>
        <w:t>Internal Revenue Service (</w:t>
      </w:r>
      <w:r w:rsidRPr="00FB1CBD">
        <w:rPr>
          <w:rFonts w:cs="Arial"/>
        </w:rPr>
        <w:t>IRS</w:t>
      </w:r>
      <w:r w:rsidR="008D168E">
        <w:rPr>
          <w:rFonts w:cs="Arial"/>
        </w:rPr>
        <w:t>)</w:t>
      </w:r>
      <w:r w:rsidRPr="00FB1CBD">
        <w:rPr>
          <w:rFonts w:cs="Arial"/>
        </w:rPr>
        <w:t xml:space="preserve"> regarding the contractor agency inquiry into the status of its service providers as employees or subcontractors.  </w:t>
      </w:r>
    </w:p>
    <w:p w:rsidR="00893F75" w:rsidRPr="00FB1CBD" w:rsidRDefault="00893F75" w:rsidP="00F84A56">
      <w:pPr>
        <w:tabs>
          <w:tab w:val="left" w:pos="360"/>
        </w:tabs>
        <w:spacing w:line="300" w:lineRule="auto"/>
        <w:ind w:left="1368" w:hanging="360"/>
        <w:contextualSpacing/>
        <w:jc w:val="both"/>
        <w:rPr>
          <w:rFonts w:cs="Arial"/>
        </w:rPr>
      </w:pPr>
    </w:p>
    <w:p w:rsidR="002C0655" w:rsidRPr="002C0655" w:rsidRDefault="00893F75" w:rsidP="002C0655">
      <w:pPr>
        <w:numPr>
          <w:ilvl w:val="0"/>
          <w:numId w:val="14"/>
        </w:numPr>
        <w:overflowPunct/>
        <w:autoSpaceDE/>
        <w:autoSpaceDN/>
        <w:adjustRightInd/>
        <w:spacing w:line="300" w:lineRule="auto"/>
        <w:ind w:left="1008" w:hanging="504"/>
        <w:contextualSpacing/>
        <w:jc w:val="both"/>
        <w:textAlignment w:val="auto"/>
        <w:rPr>
          <w:rFonts w:cs="Arial"/>
        </w:rPr>
      </w:pPr>
      <w:r w:rsidRPr="002C0655">
        <w:rPr>
          <w:rFonts w:cs="Arial"/>
        </w:rPr>
        <w:t>DCH did not req</w:t>
      </w:r>
      <w:r w:rsidR="00EA0466" w:rsidRPr="002C0655">
        <w:rPr>
          <w:rFonts w:cs="Arial"/>
        </w:rPr>
        <w:t xml:space="preserve">uest, timely request, or follow </w:t>
      </w:r>
      <w:r w:rsidRPr="002C0655">
        <w:rPr>
          <w:rFonts w:cs="Arial"/>
        </w:rPr>
        <w:t xml:space="preserve">up on unanswered requests for required information from agencies that DCH provisionally approved to receive the agency </w:t>
      </w:r>
      <w:r w:rsidR="00EA0466" w:rsidRPr="002C0655">
        <w:rPr>
          <w:rFonts w:cs="Arial"/>
        </w:rPr>
        <w:t xml:space="preserve">pay </w:t>
      </w:r>
      <w:r w:rsidRPr="002C0655">
        <w:rPr>
          <w:rFonts w:cs="Arial"/>
        </w:rPr>
        <w:t xml:space="preserve">rate. </w:t>
      </w:r>
      <w:r w:rsidR="00F0309A" w:rsidRPr="002C0655">
        <w:rPr>
          <w:rFonts w:cs="Arial"/>
        </w:rPr>
        <w:t xml:space="preserve"> </w:t>
      </w:r>
      <w:r w:rsidRPr="002C0655">
        <w:rPr>
          <w:rFonts w:cs="Arial"/>
        </w:rPr>
        <w:t xml:space="preserve">Also, DCH did not remove the </w:t>
      </w:r>
      <w:proofErr w:type="spellStart"/>
      <w:r w:rsidRPr="002C0655">
        <w:rPr>
          <w:rFonts w:cs="Arial"/>
        </w:rPr>
        <w:t>nonresponding</w:t>
      </w:r>
      <w:proofErr w:type="spellEnd"/>
      <w:r w:rsidRPr="002C0655">
        <w:rPr>
          <w:rFonts w:cs="Arial"/>
        </w:rPr>
        <w:t xml:space="preserve"> agencies from </w:t>
      </w:r>
      <w:r w:rsidR="00F83E69" w:rsidRPr="002C0655">
        <w:rPr>
          <w:rFonts w:cs="Arial"/>
        </w:rPr>
        <w:t xml:space="preserve">its list of </w:t>
      </w:r>
      <w:r w:rsidRPr="002C0655">
        <w:rPr>
          <w:rFonts w:cs="Arial"/>
        </w:rPr>
        <w:t xml:space="preserve">approved </w:t>
      </w:r>
      <w:r w:rsidR="00F83E69" w:rsidRPr="002C0655">
        <w:rPr>
          <w:rFonts w:cs="Arial"/>
        </w:rPr>
        <w:t xml:space="preserve">agencies </w:t>
      </w:r>
      <w:r w:rsidRPr="002C0655">
        <w:rPr>
          <w:rFonts w:cs="Arial"/>
        </w:rPr>
        <w:t>an</w:t>
      </w:r>
      <w:r w:rsidR="00766AA7" w:rsidRPr="002C0655">
        <w:rPr>
          <w:rFonts w:cs="Arial"/>
        </w:rPr>
        <w:t xml:space="preserve">d simultaneously reduce the </w:t>
      </w:r>
      <w:proofErr w:type="spellStart"/>
      <w:r w:rsidR="00766AA7" w:rsidRPr="002C0655">
        <w:rPr>
          <w:rFonts w:cs="Arial"/>
        </w:rPr>
        <w:t>non</w:t>
      </w:r>
      <w:r w:rsidRPr="002C0655">
        <w:rPr>
          <w:rFonts w:cs="Arial"/>
        </w:rPr>
        <w:t>responding</w:t>
      </w:r>
      <w:proofErr w:type="spellEnd"/>
      <w:r w:rsidRPr="002C0655">
        <w:rPr>
          <w:rFonts w:cs="Arial"/>
        </w:rPr>
        <w:t xml:space="preserve"> agencies</w:t>
      </w:r>
      <w:r w:rsidR="00F305E9">
        <w:rPr>
          <w:rFonts w:cs="Arial"/>
        </w:rPr>
        <w:t>'</w:t>
      </w:r>
      <w:r w:rsidRPr="002C0655">
        <w:rPr>
          <w:rFonts w:cs="Arial"/>
        </w:rPr>
        <w:t xml:space="preserve"> pay rate to the individual provider </w:t>
      </w:r>
      <w:r w:rsidR="00766AA7" w:rsidRPr="002C0655">
        <w:rPr>
          <w:rFonts w:cs="Arial"/>
        </w:rPr>
        <w:t xml:space="preserve">pay </w:t>
      </w:r>
      <w:r w:rsidRPr="002C0655">
        <w:rPr>
          <w:rFonts w:cs="Arial"/>
        </w:rPr>
        <w:t xml:space="preserve">rate or send a second request to the agencies for the outstanding information.  </w:t>
      </w:r>
      <w:r w:rsidR="00703317" w:rsidRPr="002C0655">
        <w:rPr>
          <w:rFonts w:cs="Arial"/>
        </w:rPr>
        <w:t>As of</w:t>
      </w:r>
      <w:r w:rsidRPr="002C0655">
        <w:rPr>
          <w:rFonts w:cs="Arial"/>
        </w:rPr>
        <w:t xml:space="preserve"> September 2012,</w:t>
      </w:r>
      <w:r w:rsidR="00703317" w:rsidRPr="002C0655">
        <w:rPr>
          <w:rFonts w:cs="Arial"/>
        </w:rPr>
        <w:t xml:space="preserve"> DCH</w:t>
      </w:r>
      <w:r w:rsidR="00F305E9">
        <w:rPr>
          <w:rFonts w:cs="Arial"/>
        </w:rPr>
        <w:t>'</w:t>
      </w:r>
      <w:r w:rsidR="00703317" w:rsidRPr="002C0655">
        <w:rPr>
          <w:rFonts w:cs="Arial"/>
        </w:rPr>
        <w:t>s database</w:t>
      </w:r>
      <w:r w:rsidRPr="002C0655">
        <w:rPr>
          <w:rFonts w:cs="Arial"/>
        </w:rPr>
        <w:t xml:space="preserve"> identified 93 agencies with provisional approvals dating as far back as January</w:t>
      </w:r>
      <w:r w:rsidR="00F0309A" w:rsidRPr="002C0655">
        <w:rPr>
          <w:rFonts w:cs="Arial"/>
        </w:rPr>
        <w:t xml:space="preserve"> </w:t>
      </w:r>
      <w:r w:rsidRPr="002C0655">
        <w:rPr>
          <w:rFonts w:cs="Arial"/>
        </w:rPr>
        <w:t xml:space="preserve">2009.  DCH </w:t>
      </w:r>
      <w:r w:rsidR="00CE715A" w:rsidRPr="002C0655">
        <w:rPr>
          <w:rFonts w:cs="Arial"/>
        </w:rPr>
        <w:t>requested</w:t>
      </w:r>
      <w:r w:rsidRPr="002C0655">
        <w:rPr>
          <w:rFonts w:cs="Arial"/>
        </w:rPr>
        <w:t xml:space="preserve"> that </w:t>
      </w:r>
      <w:r w:rsidR="00282DC6" w:rsidRPr="002C0655">
        <w:rPr>
          <w:rFonts w:cs="Arial"/>
        </w:rPr>
        <w:t xml:space="preserve">13 of </w:t>
      </w:r>
      <w:r w:rsidRPr="002C0655">
        <w:rPr>
          <w:rFonts w:cs="Arial"/>
        </w:rPr>
        <w:t>the 93 agencies submit all outstanding information so that DCH could finalize the agencies</w:t>
      </w:r>
      <w:r w:rsidR="00F305E9">
        <w:rPr>
          <w:rFonts w:cs="Arial"/>
        </w:rPr>
        <w:t>'</w:t>
      </w:r>
      <w:r w:rsidRPr="002C0655">
        <w:rPr>
          <w:rFonts w:cs="Arial"/>
        </w:rPr>
        <w:t xml:space="preserve"> provider status. </w:t>
      </w:r>
      <w:r w:rsidR="00F0309A" w:rsidRPr="002C0655">
        <w:rPr>
          <w:rFonts w:cs="Arial"/>
        </w:rPr>
        <w:t xml:space="preserve"> </w:t>
      </w:r>
      <w:r w:rsidR="00CE715A" w:rsidRPr="002C0655">
        <w:rPr>
          <w:rFonts w:cs="Arial"/>
        </w:rPr>
        <w:t>Of the 13 agencies, only</w:t>
      </w:r>
      <w:r w:rsidR="00282DC6" w:rsidRPr="002C0655">
        <w:rPr>
          <w:rFonts w:cs="Arial"/>
        </w:rPr>
        <w:t xml:space="preserve"> 1 (7.7%) responded to DCH</w:t>
      </w:r>
      <w:r w:rsidR="00F305E9">
        <w:rPr>
          <w:rFonts w:cs="Arial"/>
        </w:rPr>
        <w:t>'</w:t>
      </w:r>
      <w:r w:rsidR="00282DC6" w:rsidRPr="002C0655">
        <w:rPr>
          <w:rFonts w:cs="Arial"/>
        </w:rPr>
        <w:t xml:space="preserve">s request. </w:t>
      </w:r>
      <w:r w:rsidRPr="002C0655">
        <w:rPr>
          <w:rFonts w:cs="Arial"/>
        </w:rPr>
        <w:t xml:space="preserve"> DCH did not request the outstanding information from </w:t>
      </w:r>
      <w:r w:rsidR="00703317" w:rsidRPr="002C0655">
        <w:rPr>
          <w:rFonts w:cs="Arial"/>
        </w:rPr>
        <w:t>80 </w:t>
      </w:r>
      <w:r w:rsidR="00F0309A" w:rsidRPr="002C0655">
        <w:rPr>
          <w:rFonts w:cs="Arial"/>
        </w:rPr>
        <w:t xml:space="preserve">(86.0%) of the 93 agencies. </w:t>
      </w:r>
      <w:r w:rsidRPr="002C0655">
        <w:rPr>
          <w:rFonts w:cs="Arial"/>
        </w:rPr>
        <w:t xml:space="preserve"> From October 1, 2010 through February</w:t>
      </w:r>
      <w:r w:rsidR="00F0309A" w:rsidRPr="002C0655">
        <w:rPr>
          <w:rFonts w:cs="Arial"/>
        </w:rPr>
        <w:t xml:space="preserve"> </w:t>
      </w:r>
      <w:r w:rsidRPr="002C0655">
        <w:rPr>
          <w:rFonts w:cs="Arial"/>
        </w:rPr>
        <w:t xml:space="preserve">28, 2013, DCH paid </w:t>
      </w:r>
      <w:r w:rsidR="00766AA7" w:rsidRPr="002C0655">
        <w:rPr>
          <w:rFonts w:cs="Arial"/>
        </w:rPr>
        <w:t>56</w:t>
      </w:r>
      <w:r w:rsidRPr="002C0655">
        <w:rPr>
          <w:rFonts w:cs="Arial"/>
        </w:rPr>
        <w:t xml:space="preserve"> of the provisional agencies </w:t>
      </w:r>
      <w:r w:rsidR="00766AA7" w:rsidRPr="002C0655">
        <w:rPr>
          <w:rFonts w:cs="Arial"/>
        </w:rPr>
        <w:t>(</w:t>
      </w:r>
      <w:r w:rsidR="0084388F" w:rsidRPr="002C0655">
        <w:rPr>
          <w:rFonts w:cs="Arial"/>
        </w:rPr>
        <w:t xml:space="preserve">not already included in </w:t>
      </w:r>
      <w:r w:rsidR="00766AA7" w:rsidRPr="002C0655">
        <w:rPr>
          <w:rFonts w:cs="Arial"/>
        </w:rPr>
        <w:t xml:space="preserve">part </w:t>
      </w:r>
      <w:r w:rsidR="0084388F" w:rsidRPr="002C0655">
        <w:rPr>
          <w:rFonts w:cs="Arial"/>
        </w:rPr>
        <w:t>a.</w:t>
      </w:r>
      <w:r w:rsidR="00766AA7" w:rsidRPr="002C0655">
        <w:rPr>
          <w:rFonts w:cs="Arial"/>
        </w:rPr>
        <w:t>)</w:t>
      </w:r>
      <w:r w:rsidR="0084388F" w:rsidRPr="002C0655">
        <w:rPr>
          <w:rFonts w:cs="Arial"/>
        </w:rPr>
        <w:t xml:space="preserve"> </w:t>
      </w:r>
      <w:r w:rsidRPr="002C0655">
        <w:rPr>
          <w:rFonts w:cs="Arial"/>
        </w:rPr>
        <w:t>a total of $14.</w:t>
      </w:r>
      <w:r w:rsidR="00282DC6" w:rsidRPr="002C0655">
        <w:rPr>
          <w:rFonts w:cs="Arial"/>
        </w:rPr>
        <w:t>1</w:t>
      </w:r>
      <w:r w:rsidRPr="002C0655">
        <w:rPr>
          <w:rFonts w:cs="Arial"/>
        </w:rPr>
        <w:t xml:space="preserve"> million at the higher agency </w:t>
      </w:r>
      <w:r w:rsidR="00766AA7" w:rsidRPr="002C0655">
        <w:rPr>
          <w:rFonts w:cs="Arial"/>
        </w:rPr>
        <w:t xml:space="preserve">pay </w:t>
      </w:r>
      <w:r w:rsidRPr="002C0655">
        <w:rPr>
          <w:rFonts w:cs="Arial"/>
        </w:rPr>
        <w:t xml:space="preserve">rates, an amount that </w:t>
      </w:r>
      <w:r w:rsidR="002C0655" w:rsidRPr="002C0655">
        <w:rPr>
          <w:rFonts w:cs="Arial"/>
        </w:rPr>
        <w:br/>
      </w:r>
      <w:r w:rsidR="002C0655" w:rsidRPr="002C0655">
        <w:rPr>
          <w:rFonts w:cs="Arial"/>
        </w:rPr>
        <w:br w:type="page"/>
      </w:r>
    </w:p>
    <w:p w:rsidR="0065331C" w:rsidRPr="0097689D" w:rsidRDefault="00893F75" w:rsidP="002C0655">
      <w:pPr>
        <w:overflowPunct/>
        <w:autoSpaceDE/>
        <w:autoSpaceDN/>
        <w:adjustRightInd/>
        <w:spacing w:line="300" w:lineRule="auto"/>
        <w:ind w:left="1008"/>
        <w:contextualSpacing/>
        <w:jc w:val="both"/>
        <w:textAlignment w:val="auto"/>
        <w:rPr>
          <w:rFonts w:cs="Arial"/>
        </w:rPr>
      </w:pPr>
      <w:r w:rsidRPr="0097689D">
        <w:rPr>
          <w:rFonts w:cs="Arial"/>
        </w:rPr>
        <w:lastRenderedPageBreak/>
        <w:t xml:space="preserve">exceeded the applicable individual provider </w:t>
      </w:r>
      <w:r w:rsidR="00766AA7">
        <w:rPr>
          <w:rFonts w:cs="Arial"/>
        </w:rPr>
        <w:t xml:space="preserve">pay </w:t>
      </w:r>
      <w:r w:rsidRPr="0097689D">
        <w:rPr>
          <w:rFonts w:cs="Arial"/>
        </w:rPr>
        <w:t>rates by $</w:t>
      </w:r>
      <w:r w:rsidR="00282DC6" w:rsidRPr="0097689D">
        <w:rPr>
          <w:rFonts w:cs="Arial"/>
        </w:rPr>
        <w:t>5.</w:t>
      </w:r>
      <w:r w:rsidR="00703317">
        <w:rPr>
          <w:rFonts w:cs="Arial"/>
        </w:rPr>
        <w:t>9</w:t>
      </w:r>
      <w:r w:rsidRPr="0097689D">
        <w:rPr>
          <w:rFonts w:cs="Arial"/>
        </w:rPr>
        <w:t xml:space="preserve"> million.</w:t>
      </w:r>
      <w:r w:rsidR="00F0309A" w:rsidRPr="0097689D">
        <w:rPr>
          <w:rFonts w:cs="Arial"/>
        </w:rPr>
        <w:t xml:space="preserve"> </w:t>
      </w:r>
      <w:r w:rsidRPr="0097689D">
        <w:rPr>
          <w:rFonts w:cs="Arial"/>
        </w:rPr>
        <w:t xml:space="preserve"> The other 3</w:t>
      </w:r>
      <w:r w:rsidR="00282DC6" w:rsidRPr="0097689D">
        <w:rPr>
          <w:rFonts w:cs="Arial"/>
        </w:rPr>
        <w:t>0</w:t>
      </w:r>
      <w:r w:rsidRPr="0097689D">
        <w:rPr>
          <w:rFonts w:cs="Arial"/>
        </w:rPr>
        <w:t xml:space="preserve"> agencies did not provide services during the cited period.</w:t>
      </w:r>
    </w:p>
    <w:p w:rsidR="0065331C" w:rsidRPr="00FB1CBD" w:rsidRDefault="0065331C" w:rsidP="00F84A56">
      <w:pPr>
        <w:overflowPunct/>
        <w:spacing w:line="300" w:lineRule="auto"/>
        <w:ind w:left="1008"/>
        <w:contextualSpacing/>
        <w:jc w:val="both"/>
        <w:textAlignment w:val="auto"/>
        <w:rPr>
          <w:rFonts w:cs="Arial"/>
        </w:rPr>
      </w:pPr>
    </w:p>
    <w:p w:rsidR="0065331C" w:rsidRPr="00FB1CBD" w:rsidRDefault="00893F75" w:rsidP="00F84A56">
      <w:pPr>
        <w:overflowPunct/>
        <w:spacing w:line="300" w:lineRule="auto"/>
        <w:ind w:left="1008"/>
        <w:contextualSpacing/>
        <w:jc w:val="both"/>
        <w:textAlignment w:val="auto"/>
        <w:rPr>
          <w:rFonts w:cs="Arial"/>
        </w:rPr>
      </w:pPr>
      <w:r w:rsidRPr="00FB1CBD">
        <w:rPr>
          <w:rFonts w:cs="Arial"/>
        </w:rPr>
        <w:t xml:space="preserve">DCH informed us that its practice is to grant provisional approval to newly created agencies that do not have all of the required information (excluding the subcontracts with its care providers) pending submission of the information </w:t>
      </w:r>
      <w:r w:rsidR="002F27B2" w:rsidRPr="00FB1CBD">
        <w:rPr>
          <w:rFonts w:cs="Arial"/>
        </w:rPr>
        <w:t>when it bec</w:t>
      </w:r>
      <w:r w:rsidR="00766AA7">
        <w:rPr>
          <w:rFonts w:cs="Arial"/>
        </w:rPr>
        <w:t>o</w:t>
      </w:r>
      <w:r w:rsidR="002F27B2" w:rsidRPr="00FB1CBD">
        <w:rPr>
          <w:rFonts w:cs="Arial"/>
        </w:rPr>
        <w:t>me</w:t>
      </w:r>
      <w:r w:rsidR="00766AA7">
        <w:rPr>
          <w:rFonts w:cs="Arial"/>
        </w:rPr>
        <w:t>s</w:t>
      </w:r>
      <w:r w:rsidR="002F27B2" w:rsidRPr="00FB1CBD">
        <w:rPr>
          <w:rFonts w:cs="Arial"/>
        </w:rPr>
        <w:t xml:space="preserve"> available</w:t>
      </w:r>
      <w:r w:rsidRPr="00FB1CBD">
        <w:rPr>
          <w:rFonts w:cs="Arial"/>
        </w:rPr>
        <w:t xml:space="preserve">. </w:t>
      </w:r>
    </w:p>
    <w:p w:rsidR="00893F75" w:rsidRPr="00FB1CBD" w:rsidRDefault="00893F75" w:rsidP="00F84A56">
      <w:pPr>
        <w:overflowPunct/>
        <w:spacing w:line="300" w:lineRule="auto"/>
        <w:ind w:left="1008"/>
        <w:contextualSpacing/>
        <w:jc w:val="both"/>
        <w:textAlignment w:val="auto"/>
        <w:rPr>
          <w:rFonts w:cs="Arial"/>
        </w:rPr>
      </w:pPr>
    </w:p>
    <w:p w:rsidR="0065331C" w:rsidRPr="0097689D" w:rsidRDefault="00893F75" w:rsidP="00027935">
      <w:pPr>
        <w:numPr>
          <w:ilvl w:val="0"/>
          <w:numId w:val="14"/>
        </w:numPr>
        <w:overflowPunct/>
        <w:autoSpaceDE/>
        <w:autoSpaceDN/>
        <w:adjustRightInd/>
        <w:spacing w:line="300" w:lineRule="auto"/>
        <w:ind w:left="1008" w:hanging="504"/>
        <w:contextualSpacing/>
        <w:jc w:val="both"/>
        <w:textAlignment w:val="auto"/>
        <w:rPr>
          <w:rFonts w:cs="Arial"/>
        </w:rPr>
      </w:pPr>
      <w:r w:rsidRPr="0097689D">
        <w:rPr>
          <w:rFonts w:cs="Arial"/>
        </w:rPr>
        <w:t>DCH did not have an automated control</w:t>
      </w:r>
      <w:r w:rsidR="002F27B2" w:rsidRPr="0097689D">
        <w:rPr>
          <w:rFonts w:cs="Arial"/>
        </w:rPr>
        <w:t xml:space="preserve"> in ASCAP </w:t>
      </w:r>
      <w:r w:rsidRPr="0097689D">
        <w:rPr>
          <w:rFonts w:cs="Arial"/>
        </w:rPr>
        <w:t xml:space="preserve">to prevent ASWs from authorizing payments at the agency </w:t>
      </w:r>
      <w:r w:rsidR="00766AA7">
        <w:rPr>
          <w:rFonts w:cs="Arial"/>
        </w:rPr>
        <w:t xml:space="preserve">pay </w:t>
      </w:r>
      <w:r w:rsidRPr="0097689D">
        <w:rPr>
          <w:rFonts w:cs="Arial"/>
        </w:rPr>
        <w:t>rate for agencies that were not on DCH</w:t>
      </w:r>
      <w:r w:rsidR="00F305E9">
        <w:rPr>
          <w:rFonts w:cs="Arial"/>
        </w:rPr>
        <w:t>'</w:t>
      </w:r>
      <w:r w:rsidRPr="0097689D">
        <w:rPr>
          <w:rFonts w:cs="Arial"/>
        </w:rPr>
        <w:t>s list of approved agencies.  We identified 214 agencies that DCH paid for services sometime between October 1, 2010 and February 28, 2013 that were not on DCH</w:t>
      </w:r>
      <w:r w:rsidR="00F305E9">
        <w:rPr>
          <w:rFonts w:cs="Arial"/>
        </w:rPr>
        <w:t>'</w:t>
      </w:r>
      <w:r w:rsidRPr="0097689D">
        <w:rPr>
          <w:rFonts w:cs="Arial"/>
        </w:rPr>
        <w:t xml:space="preserve">s </w:t>
      </w:r>
      <w:r w:rsidR="00766AA7">
        <w:rPr>
          <w:rFonts w:cs="Arial"/>
        </w:rPr>
        <w:t>list of approved agencies</w:t>
      </w:r>
      <w:r w:rsidRPr="0097689D">
        <w:rPr>
          <w:rFonts w:cs="Arial"/>
        </w:rPr>
        <w:t xml:space="preserve">.  We randomly selected and reviewed ASCAP for 11 (5.1%) of the agencies and noted that the applicable ASWs had inappropriately authorized payment to 2 (18.2%) of 11 agencies at the agency </w:t>
      </w:r>
      <w:r w:rsidR="00766AA7">
        <w:rPr>
          <w:rFonts w:cs="Arial"/>
        </w:rPr>
        <w:t xml:space="preserve">pay </w:t>
      </w:r>
      <w:r w:rsidRPr="0097689D">
        <w:rPr>
          <w:rFonts w:cs="Arial"/>
        </w:rPr>
        <w:t xml:space="preserve">rate.  DCH did not have the required documentation for either agency.  This resulted in overpayments to the agencies totaling $26,903.  DCH appropriately paid the other 9 (81.8%) of the 11 agencies at the individual </w:t>
      </w:r>
      <w:r w:rsidR="00766AA7">
        <w:rPr>
          <w:rFonts w:cs="Arial"/>
        </w:rPr>
        <w:t xml:space="preserve">pay </w:t>
      </w:r>
      <w:r w:rsidRPr="0097689D">
        <w:rPr>
          <w:rFonts w:cs="Arial"/>
        </w:rPr>
        <w:t>rate.</w:t>
      </w:r>
      <w:r w:rsidR="00F0309A" w:rsidRPr="0097689D">
        <w:rPr>
          <w:rFonts w:cs="Arial"/>
        </w:rPr>
        <w:t xml:space="preserve">  </w:t>
      </w:r>
      <w:r w:rsidRPr="0097689D">
        <w:rPr>
          <w:rFonts w:cs="Arial"/>
        </w:rPr>
        <w:t>DCH informed us that</w:t>
      </w:r>
      <w:r w:rsidR="00766AA7">
        <w:rPr>
          <w:rFonts w:cs="Arial"/>
        </w:rPr>
        <w:t>,</w:t>
      </w:r>
      <w:r w:rsidRPr="0097689D">
        <w:rPr>
          <w:rFonts w:cs="Arial"/>
        </w:rPr>
        <w:t xml:space="preserve"> when it approved or provisionally approved an agency, it included the agency</w:t>
      </w:r>
      <w:r w:rsidR="00F305E9">
        <w:rPr>
          <w:rFonts w:cs="Arial"/>
        </w:rPr>
        <w:t>'</w:t>
      </w:r>
      <w:r w:rsidRPr="0097689D">
        <w:rPr>
          <w:rFonts w:cs="Arial"/>
        </w:rPr>
        <w:t xml:space="preserve">s name on its </w:t>
      </w:r>
      <w:r w:rsidR="00A026FF">
        <w:rPr>
          <w:rFonts w:cs="Arial"/>
        </w:rPr>
        <w:t>list of approved agencies</w:t>
      </w:r>
      <w:r w:rsidRPr="0097689D">
        <w:rPr>
          <w:rFonts w:cs="Arial"/>
        </w:rPr>
        <w:t>.  ASM 136 states that</w:t>
      </w:r>
      <w:r w:rsidR="00A026FF">
        <w:rPr>
          <w:rFonts w:cs="Arial"/>
        </w:rPr>
        <w:t>,</w:t>
      </w:r>
      <w:r w:rsidRPr="0097689D">
        <w:rPr>
          <w:rFonts w:cs="Arial"/>
        </w:rPr>
        <w:t xml:space="preserve"> once an agency is on the </w:t>
      </w:r>
      <w:r w:rsidR="00A026FF">
        <w:rPr>
          <w:rFonts w:cs="Arial"/>
        </w:rPr>
        <w:t>list</w:t>
      </w:r>
      <w:r w:rsidRPr="0097689D">
        <w:rPr>
          <w:rFonts w:cs="Arial"/>
        </w:rPr>
        <w:t xml:space="preserve">, an ASW can authorize payment to the agency at the applicable agency </w:t>
      </w:r>
      <w:r w:rsidR="00A026FF">
        <w:rPr>
          <w:rFonts w:cs="Arial"/>
        </w:rPr>
        <w:t xml:space="preserve">pay </w:t>
      </w:r>
      <w:r w:rsidRPr="0097689D">
        <w:rPr>
          <w:rFonts w:cs="Arial"/>
        </w:rPr>
        <w:t>rate.</w:t>
      </w:r>
      <w:r w:rsidR="00342333" w:rsidRPr="0097689D">
        <w:rPr>
          <w:rFonts w:cs="Arial"/>
        </w:rPr>
        <w:t xml:space="preserve"> </w:t>
      </w:r>
      <w:r w:rsidRPr="0097689D">
        <w:rPr>
          <w:rFonts w:cs="Arial"/>
        </w:rPr>
        <w:t xml:space="preserve"> </w:t>
      </w:r>
      <w:r w:rsidR="002F27B2" w:rsidRPr="0097689D">
        <w:rPr>
          <w:rFonts w:cs="Arial"/>
        </w:rPr>
        <w:t>P</w:t>
      </w:r>
      <w:r w:rsidR="00A026FF">
        <w:rPr>
          <w:rFonts w:cs="Arial"/>
        </w:rPr>
        <w:t>rior to appearing on the list</w:t>
      </w:r>
      <w:r w:rsidR="002F27B2" w:rsidRPr="0097689D">
        <w:rPr>
          <w:rFonts w:cs="Arial"/>
        </w:rPr>
        <w:t xml:space="preserve">, </w:t>
      </w:r>
      <w:r w:rsidR="00B12F11">
        <w:rPr>
          <w:rFonts w:cs="Arial"/>
        </w:rPr>
        <w:t xml:space="preserve">an </w:t>
      </w:r>
      <w:r w:rsidR="002F27B2" w:rsidRPr="0097689D">
        <w:rPr>
          <w:rFonts w:cs="Arial"/>
        </w:rPr>
        <w:t>ASW can onl</w:t>
      </w:r>
      <w:r w:rsidR="00342333" w:rsidRPr="0097689D">
        <w:rPr>
          <w:rFonts w:cs="Arial"/>
        </w:rPr>
        <w:t xml:space="preserve">y approve agencies to be paid </w:t>
      </w:r>
      <w:r w:rsidRPr="0097689D">
        <w:rPr>
          <w:rFonts w:cs="Arial"/>
        </w:rPr>
        <w:t xml:space="preserve">at the applicable individual provider </w:t>
      </w:r>
      <w:r w:rsidR="00A026FF">
        <w:rPr>
          <w:rFonts w:cs="Arial"/>
        </w:rPr>
        <w:t xml:space="preserve">pay </w:t>
      </w:r>
      <w:r w:rsidRPr="0097689D">
        <w:rPr>
          <w:rFonts w:cs="Arial"/>
        </w:rPr>
        <w:t>rate.</w:t>
      </w:r>
      <w:r w:rsidR="00A026FF">
        <w:rPr>
          <w:rFonts w:cs="Arial"/>
        </w:rPr>
        <w:t xml:space="preserve">  </w:t>
      </w:r>
    </w:p>
    <w:p w:rsidR="00893F75" w:rsidRPr="00FB1CBD" w:rsidRDefault="00893F75" w:rsidP="00F84A56">
      <w:pPr>
        <w:spacing w:line="300" w:lineRule="auto"/>
        <w:ind w:left="1008"/>
        <w:contextualSpacing/>
        <w:jc w:val="both"/>
        <w:rPr>
          <w:rFonts w:cs="Arial"/>
        </w:rPr>
      </w:pPr>
    </w:p>
    <w:p w:rsidR="00342333" w:rsidRPr="00FB1CBD" w:rsidRDefault="00893F75" w:rsidP="00027935">
      <w:pPr>
        <w:numPr>
          <w:ilvl w:val="0"/>
          <w:numId w:val="14"/>
        </w:numPr>
        <w:overflowPunct/>
        <w:spacing w:line="300" w:lineRule="auto"/>
        <w:ind w:left="1008" w:hanging="504"/>
        <w:contextualSpacing/>
        <w:jc w:val="both"/>
        <w:textAlignment w:val="auto"/>
        <w:rPr>
          <w:rFonts w:cs="Arial"/>
          <w:u w:val="single"/>
        </w:rPr>
      </w:pPr>
      <w:r w:rsidRPr="00FB1CBD">
        <w:rPr>
          <w:rFonts w:cs="Arial"/>
        </w:rPr>
        <w:t xml:space="preserve">DCH did not periodically verify that approved agencies continued to qualify for the agency </w:t>
      </w:r>
      <w:r w:rsidR="00A026FF">
        <w:rPr>
          <w:rFonts w:cs="Arial"/>
        </w:rPr>
        <w:t xml:space="preserve">pay </w:t>
      </w:r>
      <w:r w:rsidRPr="00FB1CBD">
        <w:rPr>
          <w:rFonts w:cs="Arial"/>
        </w:rPr>
        <w:t xml:space="preserve">rate. </w:t>
      </w:r>
      <w:r w:rsidR="002F27B2" w:rsidRPr="00FB1CBD">
        <w:rPr>
          <w:rFonts w:cs="Arial"/>
        </w:rPr>
        <w:t xml:space="preserve"> </w:t>
      </w:r>
    </w:p>
    <w:p w:rsidR="00342333" w:rsidRPr="00FB1CBD" w:rsidRDefault="00342333" w:rsidP="00F84A56">
      <w:pPr>
        <w:overflowPunct/>
        <w:spacing w:line="300" w:lineRule="auto"/>
        <w:ind w:left="1008"/>
        <w:contextualSpacing/>
        <w:jc w:val="both"/>
        <w:textAlignment w:val="auto"/>
        <w:rPr>
          <w:rFonts w:cs="Arial"/>
        </w:rPr>
      </w:pPr>
    </w:p>
    <w:p w:rsidR="00342333" w:rsidRPr="00FB1CBD" w:rsidRDefault="002F27B2" w:rsidP="00F84A56">
      <w:pPr>
        <w:overflowPunct/>
        <w:spacing w:line="300" w:lineRule="auto"/>
        <w:ind w:left="1008"/>
        <w:contextualSpacing/>
        <w:jc w:val="both"/>
        <w:textAlignment w:val="auto"/>
        <w:rPr>
          <w:rFonts w:cs="Arial"/>
        </w:rPr>
      </w:pPr>
      <w:r w:rsidRPr="00FB1CBD">
        <w:rPr>
          <w:rFonts w:cs="Arial"/>
        </w:rPr>
        <w:t xml:space="preserve">ASM 136 requires DCH to periodically verify that approved agencies continue to meet the requirements to receive the higher agency </w:t>
      </w:r>
      <w:r w:rsidR="00A026FF">
        <w:rPr>
          <w:rFonts w:cs="Arial"/>
        </w:rPr>
        <w:t xml:space="preserve">pay </w:t>
      </w:r>
      <w:r w:rsidRPr="00FB1CBD">
        <w:rPr>
          <w:rFonts w:cs="Arial"/>
        </w:rPr>
        <w:t xml:space="preserve">rate. </w:t>
      </w:r>
      <w:r w:rsidR="00342333" w:rsidRPr="00FB1CBD">
        <w:rPr>
          <w:rFonts w:cs="Arial"/>
        </w:rPr>
        <w:t xml:space="preserve"> </w:t>
      </w:r>
      <w:r w:rsidRPr="00FB1CBD">
        <w:rPr>
          <w:rFonts w:cs="Arial"/>
        </w:rPr>
        <w:t>As noted in part a., the agency provider must either employ or subcontract with tw</w:t>
      </w:r>
      <w:r w:rsidR="00A026FF">
        <w:rPr>
          <w:rFonts w:cs="Arial"/>
        </w:rPr>
        <w:t>o</w:t>
      </w:r>
      <w:r w:rsidRPr="00FB1CBD">
        <w:rPr>
          <w:rFonts w:cs="Arial"/>
        </w:rPr>
        <w:t xml:space="preserve"> or more individuals,</w:t>
      </w:r>
      <w:r w:rsidR="00801729" w:rsidRPr="00FB1CBD">
        <w:rPr>
          <w:rFonts w:cs="Arial"/>
        </w:rPr>
        <w:t xml:space="preserve"> excluding the owner, to provide services to qualify for the higher agency </w:t>
      </w:r>
      <w:r w:rsidR="00A026FF">
        <w:rPr>
          <w:rFonts w:cs="Arial"/>
        </w:rPr>
        <w:t xml:space="preserve">pay </w:t>
      </w:r>
      <w:r w:rsidR="00801729" w:rsidRPr="00FB1CBD">
        <w:rPr>
          <w:rFonts w:cs="Arial"/>
        </w:rPr>
        <w:t>rate.</w:t>
      </w:r>
      <w:r w:rsidR="00893F75" w:rsidRPr="00FB1CBD">
        <w:rPr>
          <w:rFonts w:cs="Arial"/>
        </w:rPr>
        <w:t xml:space="preserve"> </w:t>
      </w:r>
    </w:p>
    <w:p w:rsidR="00342333" w:rsidRPr="00FB1CBD" w:rsidRDefault="00342333" w:rsidP="00F84A56">
      <w:pPr>
        <w:overflowPunct/>
        <w:spacing w:line="300" w:lineRule="auto"/>
        <w:ind w:left="1008"/>
        <w:contextualSpacing/>
        <w:jc w:val="both"/>
        <w:textAlignment w:val="auto"/>
        <w:rPr>
          <w:rFonts w:cs="Arial"/>
        </w:rPr>
      </w:pPr>
    </w:p>
    <w:p w:rsidR="002C0655" w:rsidRDefault="00801729" w:rsidP="002C0655">
      <w:pPr>
        <w:overflowPunct/>
        <w:spacing w:line="300" w:lineRule="auto"/>
        <w:ind w:left="1008"/>
        <w:contextualSpacing/>
        <w:jc w:val="both"/>
        <w:textAlignment w:val="auto"/>
        <w:rPr>
          <w:rFonts w:cs="Arial"/>
        </w:rPr>
      </w:pPr>
      <w:r w:rsidRPr="00FB1CBD">
        <w:rPr>
          <w:rFonts w:cs="Arial"/>
        </w:rPr>
        <w:t>A</w:t>
      </w:r>
      <w:r w:rsidR="00893F75" w:rsidRPr="00FB1CBD">
        <w:rPr>
          <w:rFonts w:cs="Arial"/>
        </w:rPr>
        <w:t xml:space="preserve">t our request, </w:t>
      </w:r>
      <w:r w:rsidRPr="00FB1CBD">
        <w:rPr>
          <w:rFonts w:cs="Arial"/>
        </w:rPr>
        <w:t>DCH</w:t>
      </w:r>
      <w:r w:rsidR="00893F75" w:rsidRPr="00FB1CBD">
        <w:rPr>
          <w:rFonts w:cs="Arial"/>
        </w:rPr>
        <w:t xml:space="preserve"> </w:t>
      </w:r>
      <w:r w:rsidR="007016AE" w:rsidRPr="00FB1CBD">
        <w:rPr>
          <w:rFonts w:cs="Arial"/>
        </w:rPr>
        <w:t>asked all</w:t>
      </w:r>
      <w:r w:rsidR="00893F75" w:rsidRPr="00FB1CBD">
        <w:rPr>
          <w:rFonts w:cs="Arial"/>
        </w:rPr>
        <w:t xml:space="preserve"> 513 </w:t>
      </w:r>
      <w:r w:rsidR="00A707F8">
        <w:rPr>
          <w:rFonts w:cs="Arial"/>
        </w:rPr>
        <w:t>HHP</w:t>
      </w:r>
      <w:r w:rsidR="00A026FF">
        <w:rPr>
          <w:rFonts w:cs="Arial"/>
        </w:rPr>
        <w:t xml:space="preserve"> </w:t>
      </w:r>
      <w:r w:rsidR="00893F75" w:rsidRPr="00FB1CBD">
        <w:rPr>
          <w:rFonts w:cs="Arial"/>
        </w:rPr>
        <w:t>agencies to provide DCH with a listing of the agencies</w:t>
      </w:r>
      <w:r w:rsidR="00F305E9">
        <w:rPr>
          <w:rFonts w:cs="Arial"/>
        </w:rPr>
        <w:t>'</w:t>
      </w:r>
      <w:r w:rsidR="00893F75" w:rsidRPr="00FB1CBD">
        <w:rPr>
          <w:rFonts w:cs="Arial"/>
        </w:rPr>
        <w:t xml:space="preserve"> </w:t>
      </w:r>
      <w:r w:rsidR="00A707F8">
        <w:rPr>
          <w:rFonts w:cs="Arial"/>
        </w:rPr>
        <w:t>HHP</w:t>
      </w:r>
      <w:r w:rsidR="00A026FF">
        <w:rPr>
          <w:rFonts w:cs="Arial"/>
        </w:rPr>
        <w:t xml:space="preserve"> </w:t>
      </w:r>
      <w:r w:rsidR="00893F75" w:rsidRPr="00FB1CBD">
        <w:rPr>
          <w:rFonts w:cs="Arial"/>
        </w:rPr>
        <w:t xml:space="preserve">employees and subcontractors.  DCH informed us that </w:t>
      </w:r>
      <w:r w:rsidR="002C0655">
        <w:rPr>
          <w:rFonts w:cs="Arial"/>
        </w:rPr>
        <w:br/>
      </w:r>
      <w:r w:rsidR="002C0655">
        <w:rPr>
          <w:rFonts w:cs="Arial"/>
        </w:rPr>
        <w:br w:type="page"/>
      </w:r>
    </w:p>
    <w:p w:rsidR="0065331C" w:rsidRPr="00FB1CBD" w:rsidRDefault="00893F75" w:rsidP="00F84A56">
      <w:pPr>
        <w:overflowPunct/>
        <w:spacing w:line="300" w:lineRule="auto"/>
        <w:ind w:left="1008"/>
        <w:contextualSpacing/>
        <w:jc w:val="both"/>
        <w:textAlignment w:val="auto"/>
        <w:rPr>
          <w:rFonts w:cs="Arial"/>
          <w:u w:val="single"/>
        </w:rPr>
      </w:pPr>
      <w:r w:rsidRPr="00FB1CBD">
        <w:rPr>
          <w:rFonts w:cs="Arial"/>
        </w:rPr>
        <w:lastRenderedPageBreak/>
        <w:t xml:space="preserve">284 </w:t>
      </w:r>
      <w:r w:rsidR="00A707F8">
        <w:rPr>
          <w:rFonts w:cs="Arial"/>
        </w:rPr>
        <w:t>HHP</w:t>
      </w:r>
      <w:r w:rsidR="00A026FF">
        <w:rPr>
          <w:rFonts w:cs="Arial"/>
        </w:rPr>
        <w:t xml:space="preserve"> </w:t>
      </w:r>
      <w:r w:rsidRPr="00FB1CBD">
        <w:rPr>
          <w:rFonts w:cs="Arial"/>
        </w:rPr>
        <w:t xml:space="preserve">agencies responded to its request. </w:t>
      </w:r>
      <w:r w:rsidR="00342333" w:rsidRPr="00FB1CBD">
        <w:rPr>
          <w:rFonts w:cs="Arial"/>
        </w:rPr>
        <w:t xml:space="preserve"> </w:t>
      </w:r>
      <w:r w:rsidR="0084388F" w:rsidRPr="00FB1CBD">
        <w:rPr>
          <w:rFonts w:cs="Arial"/>
        </w:rPr>
        <w:t xml:space="preserve">Also, 13 agencies responded that they did not provide services.  </w:t>
      </w:r>
      <w:r w:rsidRPr="00FB1CBD">
        <w:rPr>
          <w:rFonts w:cs="Arial"/>
        </w:rPr>
        <w:t>We reviewed 255 of the 284 agencies</w:t>
      </w:r>
      <w:r w:rsidR="00F305E9">
        <w:rPr>
          <w:rFonts w:cs="Arial"/>
        </w:rPr>
        <w:t>'</w:t>
      </w:r>
      <w:r w:rsidRPr="00FB1CBD">
        <w:rPr>
          <w:rFonts w:cs="Arial"/>
        </w:rPr>
        <w:t xml:space="preserve"> listings </w:t>
      </w:r>
      <w:r w:rsidR="00801729" w:rsidRPr="00FB1CBD">
        <w:rPr>
          <w:rFonts w:cs="Arial"/>
        </w:rPr>
        <w:t xml:space="preserve">available at the time of our review </w:t>
      </w:r>
      <w:r w:rsidRPr="00FB1CBD">
        <w:rPr>
          <w:rFonts w:cs="Arial"/>
        </w:rPr>
        <w:t xml:space="preserve">and noted that 20 (7.8%), 11 (4.3%), and 14 (5.5%) of the agencies reported having 0, 1, and 2 employees or subcontractors, respectively.  None of 31 agencies with less than 2 employees or subcontractors continued to qualify for the agency </w:t>
      </w:r>
      <w:r w:rsidR="00A026FF">
        <w:rPr>
          <w:rFonts w:cs="Arial"/>
        </w:rPr>
        <w:t xml:space="preserve">pay </w:t>
      </w:r>
      <w:r w:rsidRPr="00FB1CBD">
        <w:rPr>
          <w:rFonts w:cs="Arial"/>
        </w:rPr>
        <w:t xml:space="preserve">rate.  However, we could not determine how many of the 14 agencies with 2 employees or subcontractors no longer qualified for the agency </w:t>
      </w:r>
      <w:r w:rsidR="00A026FF">
        <w:rPr>
          <w:rFonts w:cs="Arial"/>
        </w:rPr>
        <w:t xml:space="preserve">pay </w:t>
      </w:r>
      <w:r w:rsidRPr="00FB1CBD">
        <w:rPr>
          <w:rFonts w:cs="Arial"/>
        </w:rPr>
        <w:t xml:space="preserve">rate because we could not readily identify whether any of the listed employees and </w:t>
      </w:r>
      <w:r w:rsidR="00A026FF">
        <w:rPr>
          <w:rFonts w:cs="Arial"/>
        </w:rPr>
        <w:t>sub</w:t>
      </w:r>
      <w:r w:rsidRPr="00FB1CBD">
        <w:rPr>
          <w:rFonts w:cs="Arial"/>
        </w:rPr>
        <w:t xml:space="preserve">contractors were agency owners.  </w:t>
      </w:r>
      <w:r w:rsidR="00801729" w:rsidRPr="00FB1CBD">
        <w:rPr>
          <w:rFonts w:cs="Arial"/>
        </w:rPr>
        <w:t xml:space="preserve">Also, we </w:t>
      </w:r>
      <w:r w:rsidR="00CE715A" w:rsidRPr="00FB1CBD">
        <w:rPr>
          <w:rFonts w:cs="Arial"/>
        </w:rPr>
        <w:t>could</w:t>
      </w:r>
      <w:r w:rsidR="00801729" w:rsidRPr="00FB1CBD">
        <w:rPr>
          <w:rFonts w:cs="Arial"/>
        </w:rPr>
        <w:t xml:space="preserve"> not readil</w:t>
      </w:r>
      <w:r w:rsidR="00342333" w:rsidRPr="00FB1CBD">
        <w:rPr>
          <w:rFonts w:cs="Arial"/>
        </w:rPr>
        <w:t>y determine how many of the 229 </w:t>
      </w:r>
      <w:proofErr w:type="spellStart"/>
      <w:r w:rsidR="00801729" w:rsidRPr="00FB1CBD">
        <w:rPr>
          <w:rFonts w:cs="Arial"/>
        </w:rPr>
        <w:t>nonresponding</w:t>
      </w:r>
      <w:proofErr w:type="spellEnd"/>
      <w:r w:rsidR="00801729" w:rsidRPr="00FB1CBD">
        <w:rPr>
          <w:rFonts w:cs="Arial"/>
        </w:rPr>
        <w:t xml:space="preserve"> agencies continued to qualify for the agency </w:t>
      </w:r>
      <w:r w:rsidR="00A026FF">
        <w:rPr>
          <w:rFonts w:cs="Arial"/>
        </w:rPr>
        <w:t xml:space="preserve">pay </w:t>
      </w:r>
      <w:r w:rsidR="00801729" w:rsidRPr="00FB1CBD">
        <w:rPr>
          <w:rFonts w:cs="Arial"/>
        </w:rPr>
        <w:t xml:space="preserve">rate. </w:t>
      </w:r>
    </w:p>
    <w:p w:rsidR="00893F75" w:rsidRPr="00FB1CBD" w:rsidRDefault="00893F75" w:rsidP="00F84A56">
      <w:pPr>
        <w:tabs>
          <w:tab w:val="left" w:pos="504"/>
        </w:tabs>
        <w:spacing w:line="300" w:lineRule="auto"/>
        <w:ind w:left="1008"/>
        <w:contextualSpacing/>
        <w:jc w:val="both"/>
        <w:rPr>
          <w:rFonts w:cs="Arial"/>
          <w:u w:val="single"/>
        </w:rPr>
      </w:pPr>
    </w:p>
    <w:p w:rsidR="00342333" w:rsidRPr="00FB1CBD" w:rsidRDefault="00893F75" w:rsidP="00F84A56">
      <w:pPr>
        <w:spacing w:line="300" w:lineRule="auto"/>
        <w:ind w:left="504"/>
        <w:contextualSpacing/>
        <w:jc w:val="both"/>
        <w:rPr>
          <w:rFonts w:cs="Arial"/>
        </w:rPr>
      </w:pPr>
      <w:r w:rsidRPr="00FB1CBD">
        <w:rPr>
          <w:rFonts w:cs="Arial"/>
        </w:rPr>
        <w:t xml:space="preserve">DCH informed us that the cited conditions were caused by systems </w:t>
      </w:r>
      <w:r w:rsidR="00801729" w:rsidRPr="00FB1CBD">
        <w:rPr>
          <w:rFonts w:cs="Arial"/>
        </w:rPr>
        <w:t>limitations</w:t>
      </w:r>
      <w:r w:rsidRPr="00FB1CBD">
        <w:rPr>
          <w:rFonts w:cs="Arial"/>
        </w:rPr>
        <w:t>, outdated policies</w:t>
      </w:r>
      <w:r w:rsidR="00683D23">
        <w:rPr>
          <w:rFonts w:cs="Arial"/>
        </w:rPr>
        <w:t>,</w:t>
      </w:r>
      <w:r w:rsidRPr="00FB1CBD">
        <w:rPr>
          <w:rFonts w:cs="Arial"/>
        </w:rPr>
        <w:t xml:space="preserve"> and limited staff resources. </w:t>
      </w:r>
    </w:p>
    <w:p w:rsidR="00CE6C95" w:rsidRPr="00FB1CBD" w:rsidRDefault="00CE6C95" w:rsidP="00F84A56">
      <w:pPr>
        <w:spacing w:line="300" w:lineRule="auto"/>
        <w:ind w:left="504"/>
        <w:contextualSpacing/>
        <w:jc w:val="both"/>
        <w:rPr>
          <w:rFonts w:cs="Arial"/>
        </w:rPr>
      </w:pPr>
    </w:p>
    <w:p w:rsidR="00893F75" w:rsidRPr="00FB1CBD" w:rsidRDefault="0065331C" w:rsidP="00F84A56">
      <w:pPr>
        <w:tabs>
          <w:tab w:val="left" w:pos="90"/>
        </w:tabs>
        <w:spacing w:line="300" w:lineRule="auto"/>
        <w:contextualSpacing/>
        <w:jc w:val="both"/>
        <w:rPr>
          <w:rFonts w:cs="Arial"/>
          <w:b/>
          <w:bCs/>
          <w:smallCaps/>
          <w:sz w:val="28"/>
          <w:u w:val="single"/>
        </w:rPr>
      </w:pPr>
      <w:r w:rsidRPr="00FB1CBD">
        <w:rPr>
          <w:rFonts w:cs="Arial"/>
          <w:b/>
          <w:bCs/>
          <w:smallCaps/>
          <w:sz w:val="28"/>
          <w:u w:val="single"/>
        </w:rPr>
        <w:t>Recommendation</w:t>
      </w:r>
    </w:p>
    <w:p w:rsidR="00893F75" w:rsidRPr="00FB1CBD" w:rsidRDefault="00893F75" w:rsidP="00F84A56">
      <w:pPr>
        <w:tabs>
          <w:tab w:val="left" w:pos="0"/>
        </w:tabs>
        <w:spacing w:line="300" w:lineRule="auto"/>
        <w:ind w:left="504"/>
        <w:contextualSpacing/>
        <w:jc w:val="both"/>
        <w:rPr>
          <w:rFonts w:cs="Arial"/>
        </w:rPr>
      </w:pPr>
      <w:r w:rsidRPr="00FB1CBD">
        <w:rPr>
          <w:rFonts w:cs="Arial"/>
        </w:rPr>
        <w:t xml:space="preserve">We recommend that DCH </w:t>
      </w:r>
      <w:r w:rsidR="00683D23">
        <w:rPr>
          <w:rFonts w:cs="Arial"/>
        </w:rPr>
        <w:t xml:space="preserve">ensure that agency providers </w:t>
      </w:r>
      <w:r w:rsidR="00801729" w:rsidRPr="00FB1CBD">
        <w:rPr>
          <w:rFonts w:cs="Arial"/>
        </w:rPr>
        <w:t xml:space="preserve">meet the requirements to receive the higher agency </w:t>
      </w:r>
      <w:r w:rsidR="00683D23">
        <w:rPr>
          <w:rFonts w:cs="Arial"/>
        </w:rPr>
        <w:t xml:space="preserve">pay </w:t>
      </w:r>
      <w:r w:rsidR="00801729" w:rsidRPr="00FB1CBD">
        <w:rPr>
          <w:rFonts w:cs="Arial"/>
        </w:rPr>
        <w:t>rate.</w:t>
      </w:r>
      <w:r w:rsidR="00683D23">
        <w:rPr>
          <w:rFonts w:cs="Arial"/>
        </w:rPr>
        <w:t xml:space="preserve">  </w:t>
      </w:r>
    </w:p>
    <w:p w:rsidR="00893F75" w:rsidRPr="00FB1CBD" w:rsidRDefault="00893F75" w:rsidP="00F84A56">
      <w:pPr>
        <w:tabs>
          <w:tab w:val="left" w:pos="90"/>
        </w:tabs>
        <w:spacing w:line="300" w:lineRule="auto"/>
        <w:contextualSpacing/>
        <w:jc w:val="both"/>
        <w:rPr>
          <w:rFonts w:cs="Arial"/>
          <w:b/>
          <w:u w:val="single"/>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2C0655" w:rsidRPr="00D6707C" w:rsidRDefault="002C0655" w:rsidP="002C0655">
      <w:pPr>
        <w:tabs>
          <w:tab w:val="left" w:pos="0"/>
        </w:tabs>
        <w:spacing w:line="300" w:lineRule="auto"/>
        <w:ind w:left="504"/>
        <w:contextualSpacing/>
        <w:jc w:val="both"/>
        <w:rPr>
          <w:rFonts w:cs="Arial"/>
        </w:rPr>
      </w:pPr>
      <w:r w:rsidRPr="00D6707C">
        <w:rPr>
          <w:rFonts w:cs="Arial"/>
        </w:rPr>
        <w:t xml:space="preserve">DCH agrees that adequate documentation to support agency rates being paid to only approved agency providers was not always maintained. </w:t>
      </w:r>
    </w:p>
    <w:p w:rsidR="002C0655" w:rsidRPr="00D6707C" w:rsidRDefault="002C0655" w:rsidP="002C0655">
      <w:pPr>
        <w:tabs>
          <w:tab w:val="left" w:pos="0"/>
        </w:tabs>
        <w:spacing w:line="300" w:lineRule="auto"/>
        <w:ind w:left="504"/>
        <w:contextualSpacing/>
        <w:jc w:val="both"/>
        <w:rPr>
          <w:rFonts w:cs="Arial"/>
        </w:rPr>
      </w:pPr>
    </w:p>
    <w:p w:rsidR="002C0655" w:rsidRPr="00D6707C" w:rsidRDefault="002C0655" w:rsidP="002C0655">
      <w:pPr>
        <w:tabs>
          <w:tab w:val="left" w:pos="0"/>
        </w:tabs>
        <w:spacing w:line="300" w:lineRule="auto"/>
        <w:ind w:left="504"/>
        <w:contextualSpacing/>
        <w:jc w:val="both"/>
        <w:rPr>
          <w:rFonts w:cs="Arial"/>
        </w:rPr>
      </w:pPr>
      <w:r w:rsidRPr="00D6707C">
        <w:rPr>
          <w:rFonts w:cs="Arial"/>
        </w:rPr>
        <w:t xml:space="preserve">DCH </w:t>
      </w:r>
      <w:r>
        <w:rPr>
          <w:rFonts w:cs="Arial"/>
        </w:rPr>
        <w:t xml:space="preserve">informed us that it </w:t>
      </w:r>
      <w:r w:rsidRPr="00D6707C">
        <w:rPr>
          <w:rFonts w:cs="Arial"/>
        </w:rPr>
        <w:t>is conducting a complete review of all current provider agencies.  Agencies with incomplete applications will be required to submit the necessary documentation within 30 days.  Agencies that do not provide the requested documents will be removed from the agency provider listing.  If they are currently providing services</w:t>
      </w:r>
      <w:r>
        <w:rPr>
          <w:rFonts w:cs="Arial"/>
        </w:rPr>
        <w:t>,</w:t>
      </w:r>
      <w:r w:rsidRPr="00D6707C">
        <w:rPr>
          <w:rFonts w:cs="Arial"/>
        </w:rPr>
        <w:t xml:space="preserve"> they will be referred to DHS for a rate reduction to the individual provider rate.  DCH </w:t>
      </w:r>
      <w:r>
        <w:rPr>
          <w:rFonts w:cs="Arial"/>
        </w:rPr>
        <w:t xml:space="preserve">indicated that it </w:t>
      </w:r>
      <w:r w:rsidRPr="00D6707C">
        <w:rPr>
          <w:rFonts w:cs="Arial"/>
        </w:rPr>
        <w:t xml:space="preserve">has discontinued the practice of provisional approval.  Agencies are not placed on the approved agency listing until all required documents have been received. </w:t>
      </w:r>
    </w:p>
    <w:p w:rsidR="002C0655" w:rsidRPr="00D6707C" w:rsidRDefault="002C0655" w:rsidP="002C0655">
      <w:pPr>
        <w:tabs>
          <w:tab w:val="left" w:pos="0"/>
        </w:tabs>
        <w:spacing w:line="300" w:lineRule="auto"/>
        <w:ind w:left="504"/>
        <w:contextualSpacing/>
        <w:jc w:val="both"/>
        <w:rPr>
          <w:rFonts w:cs="Arial"/>
        </w:rPr>
      </w:pPr>
    </w:p>
    <w:p w:rsidR="002C0655" w:rsidRPr="00D6707C" w:rsidRDefault="002C0655" w:rsidP="002C0655">
      <w:pPr>
        <w:tabs>
          <w:tab w:val="left" w:pos="0"/>
        </w:tabs>
        <w:spacing w:line="300" w:lineRule="auto"/>
        <w:ind w:left="504"/>
        <w:contextualSpacing/>
        <w:jc w:val="both"/>
        <w:rPr>
          <w:rFonts w:cs="Arial"/>
        </w:rPr>
      </w:pPr>
      <w:r>
        <w:rPr>
          <w:rFonts w:cs="Arial"/>
        </w:rPr>
        <w:t xml:space="preserve">Also, </w:t>
      </w:r>
      <w:r w:rsidRPr="00D6707C">
        <w:rPr>
          <w:rFonts w:cs="Arial"/>
        </w:rPr>
        <w:t xml:space="preserve">DCH </w:t>
      </w:r>
      <w:r>
        <w:rPr>
          <w:rFonts w:cs="Arial"/>
        </w:rPr>
        <w:t xml:space="preserve">indicated that it </w:t>
      </w:r>
      <w:r w:rsidRPr="00D6707C">
        <w:rPr>
          <w:rFonts w:cs="Arial"/>
        </w:rPr>
        <w:t>will run monthly reports to ensure that payments are not being made to agencies that are not on the approved agency listing.  If unapproved providers are identified</w:t>
      </w:r>
      <w:r>
        <w:rPr>
          <w:rFonts w:cs="Arial"/>
        </w:rPr>
        <w:t>,</w:t>
      </w:r>
      <w:r w:rsidRPr="00D6707C">
        <w:rPr>
          <w:rFonts w:cs="Arial"/>
        </w:rPr>
        <w:t xml:space="preserve"> they will be referred to DHS for reduction to the individual rate</w:t>
      </w:r>
      <w:r>
        <w:rPr>
          <w:rFonts w:cs="Arial"/>
        </w:rPr>
        <w:t xml:space="preserve">. </w:t>
      </w:r>
    </w:p>
    <w:p w:rsidR="00F820EF" w:rsidRDefault="00F820EF" w:rsidP="00F84A56">
      <w:pPr>
        <w:overflowPunct/>
        <w:autoSpaceDE/>
        <w:autoSpaceDN/>
        <w:adjustRightInd/>
        <w:spacing w:line="300" w:lineRule="auto"/>
        <w:textAlignment w:val="auto"/>
        <w:rPr>
          <w:rFonts w:cs="Arial"/>
        </w:rPr>
      </w:pPr>
      <w:r>
        <w:rPr>
          <w:rFonts w:cs="Arial"/>
        </w:rPr>
        <w:br w:type="page"/>
      </w:r>
    </w:p>
    <w:p w:rsidR="00893F75" w:rsidRPr="00FB1CBD" w:rsidRDefault="0065331C" w:rsidP="00F84A56">
      <w:pPr>
        <w:tabs>
          <w:tab w:val="left" w:pos="90"/>
        </w:tabs>
        <w:spacing w:line="300" w:lineRule="auto"/>
        <w:contextualSpacing/>
        <w:jc w:val="both"/>
        <w:rPr>
          <w:rFonts w:cs="Arial"/>
          <w:b/>
          <w:smallCaps/>
          <w:sz w:val="28"/>
          <w:u w:val="single"/>
        </w:rPr>
      </w:pPr>
      <w:r w:rsidRPr="00FB1CBD">
        <w:rPr>
          <w:rFonts w:cs="Arial"/>
          <w:b/>
          <w:smallCaps/>
          <w:sz w:val="28"/>
          <w:u w:val="single"/>
        </w:rPr>
        <w:lastRenderedPageBreak/>
        <w:t>Finding</w:t>
      </w:r>
    </w:p>
    <w:p w:rsidR="00893F75" w:rsidRPr="00FB1CBD" w:rsidRDefault="00893F75" w:rsidP="00F84A56">
      <w:pPr>
        <w:pStyle w:val="A4-FindingTitle"/>
      </w:pPr>
      <w:r w:rsidRPr="00FB1CBD">
        <w:t>Criminal History Checks</w:t>
      </w:r>
    </w:p>
    <w:p w:rsidR="00893F75" w:rsidRPr="00FB1CBD" w:rsidRDefault="00893F75" w:rsidP="00F84A56">
      <w:pPr>
        <w:spacing w:line="300" w:lineRule="auto"/>
        <w:ind w:left="504"/>
        <w:jc w:val="both"/>
        <w:rPr>
          <w:rFonts w:cs="Arial"/>
        </w:rPr>
      </w:pPr>
      <w:r w:rsidRPr="00FB1CBD">
        <w:rPr>
          <w:rFonts w:cs="Arial"/>
        </w:rPr>
        <w:t xml:space="preserve">DCH and DHS should consider conducting criminal history checks for individual providers and requiring </w:t>
      </w:r>
      <w:r w:rsidR="00683D23">
        <w:rPr>
          <w:rFonts w:cs="Arial"/>
        </w:rPr>
        <w:t xml:space="preserve">agency </w:t>
      </w:r>
      <w:r w:rsidRPr="00FB1CBD">
        <w:rPr>
          <w:rFonts w:cs="Arial"/>
        </w:rPr>
        <w:t>provider</w:t>
      </w:r>
      <w:r w:rsidR="00683D23">
        <w:rPr>
          <w:rFonts w:cs="Arial"/>
        </w:rPr>
        <w:t>s</w:t>
      </w:r>
      <w:r w:rsidRPr="00FB1CBD">
        <w:rPr>
          <w:rFonts w:cs="Arial"/>
        </w:rPr>
        <w:t xml:space="preserve"> to conduct criminal history checks for their employees and/or </w:t>
      </w:r>
      <w:r w:rsidR="00683D23">
        <w:rPr>
          <w:rFonts w:cs="Arial"/>
        </w:rPr>
        <w:t>sub</w:t>
      </w:r>
      <w:r w:rsidRPr="00FB1CBD">
        <w:rPr>
          <w:rFonts w:cs="Arial"/>
        </w:rPr>
        <w:t xml:space="preserve">contractors.  </w:t>
      </w:r>
      <w:r w:rsidR="00801729" w:rsidRPr="00FB1CBD">
        <w:rPr>
          <w:rFonts w:cs="Arial"/>
        </w:rPr>
        <w:t xml:space="preserve">By not conducting </w:t>
      </w:r>
      <w:r w:rsidRPr="00FB1CBD">
        <w:rPr>
          <w:rFonts w:cs="Arial"/>
        </w:rPr>
        <w:t>criminal history checks</w:t>
      </w:r>
      <w:r w:rsidR="00801729" w:rsidRPr="00FB1CBD">
        <w:rPr>
          <w:rFonts w:cs="Arial"/>
        </w:rPr>
        <w:t xml:space="preserve">, </w:t>
      </w:r>
      <w:r w:rsidR="008D29DF" w:rsidRPr="00FB1CBD">
        <w:rPr>
          <w:rFonts w:cs="Arial"/>
        </w:rPr>
        <w:t xml:space="preserve">DCH and DHS may be unaware of </w:t>
      </w:r>
      <w:r w:rsidR="00801729" w:rsidRPr="00FB1CBD">
        <w:rPr>
          <w:rFonts w:cs="Arial"/>
        </w:rPr>
        <w:t>unsuitable</w:t>
      </w:r>
      <w:r w:rsidRPr="00FB1CBD">
        <w:rPr>
          <w:rFonts w:cs="Arial"/>
        </w:rPr>
        <w:t xml:space="preserve"> individuals </w:t>
      </w:r>
      <w:r w:rsidR="00683D23">
        <w:rPr>
          <w:rFonts w:cs="Arial"/>
        </w:rPr>
        <w:t xml:space="preserve">who </w:t>
      </w:r>
      <w:r w:rsidR="00801729" w:rsidRPr="00FB1CBD">
        <w:rPr>
          <w:rFonts w:cs="Arial"/>
        </w:rPr>
        <w:t xml:space="preserve">may </w:t>
      </w:r>
      <w:r w:rsidR="008D29DF" w:rsidRPr="00FB1CBD">
        <w:rPr>
          <w:rFonts w:cs="Arial"/>
        </w:rPr>
        <w:t>pose harm to t</w:t>
      </w:r>
      <w:r w:rsidR="00B12F11">
        <w:rPr>
          <w:rFonts w:cs="Arial"/>
        </w:rPr>
        <w:t>heir</w:t>
      </w:r>
      <w:r w:rsidR="008D29DF" w:rsidRPr="00FB1CBD">
        <w:rPr>
          <w:rFonts w:cs="Arial"/>
        </w:rPr>
        <w:t xml:space="preserve"> </w:t>
      </w:r>
      <w:r w:rsidRPr="00FB1CBD">
        <w:rPr>
          <w:rFonts w:cs="Arial"/>
        </w:rPr>
        <w:t>vulnerable client</w:t>
      </w:r>
      <w:r w:rsidR="008D29DF" w:rsidRPr="00FB1CBD">
        <w:rPr>
          <w:rFonts w:cs="Arial"/>
        </w:rPr>
        <w:t xml:space="preserve"> population.</w:t>
      </w:r>
      <w:r w:rsidRPr="00FB1CBD">
        <w:rPr>
          <w:rFonts w:cs="Arial"/>
        </w:rPr>
        <w:t xml:space="preserve">  </w:t>
      </w:r>
    </w:p>
    <w:p w:rsidR="00893F75" w:rsidRPr="00FB1CBD" w:rsidRDefault="00893F75" w:rsidP="00F84A56">
      <w:pPr>
        <w:spacing w:line="300" w:lineRule="auto"/>
        <w:ind w:left="504"/>
        <w:jc w:val="both"/>
        <w:rPr>
          <w:rFonts w:cs="Arial"/>
        </w:rPr>
      </w:pPr>
    </w:p>
    <w:p w:rsidR="00893F75" w:rsidRPr="00FB1CBD" w:rsidRDefault="00801729" w:rsidP="00F84A56">
      <w:pPr>
        <w:tabs>
          <w:tab w:val="left" w:pos="5040"/>
        </w:tabs>
        <w:spacing w:line="300" w:lineRule="auto"/>
        <w:ind w:left="504"/>
        <w:jc w:val="both"/>
        <w:rPr>
          <w:rFonts w:cs="Arial"/>
        </w:rPr>
      </w:pPr>
      <w:r w:rsidRPr="00FB1CBD">
        <w:rPr>
          <w:rFonts w:cs="Arial"/>
        </w:rPr>
        <w:t xml:space="preserve">ASM 100 states that part of </w:t>
      </w:r>
      <w:r w:rsidR="00893F75" w:rsidRPr="00FB1CBD">
        <w:rPr>
          <w:rFonts w:cs="Arial"/>
        </w:rPr>
        <w:t>DCH</w:t>
      </w:r>
      <w:r w:rsidR="00F305E9">
        <w:rPr>
          <w:rFonts w:cs="Arial"/>
        </w:rPr>
        <w:t>'</w:t>
      </w:r>
      <w:r w:rsidR="00893F75" w:rsidRPr="00FB1CBD">
        <w:rPr>
          <w:rFonts w:cs="Arial"/>
        </w:rPr>
        <w:t xml:space="preserve">s </w:t>
      </w:r>
      <w:r w:rsidRPr="00FB1CBD">
        <w:rPr>
          <w:rFonts w:cs="Arial"/>
        </w:rPr>
        <w:t xml:space="preserve">mission </w:t>
      </w:r>
      <w:r w:rsidR="00893F75" w:rsidRPr="00FB1CBD">
        <w:rPr>
          <w:rFonts w:cs="Arial"/>
        </w:rPr>
        <w:t xml:space="preserve">for </w:t>
      </w:r>
      <w:r w:rsidR="00A707F8">
        <w:rPr>
          <w:rFonts w:cs="Arial"/>
        </w:rPr>
        <w:t>HHP</w:t>
      </w:r>
      <w:r w:rsidR="00683D23">
        <w:rPr>
          <w:rFonts w:cs="Arial"/>
        </w:rPr>
        <w:t xml:space="preserve"> </w:t>
      </w:r>
      <w:r w:rsidR="00893F75" w:rsidRPr="00FB1CBD">
        <w:rPr>
          <w:rFonts w:cs="Arial"/>
        </w:rPr>
        <w:t xml:space="preserve">is to ensure that clients </w:t>
      </w:r>
      <w:r w:rsidRPr="00FB1CBD">
        <w:rPr>
          <w:rFonts w:cs="Arial"/>
        </w:rPr>
        <w:t xml:space="preserve">live safely in the most independent setting of their choice. </w:t>
      </w:r>
      <w:r w:rsidR="00893F75" w:rsidRPr="00FB1CBD">
        <w:rPr>
          <w:rFonts w:cs="Arial"/>
        </w:rPr>
        <w:t xml:space="preserve"> </w:t>
      </w:r>
      <w:r w:rsidRPr="00FB1CBD">
        <w:rPr>
          <w:rFonts w:cs="Arial"/>
        </w:rPr>
        <w:t>Although DCH is not specifically required by State or federal laws to conduct criminal history checks, t</w:t>
      </w:r>
      <w:r w:rsidR="00893F75" w:rsidRPr="00FB1CBD">
        <w:rPr>
          <w:rFonts w:cs="Arial"/>
        </w:rPr>
        <w:t>he use of criminal history che</w:t>
      </w:r>
      <w:r w:rsidR="00683D23">
        <w:rPr>
          <w:rFonts w:cs="Arial"/>
        </w:rPr>
        <w:t>cks is used throughout the long-</w:t>
      </w:r>
      <w:r w:rsidR="00893F75" w:rsidRPr="00FB1CBD">
        <w:rPr>
          <w:rFonts w:cs="Arial"/>
        </w:rPr>
        <w:t xml:space="preserve">term care industry and by DCH and DHS in their other programs serving vulnerable clients to help ensure the safety of the individuals.  Of particular concern are providers who are not related to the clients they serve because the clients are less likely </w:t>
      </w:r>
      <w:r w:rsidR="007016AE" w:rsidRPr="00FB1CBD">
        <w:rPr>
          <w:rFonts w:cs="Arial"/>
        </w:rPr>
        <w:t>to be</w:t>
      </w:r>
      <w:r w:rsidR="00893F75" w:rsidRPr="00FB1CBD">
        <w:rPr>
          <w:rFonts w:cs="Arial"/>
        </w:rPr>
        <w:t xml:space="preserve"> aware of the providers</w:t>
      </w:r>
      <w:r w:rsidR="00F305E9">
        <w:rPr>
          <w:rFonts w:cs="Arial"/>
        </w:rPr>
        <w:t>'</w:t>
      </w:r>
      <w:r w:rsidR="00893F75" w:rsidRPr="00FB1CBD">
        <w:rPr>
          <w:rFonts w:cs="Arial"/>
        </w:rPr>
        <w:t xml:space="preserve"> criminal past. </w:t>
      </w:r>
    </w:p>
    <w:p w:rsidR="00893F75" w:rsidRPr="00FB1CBD" w:rsidRDefault="00893F75" w:rsidP="00F84A56">
      <w:pPr>
        <w:spacing w:line="300" w:lineRule="auto"/>
        <w:ind w:left="504"/>
        <w:jc w:val="both"/>
        <w:rPr>
          <w:rFonts w:cs="Arial"/>
          <w:szCs w:val="20"/>
        </w:rPr>
      </w:pPr>
    </w:p>
    <w:p w:rsidR="00893F75" w:rsidRPr="00FB1CBD" w:rsidRDefault="00893F75" w:rsidP="00F84A56">
      <w:pPr>
        <w:spacing w:line="300" w:lineRule="auto"/>
        <w:ind w:left="504"/>
        <w:jc w:val="both"/>
        <w:rPr>
          <w:rFonts w:cs="Arial"/>
          <w:szCs w:val="20"/>
        </w:rPr>
      </w:pPr>
      <w:r w:rsidRPr="00FB1CBD">
        <w:rPr>
          <w:rFonts w:cs="Arial"/>
          <w:szCs w:val="20"/>
        </w:rPr>
        <w:t xml:space="preserve">To determine the number of convicted felons employed as individual providers, we </w:t>
      </w:r>
      <w:r w:rsidR="0014364F">
        <w:rPr>
          <w:rFonts w:cs="Arial"/>
          <w:szCs w:val="20"/>
        </w:rPr>
        <w:t xml:space="preserve">worked with the Michigan </w:t>
      </w:r>
      <w:r w:rsidR="00337C7C">
        <w:rPr>
          <w:rFonts w:cs="Arial"/>
          <w:szCs w:val="20"/>
        </w:rPr>
        <w:t xml:space="preserve">Department of </w:t>
      </w:r>
      <w:r w:rsidR="0014364F">
        <w:rPr>
          <w:rFonts w:cs="Arial"/>
          <w:szCs w:val="20"/>
        </w:rPr>
        <w:t>State Police to match</w:t>
      </w:r>
      <w:r w:rsidRPr="00FB1CBD">
        <w:rPr>
          <w:rFonts w:cs="Arial"/>
          <w:szCs w:val="20"/>
        </w:rPr>
        <w:t xml:space="preserve"> the name, date of birth</w:t>
      </w:r>
      <w:r w:rsidR="00B12F11">
        <w:rPr>
          <w:rFonts w:cs="Arial"/>
          <w:szCs w:val="20"/>
        </w:rPr>
        <w:t>,</w:t>
      </w:r>
      <w:r w:rsidRPr="00FB1CBD">
        <w:rPr>
          <w:rFonts w:cs="Arial"/>
          <w:szCs w:val="20"/>
        </w:rPr>
        <w:t xml:space="preserve"> and social security number of individual providers who delivered services in February 2013 against</w:t>
      </w:r>
      <w:r w:rsidR="0014364F">
        <w:rPr>
          <w:rFonts w:cs="Arial"/>
          <w:szCs w:val="20"/>
        </w:rPr>
        <w:t xml:space="preserve"> the Criminal History Record</w:t>
      </w:r>
      <w:r w:rsidRPr="00FB1CBD">
        <w:rPr>
          <w:rFonts w:cs="Arial"/>
          <w:szCs w:val="20"/>
        </w:rPr>
        <w:t>.  We identified 3,786 providers with felony convictions prior to January 1, 2013, including many that could indicate an increased risk to clients.</w:t>
      </w:r>
      <w:r w:rsidR="00757AE1" w:rsidRPr="00FB1CBD">
        <w:rPr>
          <w:rFonts w:cs="Arial"/>
          <w:szCs w:val="20"/>
        </w:rPr>
        <w:t xml:space="preserve"> </w:t>
      </w:r>
      <w:r w:rsidRPr="00FB1CBD">
        <w:rPr>
          <w:rFonts w:cs="Arial"/>
          <w:szCs w:val="20"/>
        </w:rPr>
        <w:t xml:space="preserve"> This included, but was not limited to, 572 convictions for violent crimes ranging from assault to homicide</w:t>
      </w:r>
      <w:r w:rsidR="00683D23">
        <w:rPr>
          <w:rFonts w:cs="Arial"/>
          <w:szCs w:val="20"/>
        </w:rPr>
        <w:t>;</w:t>
      </w:r>
      <w:r w:rsidRPr="00FB1CBD">
        <w:rPr>
          <w:rFonts w:cs="Arial"/>
          <w:szCs w:val="20"/>
        </w:rPr>
        <w:t xml:space="preserve"> 285 con</w:t>
      </w:r>
      <w:r w:rsidR="00683D23">
        <w:rPr>
          <w:rFonts w:cs="Arial"/>
          <w:szCs w:val="20"/>
        </w:rPr>
        <w:t>victions for sex-related crimes;</w:t>
      </w:r>
      <w:r w:rsidR="002C0655">
        <w:rPr>
          <w:rFonts w:cs="Arial"/>
          <w:szCs w:val="20"/>
        </w:rPr>
        <w:t xml:space="preserve"> 1,148 </w:t>
      </w:r>
      <w:r w:rsidRPr="00FB1CBD">
        <w:rPr>
          <w:rFonts w:cs="Arial"/>
          <w:szCs w:val="20"/>
        </w:rPr>
        <w:t>convictions for financial crimes such as fraud, identity theft</w:t>
      </w:r>
      <w:r w:rsidR="00683D23">
        <w:rPr>
          <w:rFonts w:cs="Arial"/>
          <w:szCs w:val="20"/>
        </w:rPr>
        <w:t>,</w:t>
      </w:r>
      <w:r w:rsidRPr="00FB1CBD">
        <w:rPr>
          <w:rFonts w:cs="Arial"/>
          <w:szCs w:val="20"/>
        </w:rPr>
        <w:t xml:space="preserve"> and embezzlement</w:t>
      </w:r>
      <w:r w:rsidR="00683D23">
        <w:rPr>
          <w:rFonts w:cs="Arial"/>
          <w:szCs w:val="20"/>
        </w:rPr>
        <w:t>;</w:t>
      </w:r>
      <w:r w:rsidRPr="00FB1CBD">
        <w:rPr>
          <w:rFonts w:cs="Arial"/>
          <w:szCs w:val="20"/>
        </w:rPr>
        <w:t xml:space="preserve"> and 2,020 convictions for drug related offenses.</w:t>
      </w:r>
      <w:r w:rsidR="00757AE1" w:rsidRPr="00FB1CBD">
        <w:rPr>
          <w:rFonts w:cs="Arial"/>
          <w:szCs w:val="20"/>
        </w:rPr>
        <w:t xml:space="preserve"> </w:t>
      </w:r>
      <w:r w:rsidRPr="00FB1CBD">
        <w:rPr>
          <w:rFonts w:cs="Arial"/>
          <w:szCs w:val="20"/>
        </w:rPr>
        <w:t xml:space="preserve"> We could not readily determine how many of these providers were related to the clients they served.</w:t>
      </w:r>
    </w:p>
    <w:p w:rsidR="00F820EF" w:rsidRDefault="00F820EF" w:rsidP="00F84A56">
      <w:pPr>
        <w:overflowPunct/>
        <w:autoSpaceDE/>
        <w:autoSpaceDN/>
        <w:adjustRightInd/>
        <w:spacing w:line="300" w:lineRule="auto"/>
        <w:textAlignment w:val="auto"/>
        <w:rPr>
          <w:rFonts w:cs="Arial"/>
          <w:szCs w:val="20"/>
        </w:rPr>
      </w:pPr>
    </w:p>
    <w:p w:rsidR="00893F75" w:rsidRPr="00FB1CBD" w:rsidRDefault="00893F75" w:rsidP="00F84A56">
      <w:pPr>
        <w:spacing w:line="300" w:lineRule="auto"/>
        <w:ind w:left="504"/>
        <w:jc w:val="both"/>
        <w:rPr>
          <w:rFonts w:cs="Arial"/>
          <w:bCs/>
        </w:rPr>
      </w:pPr>
      <w:r w:rsidRPr="00FB1CBD">
        <w:rPr>
          <w:rFonts w:cs="Arial"/>
          <w:bCs/>
        </w:rPr>
        <w:t xml:space="preserve">DCH and DHS informed us that they have been exploring the use of criminal history checks for </w:t>
      </w:r>
      <w:r w:rsidR="00A707F8">
        <w:rPr>
          <w:rFonts w:cs="Arial"/>
          <w:bCs/>
        </w:rPr>
        <w:t>HHP</w:t>
      </w:r>
      <w:r w:rsidR="00683D23">
        <w:rPr>
          <w:rFonts w:cs="Arial"/>
          <w:bCs/>
        </w:rPr>
        <w:t xml:space="preserve"> </w:t>
      </w:r>
      <w:r w:rsidRPr="00FB1CBD">
        <w:rPr>
          <w:rFonts w:cs="Arial"/>
          <w:bCs/>
        </w:rPr>
        <w:t>for several years</w:t>
      </w:r>
      <w:r w:rsidR="00683D23">
        <w:rPr>
          <w:rFonts w:cs="Arial"/>
          <w:bCs/>
        </w:rPr>
        <w:t>,</w:t>
      </w:r>
      <w:r w:rsidRPr="00FB1CBD">
        <w:rPr>
          <w:rFonts w:cs="Arial"/>
          <w:bCs/>
        </w:rPr>
        <w:t xml:space="preserve"> but </w:t>
      </w:r>
      <w:r w:rsidR="00CE715A" w:rsidRPr="00FB1CBD">
        <w:rPr>
          <w:rFonts w:cs="Arial"/>
          <w:bCs/>
        </w:rPr>
        <w:t xml:space="preserve">the </w:t>
      </w:r>
      <w:r w:rsidRPr="00FB1CBD">
        <w:rPr>
          <w:rFonts w:cs="Arial"/>
          <w:bCs/>
        </w:rPr>
        <w:t>clients</w:t>
      </w:r>
      <w:r w:rsidR="00F305E9">
        <w:rPr>
          <w:rFonts w:cs="Arial"/>
          <w:bCs/>
        </w:rPr>
        <w:t>'</w:t>
      </w:r>
      <w:r w:rsidRPr="00FB1CBD">
        <w:rPr>
          <w:rFonts w:cs="Arial"/>
          <w:bCs/>
        </w:rPr>
        <w:t xml:space="preserve"> ability to hire relatives poses a unique </w:t>
      </w:r>
      <w:r w:rsidR="007016AE" w:rsidRPr="00FB1CBD">
        <w:rPr>
          <w:rFonts w:cs="Arial"/>
          <w:bCs/>
        </w:rPr>
        <w:t>circumstance in</w:t>
      </w:r>
      <w:r w:rsidRPr="00FB1CBD">
        <w:rPr>
          <w:rFonts w:cs="Arial"/>
          <w:bCs/>
        </w:rPr>
        <w:t xml:space="preserve"> that clients may be fully aware and accepting of their relatives</w:t>
      </w:r>
      <w:r w:rsidR="00F305E9">
        <w:rPr>
          <w:rFonts w:cs="Arial"/>
          <w:bCs/>
        </w:rPr>
        <w:t>'</w:t>
      </w:r>
      <w:r w:rsidRPr="00FB1CBD">
        <w:rPr>
          <w:rFonts w:cs="Arial"/>
          <w:bCs/>
        </w:rPr>
        <w:t xml:space="preserve"> criminal history.  </w:t>
      </w:r>
      <w:r w:rsidR="00683D23">
        <w:rPr>
          <w:rFonts w:cs="Arial"/>
          <w:bCs/>
        </w:rPr>
        <w:t xml:space="preserve">Although </w:t>
      </w:r>
      <w:r w:rsidRPr="00FB1CBD">
        <w:rPr>
          <w:rFonts w:cs="Arial"/>
        </w:rPr>
        <w:t xml:space="preserve">we concur that client choice should be encouraged and honored, it should be made with full disclosure, balanced with client </w:t>
      </w:r>
      <w:r w:rsidRPr="00FB1CBD">
        <w:rPr>
          <w:rFonts w:cs="Arial"/>
          <w:bCs/>
        </w:rPr>
        <w:t>safety and security</w:t>
      </w:r>
      <w:r w:rsidR="00683D23">
        <w:rPr>
          <w:rFonts w:cs="Arial"/>
          <w:bCs/>
        </w:rPr>
        <w:t>,</w:t>
      </w:r>
      <w:r w:rsidRPr="00FB1CBD">
        <w:rPr>
          <w:rFonts w:cs="Arial"/>
          <w:bCs/>
        </w:rPr>
        <w:t xml:space="preserve"> and consideration of the potential liability to the State.  </w:t>
      </w:r>
    </w:p>
    <w:p w:rsidR="002C0655" w:rsidRDefault="002C0655">
      <w:pPr>
        <w:overflowPunct/>
        <w:autoSpaceDE/>
        <w:autoSpaceDN/>
        <w:adjustRightInd/>
        <w:textAlignment w:val="auto"/>
        <w:rPr>
          <w:rFonts w:cs="Arial"/>
          <w:bCs/>
        </w:rPr>
      </w:pPr>
      <w:r>
        <w:rPr>
          <w:rFonts w:cs="Arial"/>
          <w:bCs/>
        </w:rPr>
        <w:br w:type="page"/>
      </w:r>
    </w:p>
    <w:p w:rsidR="00893F75" w:rsidRPr="00FB1CBD" w:rsidRDefault="00757AE1" w:rsidP="00F84A56">
      <w:pPr>
        <w:spacing w:line="300" w:lineRule="auto"/>
        <w:jc w:val="both"/>
        <w:rPr>
          <w:rFonts w:cs="Arial"/>
          <w:b/>
          <w:smallCaps/>
          <w:sz w:val="28"/>
          <w:u w:val="single"/>
        </w:rPr>
      </w:pPr>
      <w:r w:rsidRPr="00FB1CBD">
        <w:rPr>
          <w:rFonts w:cs="Arial"/>
          <w:b/>
          <w:smallCaps/>
          <w:sz w:val="28"/>
          <w:u w:val="single"/>
        </w:rPr>
        <w:lastRenderedPageBreak/>
        <w:t>Recommendation</w:t>
      </w:r>
    </w:p>
    <w:p w:rsidR="00893F75" w:rsidRPr="00FB1CBD" w:rsidRDefault="00893F75" w:rsidP="00F84A56">
      <w:pPr>
        <w:spacing w:line="300" w:lineRule="auto"/>
        <w:ind w:left="504"/>
        <w:jc w:val="both"/>
        <w:rPr>
          <w:rFonts w:cs="Arial"/>
        </w:rPr>
      </w:pPr>
      <w:r w:rsidRPr="00FB1CBD">
        <w:rPr>
          <w:rFonts w:cs="Arial"/>
        </w:rPr>
        <w:t xml:space="preserve">We recommend that DCH and DHS consider conducting criminal history checks for individual providers and requiring </w:t>
      </w:r>
      <w:r w:rsidR="00683D23">
        <w:rPr>
          <w:rFonts w:cs="Arial"/>
        </w:rPr>
        <w:t>agency</w:t>
      </w:r>
      <w:r w:rsidR="00683D23" w:rsidRPr="00FB1CBD">
        <w:rPr>
          <w:rFonts w:cs="Arial"/>
        </w:rPr>
        <w:t xml:space="preserve"> </w:t>
      </w:r>
      <w:r w:rsidRPr="00FB1CBD">
        <w:rPr>
          <w:rFonts w:cs="Arial"/>
        </w:rPr>
        <w:t>provider</w:t>
      </w:r>
      <w:r w:rsidR="00683D23">
        <w:rPr>
          <w:rFonts w:cs="Arial"/>
        </w:rPr>
        <w:t xml:space="preserve">s </w:t>
      </w:r>
      <w:r w:rsidRPr="00FB1CBD">
        <w:rPr>
          <w:rFonts w:cs="Arial"/>
        </w:rPr>
        <w:t xml:space="preserve">to conduct criminal history checks for their employees and/or </w:t>
      </w:r>
      <w:r w:rsidR="00683D23">
        <w:rPr>
          <w:rFonts w:cs="Arial"/>
        </w:rPr>
        <w:t>sub</w:t>
      </w:r>
      <w:r w:rsidRPr="00FB1CBD">
        <w:rPr>
          <w:rFonts w:cs="Arial"/>
        </w:rPr>
        <w:t>contractors</w:t>
      </w:r>
      <w:r w:rsidR="007016AE" w:rsidRPr="00FB1CBD">
        <w:rPr>
          <w:rFonts w:cs="Arial"/>
        </w:rPr>
        <w:t>.</w:t>
      </w:r>
      <w:r w:rsidRPr="00FB1CBD">
        <w:rPr>
          <w:rFonts w:cs="Arial"/>
        </w:rPr>
        <w:t xml:space="preserve">   </w:t>
      </w:r>
    </w:p>
    <w:p w:rsidR="00893F75" w:rsidRPr="00FB1CBD" w:rsidRDefault="00893F75" w:rsidP="00F84A56">
      <w:pPr>
        <w:spacing w:line="300" w:lineRule="auto"/>
        <w:jc w:val="both"/>
        <w:rPr>
          <w:rFonts w:cs="Arial"/>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2C0655" w:rsidRPr="00D6707C" w:rsidRDefault="002C0655" w:rsidP="002C0655">
      <w:pPr>
        <w:spacing w:line="300" w:lineRule="auto"/>
        <w:ind w:left="504"/>
        <w:jc w:val="both"/>
        <w:rPr>
          <w:rFonts w:cs="Arial"/>
        </w:rPr>
      </w:pPr>
      <w:r w:rsidRPr="00D6707C">
        <w:rPr>
          <w:rFonts w:cs="Arial"/>
        </w:rPr>
        <w:t>DCH and DHS agree that they should be conducting criminal history background checks for individual providers and agency providers</w:t>
      </w:r>
      <w:r w:rsidR="00F305E9">
        <w:rPr>
          <w:rFonts w:cs="Arial"/>
        </w:rPr>
        <w:t>'</w:t>
      </w:r>
      <w:r w:rsidRPr="00D6707C">
        <w:rPr>
          <w:rFonts w:cs="Arial"/>
        </w:rPr>
        <w:t xml:space="preserve"> employees/subcontractors.  </w:t>
      </w:r>
    </w:p>
    <w:p w:rsidR="002C0655" w:rsidRPr="00D6707C" w:rsidRDefault="002C0655" w:rsidP="002C0655">
      <w:pPr>
        <w:spacing w:line="300" w:lineRule="auto"/>
        <w:ind w:left="504"/>
        <w:jc w:val="both"/>
        <w:rPr>
          <w:rFonts w:cs="Arial"/>
        </w:rPr>
      </w:pPr>
    </w:p>
    <w:p w:rsidR="002C0655" w:rsidRPr="00D6707C" w:rsidRDefault="002C0655" w:rsidP="002C0655">
      <w:pPr>
        <w:spacing w:line="300" w:lineRule="auto"/>
        <w:ind w:left="504"/>
        <w:jc w:val="both"/>
        <w:rPr>
          <w:rFonts w:cs="Arial"/>
        </w:rPr>
      </w:pPr>
      <w:r w:rsidRPr="00D6707C">
        <w:rPr>
          <w:rFonts w:cs="Arial"/>
        </w:rPr>
        <w:t xml:space="preserve">DCH and DHS </w:t>
      </w:r>
      <w:r>
        <w:rPr>
          <w:rFonts w:cs="Arial"/>
        </w:rPr>
        <w:t xml:space="preserve">informed us that they </w:t>
      </w:r>
      <w:r w:rsidRPr="00D6707C">
        <w:rPr>
          <w:rFonts w:cs="Arial"/>
        </w:rPr>
        <w:t>have reviewed all federal/state regulations relating to criminal history background checks and have developed a criminal history background check policy.  The draft policy is under review by both departments.  When the review process is complete</w:t>
      </w:r>
      <w:r>
        <w:rPr>
          <w:rFonts w:cs="Arial"/>
        </w:rPr>
        <w:t>,</w:t>
      </w:r>
      <w:r w:rsidRPr="00D6707C">
        <w:rPr>
          <w:rFonts w:cs="Arial"/>
        </w:rPr>
        <w:t xml:space="preserve"> the policy will be promulgated and implemented.</w:t>
      </w:r>
    </w:p>
    <w:p w:rsidR="002C0655" w:rsidRPr="00D6707C" w:rsidRDefault="002C0655" w:rsidP="002C0655">
      <w:pPr>
        <w:spacing w:line="300" w:lineRule="auto"/>
        <w:ind w:left="504"/>
        <w:jc w:val="both"/>
        <w:rPr>
          <w:rFonts w:cs="Arial"/>
        </w:rPr>
      </w:pPr>
    </w:p>
    <w:p w:rsidR="002C0655" w:rsidRPr="00D6707C" w:rsidRDefault="002C0655" w:rsidP="002C0655">
      <w:pPr>
        <w:spacing w:line="300" w:lineRule="auto"/>
        <w:ind w:left="504"/>
        <w:jc w:val="both"/>
        <w:rPr>
          <w:rFonts w:cs="Arial"/>
        </w:rPr>
      </w:pPr>
      <w:r w:rsidRPr="009B7B22">
        <w:rPr>
          <w:rFonts w:cs="Arial"/>
        </w:rPr>
        <w:t xml:space="preserve">DCH and DHS </w:t>
      </w:r>
      <w:r>
        <w:rPr>
          <w:rFonts w:cs="Arial"/>
        </w:rPr>
        <w:t xml:space="preserve">indicated that they </w:t>
      </w:r>
      <w:r w:rsidRPr="009B7B22">
        <w:rPr>
          <w:rFonts w:cs="Arial"/>
        </w:rPr>
        <w:t>will also seek legislative solutions regarding other criminal convictions that potentially could warrant disqualification as a provider.</w:t>
      </w:r>
    </w:p>
    <w:p w:rsidR="002C0655" w:rsidRPr="00D6707C" w:rsidRDefault="002C0655" w:rsidP="002C0655">
      <w:pPr>
        <w:spacing w:line="300" w:lineRule="auto"/>
        <w:ind w:left="504"/>
        <w:jc w:val="both"/>
        <w:rPr>
          <w:rFonts w:cs="Arial"/>
        </w:rPr>
      </w:pPr>
    </w:p>
    <w:p w:rsidR="002C0655" w:rsidRPr="00D6707C" w:rsidRDefault="002C0655" w:rsidP="002C0655">
      <w:pPr>
        <w:spacing w:line="300" w:lineRule="auto"/>
        <w:ind w:left="504"/>
        <w:jc w:val="both"/>
        <w:rPr>
          <w:rFonts w:cs="Arial"/>
        </w:rPr>
      </w:pPr>
      <w:r>
        <w:rPr>
          <w:rFonts w:cs="Arial"/>
        </w:rPr>
        <w:t xml:space="preserve">Also, </w:t>
      </w:r>
      <w:r w:rsidRPr="00D6707C">
        <w:rPr>
          <w:rFonts w:cs="Arial"/>
        </w:rPr>
        <w:t xml:space="preserve">DHS </w:t>
      </w:r>
      <w:r>
        <w:rPr>
          <w:rFonts w:cs="Arial"/>
        </w:rPr>
        <w:t xml:space="preserve">informed us that it </w:t>
      </w:r>
      <w:r w:rsidRPr="00D6707C">
        <w:rPr>
          <w:rFonts w:cs="Arial"/>
        </w:rPr>
        <w:t>is reviewing the list of providers who in the audit process were identified to have criminal convictions.  DHS will assess the safety and well-being of the clients served by these providers.</w:t>
      </w:r>
    </w:p>
    <w:p w:rsidR="0097689D" w:rsidRDefault="0097689D" w:rsidP="00F84A56">
      <w:pPr>
        <w:tabs>
          <w:tab w:val="left" w:pos="0"/>
        </w:tabs>
        <w:spacing w:line="300" w:lineRule="auto"/>
        <w:ind w:left="504"/>
        <w:jc w:val="both"/>
        <w:rPr>
          <w:rFonts w:cs="Arial"/>
        </w:rPr>
      </w:pPr>
    </w:p>
    <w:p w:rsidR="0097689D" w:rsidRDefault="0097689D" w:rsidP="00F84A56">
      <w:pPr>
        <w:tabs>
          <w:tab w:val="left" w:pos="0"/>
        </w:tabs>
        <w:spacing w:line="300" w:lineRule="auto"/>
        <w:ind w:left="504"/>
        <w:jc w:val="both"/>
        <w:rPr>
          <w:rFonts w:cs="Arial"/>
        </w:rPr>
      </w:pPr>
    </w:p>
    <w:p w:rsidR="00893F75" w:rsidRPr="00FB1CBD" w:rsidRDefault="00F55887" w:rsidP="00F84A56">
      <w:pPr>
        <w:spacing w:line="300" w:lineRule="auto"/>
        <w:jc w:val="both"/>
        <w:rPr>
          <w:rFonts w:cs="Arial"/>
          <w:b/>
          <w:smallCaps/>
          <w:sz w:val="28"/>
          <w:u w:val="single"/>
        </w:rPr>
      </w:pPr>
      <w:r w:rsidRPr="00FB1CBD">
        <w:rPr>
          <w:rFonts w:cs="Arial"/>
          <w:b/>
          <w:smallCaps/>
          <w:sz w:val="28"/>
          <w:u w:val="single"/>
        </w:rPr>
        <w:t>Finding</w:t>
      </w:r>
    </w:p>
    <w:p w:rsidR="00893F75" w:rsidRPr="00FB1CBD" w:rsidRDefault="00893F75" w:rsidP="00F84A56">
      <w:pPr>
        <w:pStyle w:val="A4-FindingTitle"/>
      </w:pPr>
      <w:r w:rsidRPr="00FB1CBD">
        <w:t>Client Case File Review Exceptions</w:t>
      </w:r>
    </w:p>
    <w:p w:rsidR="00F14B5A" w:rsidRPr="00FB1CBD" w:rsidRDefault="00893F75" w:rsidP="00F84A56">
      <w:pPr>
        <w:spacing w:line="300" w:lineRule="auto"/>
        <w:ind w:left="504"/>
        <w:jc w:val="both"/>
        <w:rPr>
          <w:rFonts w:cs="Arial"/>
        </w:rPr>
      </w:pPr>
      <w:r w:rsidRPr="00FB1CBD">
        <w:rPr>
          <w:rFonts w:cs="Arial"/>
        </w:rPr>
        <w:t>DCH and DHS did not ensure that they made required client benefit reductions, timely obtained client certifications</w:t>
      </w:r>
      <w:r w:rsidR="003675B3">
        <w:rPr>
          <w:rFonts w:cs="Arial"/>
        </w:rPr>
        <w:t xml:space="preserve"> of </w:t>
      </w:r>
      <w:r w:rsidR="003675B3" w:rsidRPr="00FB1CBD">
        <w:rPr>
          <w:rFonts w:cs="Arial"/>
        </w:rPr>
        <w:t>medical</w:t>
      </w:r>
      <w:r w:rsidR="003675B3">
        <w:rPr>
          <w:rFonts w:cs="Arial"/>
        </w:rPr>
        <w:t xml:space="preserve"> need</w:t>
      </w:r>
      <w:r w:rsidRPr="00FB1CBD">
        <w:rPr>
          <w:rFonts w:cs="Arial"/>
        </w:rPr>
        <w:t xml:space="preserve">, </w:t>
      </w:r>
      <w:r w:rsidR="009E4712" w:rsidRPr="00FB1CBD">
        <w:rPr>
          <w:rFonts w:cs="Arial"/>
        </w:rPr>
        <w:t>timely notified clients of benefit approvals</w:t>
      </w:r>
      <w:r w:rsidR="00F628C9" w:rsidRPr="00FB1CBD">
        <w:rPr>
          <w:rFonts w:cs="Arial"/>
        </w:rPr>
        <w:t>,</w:t>
      </w:r>
      <w:r w:rsidR="009E4712" w:rsidRPr="00FB1CBD">
        <w:rPr>
          <w:rFonts w:cs="Arial"/>
        </w:rPr>
        <w:t xml:space="preserve"> </w:t>
      </w:r>
      <w:r w:rsidR="00F628C9" w:rsidRPr="00FB1CBD">
        <w:rPr>
          <w:rFonts w:cs="Arial"/>
        </w:rPr>
        <w:t xml:space="preserve">and </w:t>
      </w:r>
      <w:r w:rsidRPr="00FB1CBD">
        <w:rPr>
          <w:rFonts w:cs="Arial"/>
        </w:rPr>
        <w:t>maintained sufficient administrative case file documentation</w:t>
      </w:r>
      <w:r w:rsidR="00F628C9" w:rsidRPr="00FB1CBD">
        <w:rPr>
          <w:rFonts w:cs="Arial"/>
        </w:rPr>
        <w:t>.</w:t>
      </w:r>
      <w:r w:rsidRPr="00FB1CBD">
        <w:rPr>
          <w:rFonts w:cs="Arial"/>
        </w:rPr>
        <w:t xml:space="preserve"> </w:t>
      </w:r>
      <w:r w:rsidR="00F14B5A" w:rsidRPr="00FB1CBD">
        <w:rPr>
          <w:rFonts w:cs="Arial"/>
        </w:rPr>
        <w:t xml:space="preserve"> </w:t>
      </w:r>
      <w:r w:rsidRPr="00FB1CBD">
        <w:rPr>
          <w:rFonts w:cs="Arial"/>
        </w:rPr>
        <w:t>These deficiencies could potentially result in overpayments to providers, untimely services, and loss of federal funding for noncompliance with program requirements.</w:t>
      </w:r>
      <w:r w:rsidR="00F14B5A" w:rsidRPr="00FB1CBD">
        <w:rPr>
          <w:rFonts w:cs="Arial"/>
        </w:rPr>
        <w:t xml:space="preserve">  </w:t>
      </w:r>
    </w:p>
    <w:p w:rsidR="00F14B5A" w:rsidRPr="00FB1CBD" w:rsidRDefault="00F14B5A" w:rsidP="00F84A56">
      <w:pPr>
        <w:spacing w:line="300" w:lineRule="auto"/>
        <w:ind w:left="504"/>
        <w:jc w:val="both"/>
        <w:rPr>
          <w:rFonts w:cs="Arial"/>
        </w:rPr>
      </w:pPr>
    </w:p>
    <w:p w:rsidR="002C0655" w:rsidRDefault="00893F75" w:rsidP="00F84A56">
      <w:pPr>
        <w:spacing w:line="300" w:lineRule="auto"/>
        <w:ind w:left="504"/>
        <w:jc w:val="both"/>
      </w:pPr>
      <w:r w:rsidRPr="00FB1CBD">
        <w:rPr>
          <w:rFonts w:cs="Arial"/>
        </w:rPr>
        <w:t xml:space="preserve">We reviewed 154 randomly selected </w:t>
      </w:r>
      <w:r w:rsidR="00A707F8">
        <w:rPr>
          <w:rFonts w:cs="Arial"/>
        </w:rPr>
        <w:t>HHP</w:t>
      </w:r>
      <w:r w:rsidR="00683D23">
        <w:rPr>
          <w:rFonts w:cs="Arial"/>
        </w:rPr>
        <w:t xml:space="preserve"> </w:t>
      </w:r>
      <w:r w:rsidRPr="00FB1CBD">
        <w:rPr>
          <w:rFonts w:cs="Arial"/>
        </w:rPr>
        <w:t>cases from 9 selected counties</w:t>
      </w:r>
      <w:r w:rsidR="0044772B" w:rsidRPr="00FB1CBD">
        <w:rPr>
          <w:rFonts w:cs="Arial"/>
        </w:rPr>
        <w:t xml:space="preserve"> </w:t>
      </w:r>
      <w:r w:rsidR="00D21083" w:rsidRPr="00FB1CBD">
        <w:rPr>
          <w:rFonts w:cs="Arial"/>
        </w:rPr>
        <w:t xml:space="preserve">for the period October 1, 2010 through February 28, 2013 </w:t>
      </w:r>
      <w:r w:rsidR="0044772B" w:rsidRPr="00FB1CBD">
        <w:rPr>
          <w:rFonts w:cs="Arial"/>
        </w:rPr>
        <w:t xml:space="preserve">(see </w:t>
      </w:r>
      <w:r w:rsidR="00683D23">
        <w:rPr>
          <w:rFonts w:cs="Arial"/>
        </w:rPr>
        <w:t>s</w:t>
      </w:r>
      <w:r w:rsidR="0044772B" w:rsidRPr="00FB1CBD">
        <w:rPr>
          <w:rFonts w:cs="Arial"/>
        </w:rPr>
        <w:t xml:space="preserve">ampling </w:t>
      </w:r>
      <w:r w:rsidR="004D2C88">
        <w:rPr>
          <w:rFonts w:cs="Arial"/>
        </w:rPr>
        <w:t>m</w:t>
      </w:r>
      <w:r w:rsidR="004D2C88" w:rsidRPr="00FB1CBD">
        <w:rPr>
          <w:rFonts w:cs="Arial"/>
        </w:rPr>
        <w:t xml:space="preserve">ethodology </w:t>
      </w:r>
      <w:r w:rsidR="004D2C88" w:rsidRPr="00FB1CBD">
        <w:t>for</w:t>
      </w:r>
      <w:r w:rsidR="002C0655">
        <w:t xml:space="preserve"> </w:t>
      </w:r>
      <w:r w:rsidR="002C0655">
        <w:br/>
      </w:r>
    </w:p>
    <w:p w:rsidR="002C0655" w:rsidRDefault="002C0655">
      <w:pPr>
        <w:overflowPunct/>
        <w:autoSpaceDE/>
        <w:autoSpaceDN/>
        <w:adjustRightInd/>
        <w:textAlignment w:val="auto"/>
      </w:pPr>
      <w:r>
        <w:br w:type="page"/>
      </w:r>
    </w:p>
    <w:p w:rsidR="00893F75" w:rsidRPr="00FB1CBD" w:rsidRDefault="00CE715A" w:rsidP="00F84A56">
      <w:pPr>
        <w:spacing w:line="300" w:lineRule="auto"/>
        <w:ind w:left="504"/>
        <w:jc w:val="both"/>
        <w:rPr>
          <w:rFonts w:cs="Arial"/>
        </w:rPr>
      </w:pPr>
      <w:r w:rsidRPr="00FB1CBD">
        <w:lastRenderedPageBreak/>
        <w:t xml:space="preserve">review of provider </w:t>
      </w:r>
      <w:r w:rsidR="00683D23">
        <w:t xml:space="preserve">service </w:t>
      </w:r>
      <w:r w:rsidRPr="00FB1CBD">
        <w:t>logs or invoices, required client and provider</w:t>
      </w:r>
      <w:r w:rsidR="00683D23">
        <w:t xml:space="preserve"> contacts</w:t>
      </w:r>
      <w:r w:rsidRPr="00FB1CBD">
        <w:t xml:space="preserve">, </w:t>
      </w:r>
      <w:r w:rsidR="00D74D9C">
        <w:t xml:space="preserve">client </w:t>
      </w:r>
      <w:r w:rsidRPr="00FB1CBD">
        <w:t>case files, and referral of suspected client and provider fraud</w:t>
      </w:r>
      <w:r w:rsidR="00D74D9C">
        <w:t>s</w:t>
      </w:r>
      <w:r w:rsidR="0044772B" w:rsidRPr="00FB1CBD">
        <w:rPr>
          <w:rFonts w:cs="Arial"/>
        </w:rPr>
        <w:t>)</w:t>
      </w:r>
      <w:r w:rsidR="00893F75" w:rsidRPr="00FB1CBD">
        <w:rPr>
          <w:rFonts w:cs="Arial"/>
        </w:rPr>
        <w:t>.</w:t>
      </w:r>
      <w:r w:rsidR="00F14B5A" w:rsidRPr="00FB1CBD">
        <w:rPr>
          <w:rFonts w:cs="Arial"/>
        </w:rPr>
        <w:t xml:space="preserve"> </w:t>
      </w:r>
      <w:r w:rsidR="00893F75" w:rsidRPr="00FB1CBD">
        <w:rPr>
          <w:rFonts w:cs="Arial"/>
        </w:rPr>
        <w:t xml:space="preserve"> We noted: </w:t>
      </w:r>
    </w:p>
    <w:p w:rsidR="00F55887" w:rsidRPr="00FB1CBD" w:rsidRDefault="00F55887" w:rsidP="00F84A56">
      <w:pPr>
        <w:spacing w:line="300" w:lineRule="auto"/>
        <w:ind w:left="504"/>
        <w:jc w:val="both"/>
        <w:rPr>
          <w:rFonts w:cs="Arial"/>
        </w:rPr>
      </w:pPr>
    </w:p>
    <w:p w:rsidR="00893F75" w:rsidRPr="00FB1CBD" w:rsidRDefault="00893F75" w:rsidP="00027935">
      <w:pPr>
        <w:numPr>
          <w:ilvl w:val="0"/>
          <w:numId w:val="19"/>
        </w:numPr>
        <w:overflowPunct/>
        <w:autoSpaceDE/>
        <w:autoSpaceDN/>
        <w:adjustRightInd/>
        <w:spacing w:line="300" w:lineRule="auto"/>
        <w:ind w:left="1008" w:hanging="504"/>
        <w:contextualSpacing/>
        <w:jc w:val="both"/>
        <w:textAlignment w:val="auto"/>
        <w:rPr>
          <w:rFonts w:cs="Arial"/>
        </w:rPr>
      </w:pPr>
      <w:r w:rsidRPr="00FB1CBD">
        <w:rPr>
          <w:rFonts w:cs="Arial"/>
        </w:rPr>
        <w:t xml:space="preserve">ASWs did not reduce the number of hours authorized for </w:t>
      </w:r>
      <w:r w:rsidR="00D74D9C">
        <w:rPr>
          <w:rFonts w:cs="Arial"/>
        </w:rPr>
        <w:t>i</w:t>
      </w:r>
      <w:r w:rsidRPr="00FB1CBD">
        <w:rPr>
          <w:rFonts w:cs="Arial"/>
        </w:rPr>
        <w:t xml:space="preserve">nstrumental </w:t>
      </w:r>
      <w:r w:rsidR="00D74D9C">
        <w:rPr>
          <w:rFonts w:cs="Arial"/>
        </w:rPr>
        <w:t>a</w:t>
      </w:r>
      <w:r w:rsidRPr="00FB1CBD">
        <w:rPr>
          <w:rFonts w:cs="Arial"/>
        </w:rPr>
        <w:t xml:space="preserve">ctivities of </w:t>
      </w:r>
      <w:r w:rsidR="00D74D9C">
        <w:rPr>
          <w:rFonts w:cs="Arial"/>
        </w:rPr>
        <w:t>d</w:t>
      </w:r>
      <w:r w:rsidRPr="00FB1CBD">
        <w:rPr>
          <w:rFonts w:cs="Arial"/>
        </w:rPr>
        <w:t xml:space="preserve">aily </w:t>
      </w:r>
      <w:r w:rsidR="00D74D9C">
        <w:rPr>
          <w:rFonts w:cs="Arial"/>
        </w:rPr>
        <w:t>l</w:t>
      </w:r>
      <w:r w:rsidRPr="00FB1CBD">
        <w:rPr>
          <w:rFonts w:cs="Arial"/>
        </w:rPr>
        <w:t xml:space="preserve">iving (IADLs) for 19 (12.3%) clients who shared a residence with other adults and who did not meet criteria exempting the clients from the reduction.  </w:t>
      </w:r>
      <w:r w:rsidRPr="00FB1CBD" w:rsidDel="0038176B">
        <w:rPr>
          <w:rFonts w:cs="Arial"/>
        </w:rPr>
        <w:t xml:space="preserve">Failure to reduce the IADLs resulted in additional monthly costs for the 19 clients ranging from $6 to $172. </w:t>
      </w:r>
    </w:p>
    <w:p w:rsidR="00F55887" w:rsidRPr="00FB1CBD" w:rsidRDefault="00F55887" w:rsidP="00F84A56">
      <w:pPr>
        <w:overflowPunct/>
        <w:autoSpaceDE/>
        <w:autoSpaceDN/>
        <w:adjustRightInd/>
        <w:spacing w:line="300" w:lineRule="auto"/>
        <w:ind w:left="504"/>
        <w:contextualSpacing/>
        <w:jc w:val="both"/>
        <w:textAlignment w:val="auto"/>
        <w:rPr>
          <w:rFonts w:cs="Arial"/>
        </w:rPr>
      </w:pPr>
    </w:p>
    <w:p w:rsidR="00893F75" w:rsidRPr="00FB1CBD" w:rsidRDefault="00893F75" w:rsidP="00F84A56">
      <w:pPr>
        <w:spacing w:line="300" w:lineRule="auto"/>
        <w:ind w:left="1008"/>
        <w:jc w:val="both"/>
        <w:rPr>
          <w:rFonts w:cs="Arial"/>
        </w:rPr>
      </w:pPr>
      <w:r w:rsidRPr="00FB1CBD">
        <w:rPr>
          <w:rFonts w:cs="Arial"/>
        </w:rPr>
        <w:t>ASM 120 requires ASWs to reduce the assessed hours for IADLs by 50% when there are other adults sharing a residence with the client.  ASM 120 allows for an exception to this requirement when it is clearly documented that the IADLs for the client are completed separately from others in the household.  For example, if it is clearly documented that a client has a special diet requiring the client</w:t>
      </w:r>
      <w:r w:rsidR="00F305E9">
        <w:rPr>
          <w:rFonts w:cs="Arial"/>
        </w:rPr>
        <w:t>'</w:t>
      </w:r>
      <w:r w:rsidRPr="00FB1CBD">
        <w:rPr>
          <w:rFonts w:cs="Arial"/>
        </w:rPr>
        <w:t xml:space="preserve">s food to be prepared separately, the ASW can authorize payment for 100% of the assessed hours for meal preparation.  </w:t>
      </w:r>
    </w:p>
    <w:p w:rsidR="00F55887" w:rsidRPr="00FB1CBD" w:rsidRDefault="00F55887" w:rsidP="00F84A56">
      <w:pPr>
        <w:spacing w:line="300" w:lineRule="auto"/>
        <w:ind w:left="1008" w:hanging="504"/>
        <w:jc w:val="both"/>
        <w:rPr>
          <w:rFonts w:cs="Arial"/>
        </w:rPr>
      </w:pPr>
    </w:p>
    <w:p w:rsidR="00893F75" w:rsidRPr="00FB1CBD" w:rsidRDefault="00893F75" w:rsidP="00027935">
      <w:pPr>
        <w:numPr>
          <w:ilvl w:val="0"/>
          <w:numId w:val="19"/>
        </w:numPr>
        <w:overflowPunct/>
        <w:autoSpaceDE/>
        <w:autoSpaceDN/>
        <w:adjustRightInd/>
        <w:spacing w:line="300" w:lineRule="auto"/>
        <w:ind w:left="1008" w:hanging="504"/>
        <w:contextualSpacing/>
        <w:jc w:val="both"/>
        <w:textAlignment w:val="auto"/>
        <w:rPr>
          <w:rFonts w:cs="Arial"/>
        </w:rPr>
      </w:pPr>
      <w:r w:rsidRPr="00FB1CBD">
        <w:rPr>
          <w:rFonts w:cs="Arial"/>
        </w:rPr>
        <w:t xml:space="preserve">ASWs did not obtain or timely obtain one or more annual certifications </w:t>
      </w:r>
      <w:r w:rsidR="003675B3">
        <w:rPr>
          <w:rFonts w:cs="Arial"/>
        </w:rPr>
        <w:t xml:space="preserve">of </w:t>
      </w:r>
      <w:r w:rsidR="003675B3" w:rsidRPr="00FB1CBD">
        <w:rPr>
          <w:rFonts w:cs="Arial"/>
        </w:rPr>
        <w:t xml:space="preserve">medical need </w:t>
      </w:r>
      <w:r w:rsidRPr="00FB1CBD">
        <w:rPr>
          <w:rFonts w:cs="Arial"/>
        </w:rPr>
        <w:t xml:space="preserve">for 22 (14.3%) clients.  Failure to obtain or timely obtain the certifications </w:t>
      </w:r>
      <w:r w:rsidR="000C2D7F">
        <w:rPr>
          <w:rFonts w:cs="Arial"/>
        </w:rPr>
        <w:t xml:space="preserve">of </w:t>
      </w:r>
      <w:r w:rsidR="000C2D7F" w:rsidRPr="00FB1CBD">
        <w:rPr>
          <w:rFonts w:cs="Arial"/>
        </w:rPr>
        <w:t xml:space="preserve">medical </w:t>
      </w:r>
      <w:r w:rsidR="000C2D7F">
        <w:rPr>
          <w:rFonts w:cs="Arial"/>
        </w:rPr>
        <w:t xml:space="preserve">need </w:t>
      </w:r>
      <w:r w:rsidRPr="00FB1CBD">
        <w:rPr>
          <w:rFonts w:cs="Arial"/>
        </w:rPr>
        <w:t xml:space="preserve">could result in clients receiving services that they are not eligible to receive. </w:t>
      </w:r>
    </w:p>
    <w:p w:rsidR="00F14B5A" w:rsidRPr="00FB1CBD" w:rsidRDefault="00F14B5A" w:rsidP="00F84A56">
      <w:pPr>
        <w:overflowPunct/>
        <w:autoSpaceDE/>
        <w:autoSpaceDN/>
        <w:adjustRightInd/>
        <w:spacing w:line="300" w:lineRule="auto"/>
        <w:textAlignment w:val="auto"/>
        <w:rPr>
          <w:rFonts w:cs="Arial"/>
        </w:rPr>
      </w:pPr>
    </w:p>
    <w:p w:rsidR="00F14B5A" w:rsidRPr="00FB1CBD" w:rsidRDefault="00893F75" w:rsidP="00F84A56">
      <w:pPr>
        <w:spacing w:line="300" w:lineRule="auto"/>
        <w:ind w:left="1008"/>
        <w:jc w:val="both"/>
        <w:rPr>
          <w:rFonts w:cs="Arial"/>
        </w:rPr>
      </w:pPr>
      <w:r w:rsidRPr="00FB1CBD">
        <w:rPr>
          <w:rFonts w:cs="Arial"/>
        </w:rPr>
        <w:t xml:space="preserve">ASM 115 requires most </w:t>
      </w:r>
      <w:r w:rsidR="00A707F8">
        <w:rPr>
          <w:rFonts w:cs="Arial"/>
        </w:rPr>
        <w:t>HHP</w:t>
      </w:r>
      <w:r w:rsidR="00D74D9C">
        <w:rPr>
          <w:rFonts w:cs="Arial"/>
        </w:rPr>
        <w:t xml:space="preserve"> </w:t>
      </w:r>
      <w:r w:rsidRPr="00FB1CBD">
        <w:rPr>
          <w:rFonts w:cs="Arial"/>
        </w:rPr>
        <w:t>clients to obtai</w:t>
      </w:r>
      <w:r w:rsidR="00D74D9C">
        <w:rPr>
          <w:rFonts w:cs="Arial"/>
        </w:rPr>
        <w:t>n certification from a Medicaid</w:t>
      </w:r>
      <w:r w:rsidR="00D74D9C">
        <w:rPr>
          <w:rFonts w:cs="Arial"/>
        </w:rPr>
        <w:noBreakHyphen/>
      </w:r>
      <w:r w:rsidRPr="00FB1CBD">
        <w:rPr>
          <w:rFonts w:cs="Arial"/>
        </w:rPr>
        <w:t>enrolled medical professional of the clients</w:t>
      </w:r>
      <w:r w:rsidR="00F305E9">
        <w:rPr>
          <w:rFonts w:cs="Arial"/>
        </w:rPr>
        <w:t>'</w:t>
      </w:r>
      <w:r w:rsidRPr="00FB1CBD">
        <w:rPr>
          <w:rFonts w:cs="Arial"/>
        </w:rPr>
        <w:t xml:space="preserve"> medical need for services before initially qualifying for services and annually thereafter. </w:t>
      </w:r>
      <w:r w:rsidR="00F14B5A" w:rsidRPr="00FB1CBD">
        <w:rPr>
          <w:rFonts w:cs="Arial"/>
        </w:rPr>
        <w:t xml:space="preserve"> </w:t>
      </w:r>
      <w:r w:rsidRPr="00FB1CBD">
        <w:rPr>
          <w:rFonts w:cs="Arial"/>
        </w:rPr>
        <w:t xml:space="preserve">Clients without a certified medical need for services are not eligible to receive services.   </w:t>
      </w:r>
    </w:p>
    <w:p w:rsidR="00F820EF" w:rsidRDefault="00F820EF" w:rsidP="00F84A56">
      <w:pPr>
        <w:overflowPunct/>
        <w:autoSpaceDE/>
        <w:autoSpaceDN/>
        <w:adjustRightInd/>
        <w:spacing w:line="300" w:lineRule="auto"/>
        <w:textAlignment w:val="auto"/>
        <w:rPr>
          <w:rFonts w:cs="Arial"/>
        </w:rPr>
      </w:pPr>
    </w:p>
    <w:p w:rsidR="00D21083" w:rsidRPr="00FB1CBD" w:rsidRDefault="00D21083" w:rsidP="00027935">
      <w:pPr>
        <w:numPr>
          <w:ilvl w:val="0"/>
          <w:numId w:val="19"/>
        </w:numPr>
        <w:overflowPunct/>
        <w:spacing w:line="300" w:lineRule="auto"/>
        <w:ind w:left="1008" w:hanging="504"/>
        <w:contextualSpacing/>
        <w:jc w:val="both"/>
        <w:textAlignment w:val="auto"/>
        <w:rPr>
          <w:rFonts w:cs="Arial"/>
        </w:rPr>
      </w:pPr>
      <w:r w:rsidRPr="00FB1CBD">
        <w:rPr>
          <w:rFonts w:cs="Arial"/>
        </w:rPr>
        <w:t>ASWs did not notify 2</w:t>
      </w:r>
      <w:r w:rsidR="00703317">
        <w:rPr>
          <w:rFonts w:cs="Arial"/>
        </w:rPr>
        <w:t>3</w:t>
      </w:r>
      <w:r w:rsidRPr="00FB1CBD">
        <w:rPr>
          <w:rFonts w:cs="Arial"/>
        </w:rPr>
        <w:t xml:space="preserve"> (</w:t>
      </w:r>
      <w:r w:rsidR="00703317">
        <w:rPr>
          <w:rFonts w:cs="Arial"/>
        </w:rPr>
        <w:t xml:space="preserve">52.3%) of 44 </w:t>
      </w:r>
      <w:r w:rsidRPr="00FB1CBD">
        <w:rPr>
          <w:rFonts w:cs="Arial"/>
        </w:rPr>
        <w:t>clients who applied for services between October 1, 2010 and Fe</w:t>
      </w:r>
      <w:r w:rsidR="00F14B5A" w:rsidRPr="00FB1CBD">
        <w:rPr>
          <w:rFonts w:cs="Arial"/>
        </w:rPr>
        <w:t xml:space="preserve">bruary 28, 2013 that they were </w:t>
      </w:r>
      <w:r w:rsidRPr="00FB1CBD">
        <w:rPr>
          <w:rFonts w:cs="Arial"/>
        </w:rPr>
        <w:t>approved for services within 45 days of their respective application dates.  The actual number of days until notification ranged from 47 da</w:t>
      </w:r>
      <w:r w:rsidR="000C2D7F">
        <w:rPr>
          <w:rFonts w:cs="Arial"/>
        </w:rPr>
        <w:t>ys to 1</w:t>
      </w:r>
      <w:r w:rsidR="00703317">
        <w:rPr>
          <w:rFonts w:cs="Arial"/>
        </w:rPr>
        <w:t>70</w:t>
      </w:r>
      <w:r w:rsidR="000C2D7F">
        <w:rPr>
          <w:rFonts w:cs="Arial"/>
        </w:rPr>
        <w:t xml:space="preserve"> days</w:t>
      </w:r>
      <w:r w:rsidR="00D74D9C">
        <w:rPr>
          <w:rFonts w:cs="Arial"/>
        </w:rPr>
        <w:t xml:space="preserve"> and averaged 85 </w:t>
      </w:r>
      <w:r w:rsidRPr="00FB1CBD">
        <w:rPr>
          <w:rFonts w:cs="Arial"/>
        </w:rPr>
        <w:t xml:space="preserve">days. </w:t>
      </w:r>
    </w:p>
    <w:p w:rsidR="00D21083" w:rsidRPr="00FB1CBD" w:rsidRDefault="00D21083" w:rsidP="00F84A56">
      <w:pPr>
        <w:overflowPunct/>
        <w:autoSpaceDE/>
        <w:autoSpaceDN/>
        <w:adjustRightInd/>
        <w:spacing w:line="300" w:lineRule="auto"/>
        <w:textAlignment w:val="auto"/>
        <w:rPr>
          <w:rFonts w:cs="Arial"/>
        </w:rPr>
      </w:pPr>
    </w:p>
    <w:p w:rsidR="002C0655" w:rsidRDefault="00D21083" w:rsidP="002C0655">
      <w:pPr>
        <w:spacing w:line="300" w:lineRule="auto"/>
        <w:ind w:left="1008"/>
        <w:jc w:val="both"/>
        <w:rPr>
          <w:rFonts w:cs="Arial"/>
        </w:rPr>
      </w:pPr>
      <w:r w:rsidRPr="00FB1CBD">
        <w:rPr>
          <w:rFonts w:cs="Arial"/>
        </w:rPr>
        <w:t>ASM 150 requires ASWs to notify clients of their initial approval or denial for services within 45 days of receiving the clients</w:t>
      </w:r>
      <w:r w:rsidR="00F305E9">
        <w:rPr>
          <w:rFonts w:cs="Arial"/>
        </w:rPr>
        <w:t>'</w:t>
      </w:r>
      <w:r w:rsidRPr="00FB1CBD">
        <w:rPr>
          <w:rFonts w:cs="Arial"/>
        </w:rPr>
        <w:t xml:space="preserve"> application</w:t>
      </w:r>
      <w:r w:rsidR="00D74D9C">
        <w:rPr>
          <w:rFonts w:cs="Arial"/>
        </w:rPr>
        <w:t>s</w:t>
      </w:r>
      <w:r w:rsidRPr="00FB1CBD">
        <w:rPr>
          <w:rFonts w:cs="Arial"/>
        </w:rPr>
        <w:t xml:space="preserve"> for services. </w:t>
      </w:r>
      <w:r w:rsidR="00F14B5A" w:rsidRPr="00FB1CBD">
        <w:rPr>
          <w:rFonts w:cs="Arial"/>
        </w:rPr>
        <w:t xml:space="preserve"> </w:t>
      </w:r>
      <w:r w:rsidRPr="00FB1CBD">
        <w:rPr>
          <w:rFonts w:cs="Arial"/>
        </w:rPr>
        <w:t xml:space="preserve">This requirement helps to ensure that clients do not wait an undue amount of time before receiving needed services. </w:t>
      </w:r>
      <w:r w:rsidR="002C0655">
        <w:rPr>
          <w:rFonts w:cs="Arial"/>
        </w:rPr>
        <w:br w:type="page"/>
      </w:r>
    </w:p>
    <w:p w:rsidR="00893F75" w:rsidRPr="00FB1CBD" w:rsidRDefault="00893F75" w:rsidP="00027935">
      <w:pPr>
        <w:numPr>
          <w:ilvl w:val="0"/>
          <w:numId w:val="19"/>
        </w:numPr>
        <w:overflowPunct/>
        <w:autoSpaceDE/>
        <w:autoSpaceDN/>
        <w:adjustRightInd/>
        <w:spacing w:line="300" w:lineRule="auto"/>
        <w:ind w:left="1008" w:hanging="504"/>
        <w:contextualSpacing/>
        <w:jc w:val="both"/>
        <w:textAlignment w:val="auto"/>
        <w:rPr>
          <w:rFonts w:cs="Arial"/>
        </w:rPr>
      </w:pPr>
      <w:r w:rsidRPr="00FB1CBD">
        <w:rPr>
          <w:rFonts w:cs="Arial"/>
        </w:rPr>
        <w:lastRenderedPageBreak/>
        <w:t xml:space="preserve">ASWs did not obtain a </w:t>
      </w:r>
      <w:r w:rsidR="00D74D9C">
        <w:rPr>
          <w:rFonts w:cs="Arial"/>
        </w:rPr>
        <w:t>s</w:t>
      </w:r>
      <w:r w:rsidRPr="00FB1CBD">
        <w:rPr>
          <w:rFonts w:cs="Arial"/>
        </w:rPr>
        <w:t xml:space="preserve">tatement of </w:t>
      </w:r>
      <w:r w:rsidR="00D74D9C">
        <w:rPr>
          <w:rFonts w:cs="Arial"/>
        </w:rPr>
        <w:t>e</w:t>
      </w:r>
      <w:r w:rsidRPr="00FB1CBD">
        <w:rPr>
          <w:rFonts w:cs="Arial"/>
        </w:rPr>
        <w:t xml:space="preserve">mployment for 12 (7.8%) clients and their respective </w:t>
      </w:r>
      <w:r w:rsidR="00A707F8">
        <w:rPr>
          <w:rFonts w:cs="Arial"/>
        </w:rPr>
        <w:t>HHP</w:t>
      </w:r>
      <w:r w:rsidR="00D74D9C">
        <w:rPr>
          <w:rFonts w:cs="Arial"/>
        </w:rPr>
        <w:t xml:space="preserve"> </w:t>
      </w:r>
      <w:r w:rsidRPr="00FB1CBD">
        <w:rPr>
          <w:rFonts w:cs="Arial"/>
        </w:rPr>
        <w:t xml:space="preserve">providers.  </w:t>
      </w:r>
    </w:p>
    <w:p w:rsidR="00893F75" w:rsidRPr="00FB1CBD" w:rsidRDefault="00893F75" w:rsidP="00F84A56">
      <w:pPr>
        <w:spacing w:line="300" w:lineRule="auto"/>
        <w:ind w:left="1008" w:hanging="504"/>
        <w:contextualSpacing/>
        <w:jc w:val="both"/>
        <w:rPr>
          <w:rFonts w:cs="Arial"/>
        </w:rPr>
      </w:pPr>
    </w:p>
    <w:p w:rsidR="00893F75" w:rsidRPr="00FB1CBD" w:rsidRDefault="00893F75" w:rsidP="00F84A56">
      <w:pPr>
        <w:spacing w:line="300" w:lineRule="auto"/>
        <w:ind w:left="1008"/>
        <w:jc w:val="both"/>
        <w:rPr>
          <w:rFonts w:cs="Arial"/>
        </w:rPr>
      </w:pPr>
      <w:r w:rsidRPr="00FB1CBD">
        <w:rPr>
          <w:rFonts w:cs="Arial"/>
        </w:rPr>
        <w:t xml:space="preserve">ASM 135 requires ASWs to obtain a </w:t>
      </w:r>
      <w:r w:rsidR="00D74D9C">
        <w:rPr>
          <w:rFonts w:cs="Arial"/>
        </w:rPr>
        <w:t>s</w:t>
      </w:r>
      <w:r w:rsidRPr="00FB1CBD">
        <w:rPr>
          <w:rFonts w:cs="Arial"/>
        </w:rPr>
        <w:t xml:space="preserve">tatement of </w:t>
      </w:r>
      <w:r w:rsidR="00D74D9C">
        <w:rPr>
          <w:rFonts w:cs="Arial"/>
        </w:rPr>
        <w:t>e</w:t>
      </w:r>
      <w:r w:rsidRPr="00FB1CBD">
        <w:rPr>
          <w:rFonts w:cs="Arial"/>
        </w:rPr>
        <w:t>mployment signed by a client and his</w:t>
      </w:r>
      <w:r w:rsidR="00D74D9C">
        <w:rPr>
          <w:rFonts w:cs="Arial"/>
        </w:rPr>
        <w:t xml:space="preserve"> or </w:t>
      </w:r>
      <w:r w:rsidRPr="00FB1CBD">
        <w:rPr>
          <w:rFonts w:cs="Arial"/>
        </w:rPr>
        <w:t>her provider before authorizing payment for the client</w:t>
      </w:r>
      <w:r w:rsidR="00F305E9">
        <w:rPr>
          <w:rFonts w:cs="Arial"/>
        </w:rPr>
        <w:t>'</w:t>
      </w:r>
      <w:r w:rsidRPr="00FB1CBD">
        <w:rPr>
          <w:rFonts w:cs="Arial"/>
        </w:rPr>
        <w:t xml:space="preserve">s services. </w:t>
      </w:r>
      <w:r w:rsidR="00F14B5A" w:rsidRPr="00FB1CBD">
        <w:rPr>
          <w:rFonts w:cs="Arial"/>
        </w:rPr>
        <w:t xml:space="preserve"> </w:t>
      </w:r>
      <w:r w:rsidRPr="00FB1CBD">
        <w:rPr>
          <w:rFonts w:cs="Arial"/>
        </w:rPr>
        <w:t xml:space="preserve">The </w:t>
      </w:r>
      <w:r w:rsidR="00D74D9C">
        <w:rPr>
          <w:rFonts w:cs="Arial"/>
        </w:rPr>
        <w:t>s</w:t>
      </w:r>
      <w:r w:rsidRPr="00FB1CBD">
        <w:rPr>
          <w:rFonts w:cs="Arial"/>
        </w:rPr>
        <w:t xml:space="preserve">tatement of </w:t>
      </w:r>
      <w:r w:rsidR="00D74D9C">
        <w:rPr>
          <w:rFonts w:cs="Arial"/>
        </w:rPr>
        <w:t>e</w:t>
      </w:r>
      <w:r w:rsidRPr="00FB1CBD">
        <w:rPr>
          <w:rFonts w:cs="Arial"/>
        </w:rPr>
        <w:t xml:space="preserve">mployment serves as the agreement between the client and </w:t>
      </w:r>
      <w:r w:rsidR="00D74D9C">
        <w:rPr>
          <w:rFonts w:cs="Arial"/>
        </w:rPr>
        <w:t xml:space="preserve">the </w:t>
      </w:r>
      <w:r w:rsidRPr="00FB1CBD">
        <w:rPr>
          <w:rFonts w:cs="Arial"/>
        </w:rPr>
        <w:t>provider and summarizes the general requirements of employment and approval of services, including the hours and frequency of services.  It also requires that the client report any changes in the provider</w:t>
      </w:r>
      <w:r w:rsidR="00F305E9">
        <w:rPr>
          <w:rFonts w:cs="Arial"/>
        </w:rPr>
        <w:t>'</w:t>
      </w:r>
      <w:r w:rsidRPr="00FB1CBD">
        <w:rPr>
          <w:rFonts w:cs="Arial"/>
        </w:rPr>
        <w:t>s work schedule to the client</w:t>
      </w:r>
      <w:r w:rsidR="00F305E9">
        <w:rPr>
          <w:rFonts w:cs="Arial"/>
        </w:rPr>
        <w:t>'</w:t>
      </w:r>
      <w:r w:rsidRPr="00FB1CBD">
        <w:rPr>
          <w:rFonts w:cs="Arial"/>
        </w:rPr>
        <w:t xml:space="preserve">s ASW.  </w:t>
      </w:r>
    </w:p>
    <w:p w:rsidR="00F14B5A" w:rsidRPr="00FB1CBD" w:rsidRDefault="00F14B5A" w:rsidP="00F84A56">
      <w:pPr>
        <w:overflowPunct/>
        <w:autoSpaceDE/>
        <w:autoSpaceDN/>
        <w:adjustRightInd/>
        <w:spacing w:line="300" w:lineRule="auto"/>
        <w:textAlignment w:val="auto"/>
        <w:rPr>
          <w:rFonts w:cs="Arial"/>
        </w:rPr>
      </w:pPr>
    </w:p>
    <w:p w:rsidR="00893F75" w:rsidRPr="00FB1CBD" w:rsidRDefault="00893F75" w:rsidP="00027935">
      <w:pPr>
        <w:numPr>
          <w:ilvl w:val="0"/>
          <w:numId w:val="19"/>
        </w:numPr>
        <w:overflowPunct/>
        <w:autoSpaceDE/>
        <w:autoSpaceDN/>
        <w:adjustRightInd/>
        <w:spacing w:line="300" w:lineRule="auto"/>
        <w:ind w:left="1008" w:hanging="504"/>
        <w:contextualSpacing/>
        <w:jc w:val="both"/>
        <w:textAlignment w:val="auto"/>
        <w:rPr>
          <w:rFonts w:cs="Arial"/>
        </w:rPr>
      </w:pPr>
      <w:r w:rsidRPr="00FB1CBD">
        <w:rPr>
          <w:rFonts w:cs="Arial"/>
        </w:rPr>
        <w:t xml:space="preserve">ASWs did not obtain a signed and dated </w:t>
      </w:r>
      <w:r w:rsidR="004F48B7">
        <w:rPr>
          <w:rFonts w:cs="Arial"/>
        </w:rPr>
        <w:t>a</w:t>
      </w:r>
      <w:r w:rsidRPr="00FB1CBD">
        <w:rPr>
          <w:rFonts w:cs="Arial"/>
        </w:rPr>
        <w:t xml:space="preserve">uthorization </w:t>
      </w:r>
      <w:r w:rsidR="004F48B7">
        <w:rPr>
          <w:rFonts w:cs="Arial"/>
        </w:rPr>
        <w:t>f</w:t>
      </w:r>
      <w:r w:rsidRPr="00FB1CBD">
        <w:rPr>
          <w:rFonts w:cs="Arial"/>
        </w:rPr>
        <w:t xml:space="preserve">or </w:t>
      </w:r>
      <w:r w:rsidR="004F48B7">
        <w:rPr>
          <w:rFonts w:cs="Arial"/>
        </w:rPr>
        <w:t>w</w:t>
      </w:r>
      <w:r w:rsidRPr="00FB1CBD">
        <w:rPr>
          <w:rFonts w:cs="Arial"/>
        </w:rPr>
        <w:t xml:space="preserve">ithholding FICA </w:t>
      </w:r>
      <w:r w:rsidR="004F48B7">
        <w:rPr>
          <w:rFonts w:cs="Arial"/>
        </w:rPr>
        <w:t>t</w:t>
      </w:r>
      <w:r w:rsidRPr="00FB1CBD">
        <w:rPr>
          <w:rFonts w:cs="Arial"/>
        </w:rPr>
        <w:t xml:space="preserve">ax </w:t>
      </w:r>
      <w:r w:rsidR="004F48B7">
        <w:rPr>
          <w:rFonts w:cs="Arial"/>
        </w:rPr>
        <w:t>i</w:t>
      </w:r>
      <w:r w:rsidRPr="00FB1CBD">
        <w:rPr>
          <w:rFonts w:cs="Arial"/>
        </w:rPr>
        <w:t xml:space="preserve">n </w:t>
      </w:r>
      <w:r w:rsidR="004F48B7">
        <w:rPr>
          <w:rFonts w:cs="Arial"/>
        </w:rPr>
        <w:t>h</w:t>
      </w:r>
      <w:r w:rsidRPr="00FB1CBD">
        <w:rPr>
          <w:rFonts w:cs="Arial"/>
        </w:rPr>
        <w:t xml:space="preserve">ome </w:t>
      </w:r>
      <w:r w:rsidR="004F48B7">
        <w:rPr>
          <w:rFonts w:cs="Arial"/>
        </w:rPr>
        <w:t>h</w:t>
      </w:r>
      <w:r w:rsidRPr="00FB1CBD">
        <w:rPr>
          <w:rFonts w:cs="Arial"/>
        </w:rPr>
        <w:t xml:space="preserve">elp </w:t>
      </w:r>
      <w:r w:rsidR="004F48B7">
        <w:rPr>
          <w:rFonts w:cs="Arial"/>
        </w:rPr>
        <w:t>p</w:t>
      </w:r>
      <w:r w:rsidRPr="00FB1CBD">
        <w:rPr>
          <w:rFonts w:cs="Arial"/>
        </w:rPr>
        <w:t xml:space="preserve">ayments form for 21 (14.8%) of 142 applicable clients. In addition, 11 (9.1%) </w:t>
      </w:r>
      <w:r w:rsidR="004F48B7">
        <w:rPr>
          <w:rFonts w:cs="Arial"/>
        </w:rPr>
        <w:t xml:space="preserve">of the 121 </w:t>
      </w:r>
      <w:r w:rsidRPr="00FB1CBD">
        <w:rPr>
          <w:rFonts w:cs="Arial"/>
        </w:rPr>
        <w:t xml:space="preserve">authorization forms </w:t>
      </w:r>
      <w:r w:rsidR="000C2D7F">
        <w:rPr>
          <w:rFonts w:cs="Arial"/>
        </w:rPr>
        <w:t>received</w:t>
      </w:r>
      <w:r w:rsidR="004F48B7">
        <w:rPr>
          <w:rFonts w:cs="Arial"/>
        </w:rPr>
        <w:t xml:space="preserve"> </w:t>
      </w:r>
      <w:r w:rsidRPr="00FB1CBD">
        <w:rPr>
          <w:rFonts w:cs="Arial"/>
        </w:rPr>
        <w:t xml:space="preserve">were incomplete. </w:t>
      </w:r>
    </w:p>
    <w:p w:rsidR="00893F75" w:rsidRPr="00FB1CBD" w:rsidRDefault="00893F75" w:rsidP="00F84A56">
      <w:pPr>
        <w:spacing w:line="300" w:lineRule="auto"/>
        <w:ind w:left="1008" w:hanging="504"/>
        <w:contextualSpacing/>
        <w:jc w:val="both"/>
        <w:rPr>
          <w:rFonts w:cs="Arial"/>
        </w:rPr>
      </w:pPr>
    </w:p>
    <w:p w:rsidR="00893F75" w:rsidRPr="00FB1CBD" w:rsidRDefault="00893F75" w:rsidP="00F84A56">
      <w:pPr>
        <w:spacing w:line="300" w:lineRule="auto"/>
        <w:ind w:left="1008"/>
        <w:jc w:val="both"/>
        <w:rPr>
          <w:rFonts w:cs="Arial"/>
        </w:rPr>
      </w:pPr>
      <w:r w:rsidRPr="00FB1CBD">
        <w:rPr>
          <w:rFonts w:cs="Arial"/>
        </w:rPr>
        <w:t>ASM 145 requires an ASW to obtain a signed and dated authorization form for most clients with an individual provider</w:t>
      </w:r>
      <w:r w:rsidR="004F48B7">
        <w:rPr>
          <w:rFonts w:cs="Arial"/>
        </w:rPr>
        <w:t xml:space="preserve"> </w:t>
      </w:r>
      <w:r w:rsidR="004F48B7" w:rsidRPr="00FB1CBD">
        <w:rPr>
          <w:rFonts w:cs="Arial"/>
        </w:rPr>
        <w:t xml:space="preserve">(versus </w:t>
      </w:r>
      <w:r w:rsidR="004F48B7">
        <w:rPr>
          <w:rFonts w:cs="Arial"/>
        </w:rPr>
        <w:t xml:space="preserve">an </w:t>
      </w:r>
      <w:r w:rsidR="004F48B7" w:rsidRPr="00FB1CBD">
        <w:rPr>
          <w:rFonts w:cs="Arial"/>
        </w:rPr>
        <w:t>agency</w:t>
      </w:r>
      <w:r w:rsidR="004F48B7">
        <w:rPr>
          <w:rFonts w:cs="Arial"/>
        </w:rPr>
        <w:t xml:space="preserve"> provider</w:t>
      </w:r>
      <w:r w:rsidR="004F48B7" w:rsidRPr="00FB1CBD">
        <w:rPr>
          <w:rFonts w:cs="Arial"/>
        </w:rPr>
        <w:t>)</w:t>
      </w:r>
      <w:r w:rsidRPr="00FB1CBD">
        <w:rPr>
          <w:rFonts w:cs="Arial"/>
        </w:rPr>
        <w:t xml:space="preserve">. </w:t>
      </w:r>
      <w:r w:rsidR="003A3182" w:rsidRPr="00FB1CBD">
        <w:rPr>
          <w:rFonts w:cs="Arial"/>
        </w:rPr>
        <w:t xml:space="preserve"> </w:t>
      </w:r>
      <w:r w:rsidRPr="00FB1CBD">
        <w:rPr>
          <w:rFonts w:cs="Arial"/>
        </w:rPr>
        <w:t>The signed authorization form allows DCH to withhold the employee</w:t>
      </w:r>
      <w:r w:rsidR="00F305E9">
        <w:rPr>
          <w:rFonts w:cs="Arial"/>
        </w:rPr>
        <w:t>'</w:t>
      </w:r>
      <w:r w:rsidRPr="00FB1CBD">
        <w:rPr>
          <w:rFonts w:cs="Arial"/>
        </w:rPr>
        <w:t xml:space="preserve">s share of FICA taxes from the </w:t>
      </w:r>
      <w:r w:rsidR="00A707F8">
        <w:rPr>
          <w:rFonts w:cs="Arial"/>
        </w:rPr>
        <w:t>HHP</w:t>
      </w:r>
      <w:r w:rsidR="004F48B7">
        <w:rPr>
          <w:rFonts w:cs="Arial"/>
        </w:rPr>
        <w:t xml:space="preserve"> </w:t>
      </w:r>
      <w:r w:rsidRPr="00FB1CBD">
        <w:rPr>
          <w:rFonts w:cs="Arial"/>
        </w:rPr>
        <w:t>payments made to the individual providers and to remit those taxes, together with the employer</w:t>
      </w:r>
      <w:r w:rsidR="00F305E9">
        <w:rPr>
          <w:rFonts w:cs="Arial"/>
        </w:rPr>
        <w:t>'</w:t>
      </w:r>
      <w:r w:rsidRPr="00FB1CBD">
        <w:rPr>
          <w:rFonts w:cs="Arial"/>
        </w:rPr>
        <w:t xml:space="preserve">s share of the FICA taxes, to the IRS on behalf of the </w:t>
      </w:r>
      <w:r w:rsidR="00A707F8">
        <w:rPr>
          <w:rFonts w:cs="Arial"/>
        </w:rPr>
        <w:t>HHP</w:t>
      </w:r>
      <w:r w:rsidR="004F48B7">
        <w:rPr>
          <w:rFonts w:cs="Arial"/>
        </w:rPr>
        <w:t xml:space="preserve"> </w:t>
      </w:r>
      <w:r w:rsidRPr="00FB1CBD">
        <w:rPr>
          <w:rFonts w:cs="Arial"/>
        </w:rPr>
        <w:t xml:space="preserve">clients. </w:t>
      </w:r>
    </w:p>
    <w:p w:rsidR="00893F75" w:rsidRPr="00FB1CBD" w:rsidRDefault="00893F75" w:rsidP="00F84A56">
      <w:pPr>
        <w:spacing w:line="300" w:lineRule="auto"/>
        <w:ind w:left="1008" w:hanging="504"/>
        <w:contextualSpacing/>
        <w:jc w:val="both"/>
        <w:rPr>
          <w:rFonts w:cs="Arial"/>
        </w:rPr>
      </w:pPr>
    </w:p>
    <w:p w:rsidR="00893F75" w:rsidRPr="00FB1CBD" w:rsidRDefault="00893F75" w:rsidP="00F84A56">
      <w:pPr>
        <w:tabs>
          <w:tab w:val="left" w:pos="504"/>
        </w:tabs>
        <w:spacing w:line="300" w:lineRule="auto"/>
        <w:ind w:left="504"/>
        <w:contextualSpacing/>
        <w:jc w:val="both"/>
        <w:rPr>
          <w:rFonts w:cs="Arial"/>
        </w:rPr>
      </w:pPr>
      <w:r w:rsidRPr="00FB1CBD">
        <w:rPr>
          <w:rFonts w:cs="Arial"/>
        </w:rPr>
        <w:t xml:space="preserve">DCH and DHS were made aware of significant deficiencies related to the same conditions cited in </w:t>
      </w:r>
      <w:r w:rsidR="004F48B7">
        <w:rPr>
          <w:rFonts w:cs="Arial"/>
        </w:rPr>
        <w:t xml:space="preserve">parts </w:t>
      </w:r>
      <w:r w:rsidRPr="00FB1CBD">
        <w:rPr>
          <w:rFonts w:cs="Arial"/>
        </w:rPr>
        <w:t xml:space="preserve">a. through e. via case file reviews reported in October 2009, November 2010, and March 2012 by a DCH contractor.  However, as noted in </w:t>
      </w:r>
      <w:r w:rsidR="004F48B7">
        <w:rPr>
          <w:rFonts w:cs="Arial"/>
        </w:rPr>
        <w:t>F</w:t>
      </w:r>
      <w:r w:rsidRPr="00FB1CBD">
        <w:rPr>
          <w:rFonts w:cs="Arial"/>
        </w:rPr>
        <w:t xml:space="preserve">inding 8 of this report, DCH did not effectively utilize the results of these reviews to correct the deficiencies.  DCH </w:t>
      </w:r>
      <w:r w:rsidR="000C2D7F">
        <w:rPr>
          <w:rFonts w:cs="Arial"/>
        </w:rPr>
        <w:t xml:space="preserve">and </w:t>
      </w:r>
      <w:r w:rsidR="000C2D7F" w:rsidRPr="00FB1CBD">
        <w:rPr>
          <w:rFonts w:cs="Arial"/>
        </w:rPr>
        <w:t xml:space="preserve">DHS </w:t>
      </w:r>
      <w:r w:rsidRPr="00FB1CBD">
        <w:rPr>
          <w:rFonts w:cs="Arial"/>
        </w:rPr>
        <w:t xml:space="preserve">informed us that the reason for the lapses in applying procedure and obtaining appropriate documentation </w:t>
      </w:r>
      <w:r w:rsidR="000C2D7F">
        <w:rPr>
          <w:rFonts w:cs="Arial"/>
        </w:rPr>
        <w:t>is</w:t>
      </w:r>
      <w:r w:rsidR="004F48B7">
        <w:rPr>
          <w:rFonts w:cs="Arial"/>
        </w:rPr>
        <w:t xml:space="preserve"> likely due to large ASW case</w:t>
      </w:r>
      <w:r w:rsidRPr="00FB1CBD">
        <w:rPr>
          <w:rFonts w:cs="Arial"/>
        </w:rPr>
        <w:t xml:space="preserve">loads.  </w:t>
      </w:r>
    </w:p>
    <w:p w:rsidR="00893F75" w:rsidRPr="00FB1CBD" w:rsidRDefault="00893F75" w:rsidP="00F84A56">
      <w:pPr>
        <w:tabs>
          <w:tab w:val="left" w:pos="504"/>
        </w:tabs>
        <w:spacing w:line="300" w:lineRule="auto"/>
        <w:ind w:left="504"/>
        <w:contextualSpacing/>
        <w:jc w:val="both"/>
        <w:rPr>
          <w:rFonts w:cs="Arial"/>
        </w:rPr>
      </w:pPr>
    </w:p>
    <w:p w:rsidR="00893F75" w:rsidRPr="00FB1CBD" w:rsidRDefault="00F55887" w:rsidP="00F84A56">
      <w:pPr>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tabs>
          <w:tab w:val="left" w:pos="504"/>
        </w:tabs>
        <w:spacing w:line="300" w:lineRule="auto"/>
        <w:ind w:left="504"/>
        <w:contextualSpacing/>
        <w:jc w:val="both"/>
        <w:rPr>
          <w:rFonts w:cs="Arial"/>
        </w:rPr>
      </w:pPr>
      <w:r w:rsidRPr="00FB1CBD">
        <w:rPr>
          <w:rFonts w:cs="Arial"/>
        </w:rPr>
        <w:t>We recommend that DCH and DHS ensure that they make required client benefit reductions, timely obtain client certifications</w:t>
      </w:r>
      <w:r w:rsidR="000C2D7F">
        <w:rPr>
          <w:rFonts w:cs="Arial"/>
        </w:rPr>
        <w:t xml:space="preserve"> of </w:t>
      </w:r>
      <w:r w:rsidR="000C2D7F" w:rsidRPr="00FB1CBD">
        <w:rPr>
          <w:rFonts w:cs="Arial"/>
        </w:rPr>
        <w:t>medical</w:t>
      </w:r>
      <w:r w:rsidR="000C2D7F">
        <w:rPr>
          <w:rFonts w:cs="Arial"/>
        </w:rPr>
        <w:t xml:space="preserve"> need</w:t>
      </w:r>
      <w:r w:rsidRPr="00FB1CBD">
        <w:rPr>
          <w:rFonts w:cs="Arial"/>
        </w:rPr>
        <w:t xml:space="preserve">, </w:t>
      </w:r>
      <w:r w:rsidR="00D21083" w:rsidRPr="00FB1CBD">
        <w:rPr>
          <w:rFonts w:cs="Arial"/>
        </w:rPr>
        <w:t>timely notify clients of benefit approvals</w:t>
      </w:r>
      <w:r w:rsidR="00703CEB">
        <w:rPr>
          <w:rFonts w:cs="Arial"/>
        </w:rPr>
        <w:t>,</w:t>
      </w:r>
      <w:r w:rsidR="00D21083" w:rsidRPr="00FB1CBD">
        <w:rPr>
          <w:rFonts w:cs="Arial"/>
        </w:rPr>
        <w:t xml:space="preserve"> and </w:t>
      </w:r>
      <w:r w:rsidRPr="00FB1CBD">
        <w:rPr>
          <w:rFonts w:cs="Arial"/>
        </w:rPr>
        <w:t>maintain sufficient administrative case file documentation</w:t>
      </w:r>
      <w:r w:rsidR="00D21083" w:rsidRPr="00FB1CBD">
        <w:rPr>
          <w:rFonts w:cs="Arial"/>
        </w:rPr>
        <w:t>.</w:t>
      </w:r>
      <w:r w:rsidR="003A3182" w:rsidRPr="00FB1CBD">
        <w:rPr>
          <w:rFonts w:cs="Arial"/>
        </w:rPr>
        <w:t xml:space="preserve">  </w:t>
      </w:r>
    </w:p>
    <w:p w:rsidR="00B25879" w:rsidRDefault="00B25879">
      <w:pPr>
        <w:overflowPunct/>
        <w:autoSpaceDE/>
        <w:autoSpaceDN/>
        <w:adjustRightInd/>
        <w:textAlignment w:val="auto"/>
        <w:rPr>
          <w:rFonts w:cs="Arial"/>
        </w:rPr>
      </w:pPr>
      <w:r>
        <w:rPr>
          <w:rFonts w:cs="Arial"/>
        </w:rPr>
        <w:br w:type="page"/>
      </w: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lastRenderedPageBreak/>
        <w:t>Agency Preliminary Response</w:t>
      </w:r>
    </w:p>
    <w:p w:rsidR="00B25879" w:rsidRPr="00D6707C" w:rsidRDefault="00B25879" w:rsidP="00B25879">
      <w:pPr>
        <w:spacing w:line="300" w:lineRule="auto"/>
        <w:ind w:left="504"/>
        <w:jc w:val="both"/>
        <w:rPr>
          <w:rFonts w:cs="Arial"/>
        </w:rPr>
      </w:pPr>
      <w:r w:rsidRPr="00D6707C">
        <w:rPr>
          <w:rFonts w:cs="Arial"/>
        </w:rPr>
        <w:t>DCH and DHS agree that they did not always appropriately reduce client benefits, timely obtain client certifications, timely notify clients of benefit approvals, and maintain sufficient case file documentation.</w:t>
      </w:r>
    </w:p>
    <w:p w:rsidR="00B25879" w:rsidRDefault="00B25879" w:rsidP="00B25879">
      <w:pPr>
        <w:spacing w:line="300" w:lineRule="auto"/>
        <w:ind w:left="504"/>
        <w:jc w:val="both"/>
        <w:rPr>
          <w:rFonts w:cs="Arial"/>
        </w:rPr>
      </w:pPr>
    </w:p>
    <w:p w:rsidR="00B25879" w:rsidRDefault="00B25879" w:rsidP="00B25879">
      <w:pPr>
        <w:spacing w:line="300" w:lineRule="auto"/>
        <w:ind w:left="504"/>
        <w:jc w:val="both"/>
        <w:rPr>
          <w:rFonts w:cs="Arial"/>
        </w:rPr>
      </w:pPr>
      <w:r>
        <w:rPr>
          <w:rFonts w:cs="Arial"/>
        </w:rPr>
        <w:t xml:space="preserve">In addition, DCH and DHS informed us that they are implementing the </w:t>
      </w:r>
      <w:r w:rsidRPr="00D6707C">
        <w:rPr>
          <w:rFonts w:cs="Arial"/>
        </w:rPr>
        <w:t>following corrective actions</w:t>
      </w:r>
      <w:r>
        <w:rPr>
          <w:rFonts w:cs="Arial"/>
        </w:rPr>
        <w:t>:</w:t>
      </w:r>
      <w:r w:rsidRPr="00D6707C" w:rsidDel="00E77E58">
        <w:rPr>
          <w:rFonts w:cs="Arial"/>
        </w:rPr>
        <w:t xml:space="preserve"> </w:t>
      </w:r>
    </w:p>
    <w:p w:rsidR="00B25879" w:rsidRPr="00D6707C" w:rsidRDefault="00B25879" w:rsidP="00B25879">
      <w:pPr>
        <w:spacing w:line="300" w:lineRule="auto"/>
        <w:ind w:left="504"/>
        <w:jc w:val="both"/>
        <w:rPr>
          <w:rFonts w:cs="Arial"/>
        </w:rPr>
      </w:pPr>
    </w:p>
    <w:p w:rsidR="00B25879" w:rsidRDefault="00B25879" w:rsidP="00B25879">
      <w:pPr>
        <w:pStyle w:val="ListParagraph"/>
        <w:numPr>
          <w:ilvl w:val="0"/>
          <w:numId w:val="25"/>
        </w:numPr>
        <w:overflowPunct/>
        <w:autoSpaceDE/>
        <w:autoSpaceDN/>
        <w:adjustRightInd/>
        <w:spacing w:line="300" w:lineRule="auto"/>
        <w:ind w:left="1008" w:hanging="504"/>
        <w:jc w:val="both"/>
        <w:textAlignment w:val="auto"/>
        <w:rPr>
          <w:rFonts w:cs="Arial"/>
        </w:rPr>
      </w:pPr>
      <w:r w:rsidRPr="00D6707C">
        <w:rPr>
          <w:rFonts w:cs="Arial"/>
        </w:rPr>
        <w:t>DHS will complete an independent review of all cases sampled in the audit to identify systemic weakness in policy and procedures.  Cases that have missing documentation will be brought into compliance.</w:t>
      </w:r>
    </w:p>
    <w:p w:rsidR="00B25879" w:rsidRPr="00D6707C" w:rsidRDefault="00B25879" w:rsidP="00B25879">
      <w:pPr>
        <w:pStyle w:val="ListParagraph"/>
        <w:overflowPunct/>
        <w:autoSpaceDE/>
        <w:autoSpaceDN/>
        <w:adjustRightInd/>
        <w:spacing w:line="300" w:lineRule="auto"/>
        <w:ind w:left="1008"/>
        <w:jc w:val="both"/>
        <w:textAlignment w:val="auto"/>
        <w:rPr>
          <w:rFonts w:cs="Arial"/>
        </w:rPr>
      </w:pPr>
    </w:p>
    <w:p w:rsidR="00B25879" w:rsidRPr="00B25879" w:rsidRDefault="00B25879" w:rsidP="00B25879">
      <w:pPr>
        <w:pStyle w:val="ListParagraph"/>
        <w:numPr>
          <w:ilvl w:val="0"/>
          <w:numId w:val="25"/>
        </w:numPr>
        <w:overflowPunct/>
        <w:autoSpaceDE/>
        <w:autoSpaceDN/>
        <w:adjustRightInd/>
        <w:spacing w:line="300" w:lineRule="auto"/>
        <w:ind w:left="1008" w:hanging="504"/>
        <w:jc w:val="both"/>
        <w:textAlignment w:val="auto"/>
        <w:rPr>
          <w:rFonts w:cs="Arial"/>
        </w:rPr>
      </w:pPr>
      <w:r w:rsidRPr="00D6707C">
        <w:rPr>
          <w:rFonts w:cs="Arial"/>
          <w:color w:val="000000"/>
        </w:rPr>
        <w:t>By July 1, 2014, DHS will issue a communication to adult services staff reiterating the policy requirements and expectations for client benefit reductions, timely obtaining client certifications of medical need, timely notifying clients of benefit approvals and maintaining sufficient administrative case file documentation.</w:t>
      </w:r>
    </w:p>
    <w:p w:rsidR="00B25879" w:rsidRPr="00B25879" w:rsidRDefault="00B25879" w:rsidP="00B25879">
      <w:pPr>
        <w:pStyle w:val="ListParagraph"/>
        <w:spacing w:line="300" w:lineRule="auto"/>
        <w:rPr>
          <w:rFonts w:cs="Arial"/>
        </w:rPr>
      </w:pPr>
    </w:p>
    <w:p w:rsidR="00B25879" w:rsidRDefault="00B25879" w:rsidP="00B25879">
      <w:pPr>
        <w:pStyle w:val="ListParagraph"/>
        <w:numPr>
          <w:ilvl w:val="0"/>
          <w:numId w:val="25"/>
        </w:numPr>
        <w:overflowPunct/>
        <w:autoSpaceDE/>
        <w:autoSpaceDN/>
        <w:adjustRightInd/>
        <w:spacing w:line="300" w:lineRule="auto"/>
        <w:ind w:left="1008" w:hanging="504"/>
        <w:jc w:val="both"/>
        <w:textAlignment w:val="auto"/>
        <w:rPr>
          <w:rFonts w:cs="Arial"/>
        </w:rPr>
      </w:pPr>
      <w:r w:rsidRPr="00D6707C">
        <w:rPr>
          <w:rFonts w:cs="Arial"/>
        </w:rPr>
        <w:t>By September 30, 2014, all adult services staff will complete mandatory adult services core training that includes review of policy and requirements regarding required client benefit reductions, certification of medical need, notification of benefit approvals and case file documentation.</w:t>
      </w:r>
    </w:p>
    <w:p w:rsidR="00B25879" w:rsidRPr="00B25879" w:rsidRDefault="00B25879" w:rsidP="00B25879">
      <w:pPr>
        <w:pStyle w:val="ListParagraph"/>
        <w:spacing w:line="300" w:lineRule="auto"/>
        <w:rPr>
          <w:rFonts w:cs="Arial"/>
        </w:rPr>
      </w:pPr>
    </w:p>
    <w:p w:rsidR="00B25879" w:rsidRPr="00D6707C" w:rsidRDefault="00B25879" w:rsidP="00B25879">
      <w:pPr>
        <w:pStyle w:val="ListParagraph"/>
        <w:numPr>
          <w:ilvl w:val="0"/>
          <w:numId w:val="25"/>
        </w:numPr>
        <w:overflowPunct/>
        <w:autoSpaceDE/>
        <w:autoSpaceDN/>
        <w:adjustRightInd/>
        <w:spacing w:line="300" w:lineRule="auto"/>
        <w:ind w:left="1008" w:hanging="504"/>
        <w:jc w:val="both"/>
        <w:textAlignment w:val="auto"/>
        <w:rPr>
          <w:rFonts w:cs="Arial"/>
        </w:rPr>
      </w:pPr>
      <w:r w:rsidRPr="00D6707C">
        <w:rPr>
          <w:rFonts w:cs="Arial"/>
        </w:rPr>
        <w:t>DCH and DHS management will develop additional monitoring protocols as necessary to ensure compliance with corrective actions.</w:t>
      </w:r>
    </w:p>
    <w:p w:rsidR="00B25879" w:rsidRPr="00D6707C" w:rsidRDefault="00B25879" w:rsidP="00B25879">
      <w:pPr>
        <w:spacing w:line="300" w:lineRule="auto"/>
        <w:ind w:left="504"/>
        <w:jc w:val="both"/>
        <w:rPr>
          <w:rFonts w:cs="Arial"/>
        </w:rPr>
      </w:pPr>
    </w:p>
    <w:p w:rsidR="00B25879" w:rsidRPr="00D6707C" w:rsidRDefault="00B25879" w:rsidP="00B25879">
      <w:pPr>
        <w:spacing w:line="300" w:lineRule="auto"/>
        <w:ind w:left="504"/>
        <w:jc w:val="both"/>
        <w:rPr>
          <w:rFonts w:cs="Arial"/>
        </w:rPr>
      </w:pPr>
      <w:r w:rsidRPr="00D6707C">
        <w:rPr>
          <w:rFonts w:cs="Arial"/>
        </w:rPr>
        <w:t>As part of the design process for the new case management system</w:t>
      </w:r>
      <w:r>
        <w:rPr>
          <w:rFonts w:cs="Arial"/>
        </w:rPr>
        <w:t>,</w:t>
      </w:r>
      <w:r w:rsidRPr="00D6707C">
        <w:rPr>
          <w:rFonts w:cs="Arial"/>
        </w:rPr>
        <w:t xml:space="preserve"> DCH and DHS anticipate automating many of these processes to help ensure compliance.  </w:t>
      </w:r>
    </w:p>
    <w:p w:rsidR="0097689D" w:rsidRDefault="0097689D" w:rsidP="00B25879">
      <w:pPr>
        <w:tabs>
          <w:tab w:val="left" w:pos="0"/>
        </w:tabs>
        <w:spacing w:line="300" w:lineRule="auto"/>
        <w:ind w:left="504"/>
        <w:jc w:val="both"/>
        <w:rPr>
          <w:rFonts w:cs="Arial"/>
        </w:rPr>
      </w:pPr>
    </w:p>
    <w:p w:rsidR="0097689D" w:rsidRDefault="0097689D" w:rsidP="00F84A56">
      <w:pPr>
        <w:tabs>
          <w:tab w:val="left" w:pos="0"/>
        </w:tabs>
        <w:spacing w:line="300" w:lineRule="auto"/>
        <w:ind w:left="504"/>
        <w:jc w:val="both"/>
        <w:rPr>
          <w:rFonts w:cs="Arial"/>
        </w:rPr>
      </w:pPr>
    </w:p>
    <w:p w:rsidR="00893F75" w:rsidRPr="00FB1CBD" w:rsidRDefault="00F55887" w:rsidP="00F84A56">
      <w:pPr>
        <w:spacing w:line="300" w:lineRule="auto"/>
        <w:jc w:val="both"/>
        <w:rPr>
          <w:rFonts w:cs="Arial"/>
          <w:b/>
          <w:smallCaps/>
          <w:sz w:val="28"/>
          <w:u w:val="single"/>
        </w:rPr>
      </w:pPr>
      <w:r w:rsidRPr="00FB1CBD">
        <w:rPr>
          <w:rFonts w:cs="Arial"/>
          <w:b/>
          <w:smallCaps/>
          <w:sz w:val="28"/>
          <w:u w:val="single"/>
        </w:rPr>
        <w:t>Finding</w:t>
      </w:r>
    </w:p>
    <w:p w:rsidR="00893F75" w:rsidRPr="00FB1CBD" w:rsidRDefault="00893F75" w:rsidP="00F84A56">
      <w:pPr>
        <w:pStyle w:val="A4-FindingTitle"/>
      </w:pPr>
      <w:r w:rsidRPr="00FB1CBD">
        <w:t>Management Use of Client Case File Reviews</w:t>
      </w:r>
    </w:p>
    <w:p w:rsidR="00162B46" w:rsidRDefault="00893F75" w:rsidP="00162B46">
      <w:pPr>
        <w:spacing w:line="300" w:lineRule="auto"/>
        <w:ind w:left="504"/>
        <w:jc w:val="both"/>
        <w:rPr>
          <w:rFonts w:cs="Arial"/>
        </w:rPr>
      </w:pPr>
      <w:r w:rsidRPr="00FB1CBD">
        <w:rPr>
          <w:rFonts w:cs="Arial"/>
        </w:rPr>
        <w:t xml:space="preserve">DCH and DHS did not effectively utilize the results of </w:t>
      </w:r>
      <w:r w:rsidR="00A707F8">
        <w:rPr>
          <w:rFonts w:cs="Arial"/>
        </w:rPr>
        <w:t>HHP</w:t>
      </w:r>
      <w:r w:rsidR="000D37C1">
        <w:rPr>
          <w:rFonts w:cs="Arial"/>
        </w:rPr>
        <w:t xml:space="preserve"> </w:t>
      </w:r>
      <w:r w:rsidRPr="00FB1CBD">
        <w:rPr>
          <w:rFonts w:cs="Arial"/>
        </w:rPr>
        <w:t xml:space="preserve">case file reviews completed by ASW supervisors and a DCH contractor to correct </w:t>
      </w:r>
      <w:r w:rsidR="00A707F8">
        <w:rPr>
          <w:rFonts w:cs="Arial"/>
        </w:rPr>
        <w:t>HHP</w:t>
      </w:r>
      <w:r w:rsidR="000D37C1">
        <w:rPr>
          <w:rFonts w:cs="Arial"/>
        </w:rPr>
        <w:t xml:space="preserve"> </w:t>
      </w:r>
      <w:r w:rsidRPr="00FB1CBD">
        <w:rPr>
          <w:rFonts w:cs="Arial"/>
        </w:rPr>
        <w:t xml:space="preserve">deficiencies.  As a result, DCH and DHS missed the opportunity to identify the cause of, and implement </w:t>
      </w:r>
      <w:r w:rsidR="00D21083" w:rsidRPr="00FB1CBD">
        <w:rPr>
          <w:rFonts w:cs="Arial"/>
        </w:rPr>
        <w:t xml:space="preserve">timely </w:t>
      </w:r>
      <w:r w:rsidRPr="00FB1CBD">
        <w:rPr>
          <w:rFonts w:cs="Arial"/>
        </w:rPr>
        <w:t xml:space="preserve">corrective action for, some of the deficiencies noted during our </w:t>
      </w:r>
      <w:r w:rsidR="00162B46">
        <w:rPr>
          <w:rFonts w:cs="Arial"/>
        </w:rPr>
        <w:br/>
      </w:r>
      <w:r w:rsidR="00162B46">
        <w:rPr>
          <w:rFonts w:cs="Arial"/>
        </w:rPr>
        <w:br w:type="page"/>
      </w:r>
    </w:p>
    <w:p w:rsidR="00F55887" w:rsidRPr="00FB1CBD" w:rsidRDefault="00893F75" w:rsidP="00F84A56">
      <w:pPr>
        <w:spacing w:line="300" w:lineRule="auto"/>
        <w:ind w:left="504"/>
        <w:jc w:val="both"/>
        <w:rPr>
          <w:rFonts w:cs="Arial"/>
        </w:rPr>
      </w:pPr>
      <w:r w:rsidRPr="00FB1CBD">
        <w:rPr>
          <w:rFonts w:cs="Arial"/>
        </w:rPr>
        <w:lastRenderedPageBreak/>
        <w:t>audit (</w:t>
      </w:r>
      <w:r w:rsidR="004A02D1">
        <w:rPr>
          <w:rFonts w:cs="Arial"/>
        </w:rPr>
        <w:t>s</w:t>
      </w:r>
      <w:r w:rsidRPr="00FB1CBD">
        <w:rPr>
          <w:rFonts w:cs="Arial"/>
        </w:rPr>
        <w:t xml:space="preserve">ee </w:t>
      </w:r>
      <w:r w:rsidR="000D37C1">
        <w:rPr>
          <w:rFonts w:cs="Arial"/>
        </w:rPr>
        <w:t>F</w:t>
      </w:r>
      <w:r w:rsidRPr="00FB1CBD">
        <w:rPr>
          <w:rFonts w:cs="Arial"/>
        </w:rPr>
        <w:t>inding</w:t>
      </w:r>
      <w:r w:rsidR="000D37C1">
        <w:rPr>
          <w:rFonts w:cs="Arial"/>
        </w:rPr>
        <w:t xml:space="preserve">s </w:t>
      </w:r>
      <w:r w:rsidRPr="00FB1CBD">
        <w:rPr>
          <w:rFonts w:cs="Arial"/>
        </w:rPr>
        <w:t>1</w:t>
      </w:r>
      <w:r w:rsidR="0014364F">
        <w:rPr>
          <w:rFonts w:cs="Arial"/>
        </w:rPr>
        <w:t xml:space="preserve">, 2, 3, and </w:t>
      </w:r>
      <w:r w:rsidR="000D37C1">
        <w:rPr>
          <w:rFonts w:cs="Arial"/>
        </w:rPr>
        <w:t>7</w:t>
      </w:r>
      <w:r w:rsidRPr="00FB1CBD">
        <w:rPr>
          <w:rFonts w:cs="Arial"/>
        </w:rPr>
        <w:t xml:space="preserve">). </w:t>
      </w:r>
      <w:r w:rsidR="003A3182" w:rsidRPr="00FB1CBD">
        <w:t xml:space="preserve"> </w:t>
      </w:r>
      <w:r w:rsidRPr="00FB1CBD">
        <w:rPr>
          <w:rFonts w:cs="Arial"/>
        </w:rPr>
        <w:t xml:space="preserve">These deficiencies could potentially result in overpayments to providers, untimely services, and loss of federal funding for noncompliance with program requirements. </w:t>
      </w:r>
    </w:p>
    <w:p w:rsidR="00893F75" w:rsidRPr="00FB1CBD" w:rsidRDefault="00893F75" w:rsidP="00F84A56">
      <w:pPr>
        <w:spacing w:line="300" w:lineRule="auto"/>
        <w:ind w:left="504"/>
        <w:jc w:val="both"/>
        <w:rPr>
          <w:rFonts w:cs="Arial"/>
        </w:rPr>
      </w:pPr>
    </w:p>
    <w:p w:rsidR="00893F75" w:rsidRPr="00FB1CBD" w:rsidRDefault="00795E70" w:rsidP="00F84A56">
      <w:pPr>
        <w:spacing w:line="300" w:lineRule="auto"/>
        <w:ind w:left="504"/>
        <w:jc w:val="both"/>
        <w:rPr>
          <w:rFonts w:cs="Arial"/>
        </w:rPr>
      </w:pPr>
      <w:r>
        <w:rPr>
          <w:rFonts w:cs="Arial"/>
        </w:rPr>
        <w:t xml:space="preserve">Title </w:t>
      </w:r>
      <w:r w:rsidR="00893F75" w:rsidRPr="00FB1CBD">
        <w:rPr>
          <w:rFonts w:cs="Arial"/>
        </w:rPr>
        <w:t>42</w:t>
      </w:r>
      <w:r>
        <w:rPr>
          <w:rFonts w:cs="Arial"/>
        </w:rPr>
        <w:t xml:space="preserve">, Part 456, section 22 of the </w:t>
      </w:r>
      <w:r>
        <w:rPr>
          <w:rFonts w:cs="Arial"/>
          <w:i/>
        </w:rPr>
        <w:t>Code of Federal Regulations</w:t>
      </w:r>
      <w:r>
        <w:rPr>
          <w:rFonts w:cs="Arial"/>
        </w:rPr>
        <w:t>*</w:t>
      </w:r>
      <w:r w:rsidR="000C2D7F">
        <w:rPr>
          <w:rFonts w:cs="Arial"/>
        </w:rPr>
        <w:t xml:space="preserve"> </w:t>
      </w:r>
      <w:r w:rsidR="00BA0963" w:rsidRPr="00BA0963">
        <w:rPr>
          <w:rFonts w:cs="Arial"/>
        </w:rPr>
        <w:t>(</w:t>
      </w:r>
      <w:r w:rsidR="00BA0963" w:rsidRPr="00BA0963">
        <w:rPr>
          <w:rFonts w:cs="Arial"/>
          <w:i/>
        </w:rPr>
        <w:t>CFR</w:t>
      </w:r>
      <w:r w:rsidR="00BA0963" w:rsidRPr="00BA0963">
        <w:rPr>
          <w:rFonts w:cs="Arial"/>
        </w:rPr>
        <w:t>)</w:t>
      </w:r>
      <w:r w:rsidR="00893F75" w:rsidRPr="00FB1CBD">
        <w:rPr>
          <w:rFonts w:cs="Arial"/>
        </w:rPr>
        <w:t xml:space="preserve"> requires DCH to have processes for the ongoing evaluation of the need for, and the quality and timeliness of, Medicaid-funded services.  Accordingly, ASW supervisors were required to review three </w:t>
      </w:r>
      <w:r w:rsidR="00A707F8">
        <w:rPr>
          <w:rFonts w:cs="Arial"/>
        </w:rPr>
        <w:t>HHP</w:t>
      </w:r>
      <w:r>
        <w:rPr>
          <w:rFonts w:cs="Arial"/>
        </w:rPr>
        <w:t xml:space="preserve"> </w:t>
      </w:r>
      <w:r w:rsidR="00893F75" w:rsidRPr="00FB1CBD">
        <w:rPr>
          <w:rFonts w:cs="Arial"/>
        </w:rPr>
        <w:t>cases for each of their ASW</w:t>
      </w:r>
      <w:r>
        <w:rPr>
          <w:rFonts w:cs="Arial"/>
        </w:rPr>
        <w:t>s</w:t>
      </w:r>
      <w:r w:rsidR="00893F75" w:rsidRPr="00FB1CBD">
        <w:rPr>
          <w:rFonts w:cs="Arial"/>
        </w:rPr>
        <w:t xml:space="preserve"> quarterly and submit a summary of the reviews to </w:t>
      </w:r>
      <w:r>
        <w:rPr>
          <w:rFonts w:cs="Arial"/>
        </w:rPr>
        <w:t xml:space="preserve">DCH and </w:t>
      </w:r>
      <w:r w:rsidR="00893F75" w:rsidRPr="00FB1CBD">
        <w:rPr>
          <w:rFonts w:cs="Arial"/>
        </w:rPr>
        <w:t>DHS management.  In June 2008, DCH also contracted with a not-for-profit entity to visit DHS offices in approximately one-third of the State</w:t>
      </w:r>
      <w:r w:rsidR="00F305E9">
        <w:rPr>
          <w:rFonts w:cs="Arial"/>
        </w:rPr>
        <w:t>'</w:t>
      </w:r>
      <w:r w:rsidR="00893F75" w:rsidRPr="00FB1CBD">
        <w:rPr>
          <w:rFonts w:cs="Arial"/>
        </w:rPr>
        <w:t>s counties each year over a three-year period and review approximately 10% of each county</w:t>
      </w:r>
      <w:r w:rsidR="00F305E9">
        <w:rPr>
          <w:rFonts w:cs="Arial"/>
        </w:rPr>
        <w:t>'</w:t>
      </w:r>
      <w:r w:rsidR="00893F75" w:rsidRPr="00FB1CBD">
        <w:rPr>
          <w:rFonts w:cs="Arial"/>
        </w:rPr>
        <w:t xml:space="preserve">s </w:t>
      </w:r>
      <w:r w:rsidR="00A707F8">
        <w:rPr>
          <w:rFonts w:cs="Arial"/>
        </w:rPr>
        <w:t>HHP</w:t>
      </w:r>
      <w:r>
        <w:rPr>
          <w:rFonts w:cs="Arial"/>
        </w:rPr>
        <w:t xml:space="preserve"> </w:t>
      </w:r>
      <w:r w:rsidR="00893F75" w:rsidRPr="00FB1CBD">
        <w:rPr>
          <w:rFonts w:cs="Arial"/>
        </w:rPr>
        <w:t xml:space="preserve">cases for compliance with various program requirements. </w:t>
      </w:r>
      <w:r w:rsidR="00F55887" w:rsidRPr="00FB1CBD">
        <w:rPr>
          <w:rFonts w:cs="Arial"/>
        </w:rPr>
        <w:t xml:space="preserve"> </w:t>
      </w:r>
      <w:r w:rsidR="00893F75" w:rsidRPr="00FB1CBD">
        <w:rPr>
          <w:rFonts w:cs="Arial"/>
        </w:rPr>
        <w:t xml:space="preserve">We noted: </w:t>
      </w:r>
    </w:p>
    <w:p w:rsidR="00F55887" w:rsidRPr="00FB1CBD" w:rsidRDefault="00F55887" w:rsidP="00F84A56">
      <w:pPr>
        <w:spacing w:line="300" w:lineRule="auto"/>
        <w:ind w:left="504"/>
        <w:jc w:val="both"/>
        <w:rPr>
          <w:rFonts w:cs="Arial"/>
        </w:rPr>
      </w:pPr>
    </w:p>
    <w:p w:rsidR="00F55887" w:rsidRPr="00FB1CBD" w:rsidRDefault="00893F75" w:rsidP="00027935">
      <w:pPr>
        <w:numPr>
          <w:ilvl w:val="0"/>
          <w:numId w:val="20"/>
        </w:numPr>
        <w:overflowPunct/>
        <w:spacing w:line="300" w:lineRule="auto"/>
        <w:ind w:left="1008" w:hanging="504"/>
        <w:contextualSpacing/>
        <w:jc w:val="both"/>
        <w:textAlignment w:val="auto"/>
        <w:rPr>
          <w:rFonts w:cs="Arial"/>
        </w:rPr>
      </w:pPr>
      <w:r w:rsidRPr="00FB1CBD">
        <w:rPr>
          <w:rFonts w:cs="Arial"/>
        </w:rPr>
        <w:t xml:space="preserve">DHS did not compile and analyze the results of its ASW supervisor reviews to help </w:t>
      </w:r>
      <w:r w:rsidR="00795E70">
        <w:rPr>
          <w:rFonts w:cs="Arial"/>
        </w:rPr>
        <w:t xml:space="preserve">DCH and </w:t>
      </w:r>
      <w:r w:rsidRPr="00FB1CBD">
        <w:rPr>
          <w:rFonts w:cs="Arial"/>
        </w:rPr>
        <w:t xml:space="preserve">DHS management identify and correct recurring deficiencies.  </w:t>
      </w:r>
    </w:p>
    <w:p w:rsidR="00F55887" w:rsidRPr="00FB1CBD" w:rsidRDefault="00F55887" w:rsidP="00F84A56">
      <w:pPr>
        <w:overflowPunct/>
        <w:spacing w:line="300" w:lineRule="auto"/>
        <w:ind w:left="1008"/>
        <w:contextualSpacing/>
        <w:jc w:val="both"/>
        <w:textAlignment w:val="auto"/>
        <w:rPr>
          <w:rFonts w:cs="Arial"/>
        </w:rPr>
      </w:pPr>
    </w:p>
    <w:p w:rsidR="00F55887" w:rsidRPr="00FB1CBD" w:rsidRDefault="00893F75" w:rsidP="00F84A56">
      <w:pPr>
        <w:overflowPunct/>
        <w:spacing w:line="300" w:lineRule="auto"/>
        <w:ind w:left="1008"/>
        <w:contextualSpacing/>
        <w:jc w:val="both"/>
        <w:textAlignment w:val="auto"/>
        <w:rPr>
          <w:rFonts w:cs="Arial"/>
        </w:rPr>
      </w:pPr>
      <w:r w:rsidRPr="00FB1CBD">
        <w:rPr>
          <w:rFonts w:cs="Arial"/>
        </w:rPr>
        <w:t xml:space="preserve">DHS informed us that it did not compile the results of its supervisory case reviews since May 2012 because the </w:t>
      </w:r>
      <w:r w:rsidR="00D21083" w:rsidRPr="00FB1CBD">
        <w:rPr>
          <w:rFonts w:cs="Arial"/>
        </w:rPr>
        <w:t>position</w:t>
      </w:r>
      <w:r w:rsidRPr="00FB1CBD">
        <w:rPr>
          <w:rFonts w:cs="Arial"/>
        </w:rPr>
        <w:t xml:space="preserve"> responsible for the compilation was </w:t>
      </w:r>
      <w:r w:rsidR="00D21083" w:rsidRPr="00FB1CBD">
        <w:rPr>
          <w:rFonts w:cs="Arial"/>
        </w:rPr>
        <w:t>vacant</w:t>
      </w:r>
      <w:r w:rsidRPr="00FB1CBD">
        <w:rPr>
          <w:rFonts w:cs="Arial"/>
        </w:rPr>
        <w:t>.  Also, DHS informed us that comp</w:t>
      </w:r>
      <w:r w:rsidR="00795E70">
        <w:rPr>
          <w:rFonts w:cs="Arial"/>
        </w:rPr>
        <w:t>ilations completed prior to May </w:t>
      </w:r>
      <w:r w:rsidRPr="00FB1CBD">
        <w:rPr>
          <w:rFonts w:cs="Arial"/>
        </w:rPr>
        <w:t>2012</w:t>
      </w:r>
      <w:r w:rsidR="00D21083" w:rsidRPr="00FB1CBD">
        <w:rPr>
          <w:rFonts w:cs="Arial"/>
        </w:rPr>
        <w:t xml:space="preserve"> were not available for review.</w:t>
      </w:r>
    </w:p>
    <w:p w:rsidR="003A3182" w:rsidRDefault="003A3182" w:rsidP="00F84A56">
      <w:pPr>
        <w:overflowPunct/>
        <w:autoSpaceDE/>
        <w:autoSpaceDN/>
        <w:adjustRightInd/>
        <w:spacing w:line="300" w:lineRule="auto"/>
        <w:textAlignment w:val="auto"/>
        <w:rPr>
          <w:rFonts w:cs="Arial"/>
        </w:rPr>
      </w:pPr>
    </w:p>
    <w:p w:rsidR="003A3182" w:rsidRPr="00FB1CBD" w:rsidRDefault="00893F75" w:rsidP="00027935">
      <w:pPr>
        <w:numPr>
          <w:ilvl w:val="0"/>
          <w:numId w:val="20"/>
        </w:numPr>
        <w:overflowPunct/>
        <w:spacing w:line="300" w:lineRule="auto"/>
        <w:ind w:left="1008" w:hanging="504"/>
        <w:contextualSpacing/>
        <w:jc w:val="both"/>
        <w:textAlignment w:val="auto"/>
        <w:rPr>
          <w:rFonts w:cs="Arial"/>
        </w:rPr>
      </w:pPr>
      <w:r w:rsidRPr="00FB1CBD">
        <w:rPr>
          <w:rFonts w:cs="Arial"/>
        </w:rPr>
        <w:t xml:space="preserve">DCH did not forward or timely forward the results of </w:t>
      </w:r>
      <w:r w:rsidR="00795E70">
        <w:rPr>
          <w:rFonts w:cs="Arial"/>
        </w:rPr>
        <w:t xml:space="preserve">its </w:t>
      </w:r>
      <w:r w:rsidRPr="00FB1CBD">
        <w:rPr>
          <w:rFonts w:cs="Arial"/>
        </w:rPr>
        <w:t>contractor</w:t>
      </w:r>
      <w:r w:rsidR="00F305E9">
        <w:rPr>
          <w:rFonts w:cs="Arial"/>
        </w:rPr>
        <w:t>'</w:t>
      </w:r>
      <w:r w:rsidRPr="00FB1CBD">
        <w:rPr>
          <w:rFonts w:cs="Arial"/>
        </w:rPr>
        <w:t>s case file reviews to local DHS offices for corrective action or take sufficient corrective action itself to prevent the recurrence of the cit</w:t>
      </w:r>
      <w:r w:rsidR="003A3182" w:rsidRPr="00FB1CBD">
        <w:rPr>
          <w:rFonts w:cs="Arial"/>
        </w:rPr>
        <w:t>ed deficiencies.  DCH paid $1.4 </w:t>
      </w:r>
      <w:r w:rsidRPr="00FB1CBD">
        <w:rPr>
          <w:rFonts w:cs="Arial"/>
        </w:rPr>
        <w:t xml:space="preserve">million over the </w:t>
      </w:r>
      <w:r w:rsidR="00795E70">
        <w:rPr>
          <w:rFonts w:cs="Arial"/>
        </w:rPr>
        <w:t>three-</w:t>
      </w:r>
      <w:r w:rsidRPr="00FB1CBD">
        <w:rPr>
          <w:rFonts w:cs="Arial"/>
        </w:rPr>
        <w:t>year period for the contractor</w:t>
      </w:r>
      <w:r w:rsidR="00F305E9">
        <w:rPr>
          <w:rFonts w:cs="Arial"/>
        </w:rPr>
        <w:t>'</w:t>
      </w:r>
      <w:r w:rsidRPr="00FB1CBD">
        <w:rPr>
          <w:rFonts w:cs="Arial"/>
        </w:rPr>
        <w:t xml:space="preserve">s services. </w:t>
      </w:r>
    </w:p>
    <w:p w:rsidR="00F55887" w:rsidRPr="00FB1CBD" w:rsidRDefault="00F55887" w:rsidP="00F84A56">
      <w:pPr>
        <w:overflowPunct/>
        <w:spacing w:line="300" w:lineRule="auto"/>
        <w:ind w:left="1008"/>
        <w:contextualSpacing/>
        <w:jc w:val="both"/>
        <w:textAlignment w:val="auto"/>
        <w:rPr>
          <w:rFonts w:cs="Arial"/>
        </w:rPr>
      </w:pPr>
    </w:p>
    <w:p w:rsidR="00893F75" w:rsidRPr="00FB1CBD" w:rsidRDefault="00893F75" w:rsidP="00F84A56">
      <w:pPr>
        <w:overflowPunct/>
        <w:autoSpaceDE/>
        <w:autoSpaceDN/>
        <w:adjustRightInd/>
        <w:spacing w:line="300" w:lineRule="auto"/>
        <w:ind w:left="1008"/>
        <w:jc w:val="both"/>
        <w:textAlignment w:val="auto"/>
        <w:rPr>
          <w:rFonts w:cs="Arial"/>
        </w:rPr>
      </w:pPr>
      <w:r w:rsidRPr="00FB1CBD">
        <w:rPr>
          <w:rFonts w:cs="Arial"/>
        </w:rPr>
        <w:t xml:space="preserve">DCH informed us that </w:t>
      </w:r>
      <w:r w:rsidR="007A3883" w:rsidRPr="00FB1CBD">
        <w:rPr>
          <w:rFonts w:cs="Arial"/>
        </w:rPr>
        <w:t xml:space="preserve">a lack of staff resources caused the delay in </w:t>
      </w:r>
      <w:r w:rsidR="00795E70">
        <w:rPr>
          <w:rFonts w:cs="Arial"/>
        </w:rPr>
        <w:t xml:space="preserve">forwarding </w:t>
      </w:r>
      <w:r w:rsidR="007A3883" w:rsidRPr="00FB1CBD">
        <w:rPr>
          <w:rFonts w:cs="Arial"/>
        </w:rPr>
        <w:t>the results of the contractor</w:t>
      </w:r>
      <w:r w:rsidR="00F305E9">
        <w:rPr>
          <w:rFonts w:cs="Arial"/>
        </w:rPr>
        <w:t>'</w:t>
      </w:r>
      <w:r w:rsidR="007A3883" w:rsidRPr="00FB1CBD">
        <w:rPr>
          <w:rFonts w:cs="Arial"/>
        </w:rPr>
        <w:t xml:space="preserve">s case file reviews on a timely basis to the local DHS offices for corrective action. </w:t>
      </w:r>
    </w:p>
    <w:p w:rsidR="00F55887" w:rsidRPr="00FB1CBD" w:rsidRDefault="00F55887" w:rsidP="00F84A56">
      <w:pPr>
        <w:overflowPunct/>
        <w:spacing w:line="300" w:lineRule="auto"/>
        <w:ind w:left="1008"/>
        <w:contextualSpacing/>
        <w:jc w:val="both"/>
        <w:textAlignment w:val="auto"/>
        <w:rPr>
          <w:rFonts w:cs="Arial"/>
        </w:rPr>
      </w:pPr>
    </w:p>
    <w:p w:rsidR="00893F75" w:rsidRPr="00FB1CBD" w:rsidRDefault="00F55887" w:rsidP="00F84A56">
      <w:pPr>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spacing w:line="300" w:lineRule="auto"/>
        <w:ind w:left="504"/>
        <w:jc w:val="both"/>
        <w:rPr>
          <w:rFonts w:cs="Arial"/>
        </w:rPr>
      </w:pPr>
      <w:r w:rsidRPr="00FB1CBD">
        <w:rPr>
          <w:rFonts w:cs="Arial"/>
        </w:rPr>
        <w:t xml:space="preserve">We recommend that DCH and DHS effectively utilize the results of </w:t>
      </w:r>
      <w:r w:rsidR="00A707F8">
        <w:rPr>
          <w:rFonts w:cs="Arial"/>
        </w:rPr>
        <w:t>HHP</w:t>
      </w:r>
      <w:r w:rsidR="00795E70">
        <w:rPr>
          <w:rFonts w:cs="Arial"/>
        </w:rPr>
        <w:t xml:space="preserve"> </w:t>
      </w:r>
      <w:r w:rsidRPr="00FB1CBD">
        <w:rPr>
          <w:rFonts w:cs="Arial"/>
        </w:rPr>
        <w:t xml:space="preserve">case file reviews completed by ASW supervisors and the DCH contractor to correct </w:t>
      </w:r>
      <w:r w:rsidR="00A707F8">
        <w:rPr>
          <w:rFonts w:cs="Arial"/>
        </w:rPr>
        <w:t>HHP</w:t>
      </w:r>
      <w:r w:rsidR="00795E70">
        <w:rPr>
          <w:rFonts w:cs="Arial"/>
        </w:rPr>
        <w:t xml:space="preserve"> </w:t>
      </w:r>
      <w:r w:rsidRPr="00FB1CBD">
        <w:rPr>
          <w:rFonts w:cs="Arial"/>
        </w:rPr>
        <w:t xml:space="preserve">deficiencies.  </w:t>
      </w:r>
    </w:p>
    <w:p w:rsidR="00F55887" w:rsidRDefault="00F55887" w:rsidP="00F84A56">
      <w:pPr>
        <w:spacing w:line="300" w:lineRule="auto"/>
        <w:ind w:left="504"/>
        <w:jc w:val="both"/>
        <w:rPr>
          <w:rFonts w:cs="Arial"/>
        </w:rPr>
      </w:pPr>
    </w:p>
    <w:p w:rsidR="00162B46" w:rsidRPr="00C87A26" w:rsidRDefault="00162B46" w:rsidP="00162B46">
      <w:pPr>
        <w:pStyle w:val="ListParagraph"/>
        <w:overflowPunct/>
        <w:autoSpaceDE/>
        <w:autoSpaceDN/>
        <w:adjustRightInd/>
        <w:spacing w:line="300" w:lineRule="auto"/>
        <w:ind w:left="0"/>
        <w:jc w:val="both"/>
        <w:textAlignment w:val="auto"/>
        <w:rPr>
          <w:rFonts w:cs="Arial"/>
          <w:sz w:val="20"/>
          <w:szCs w:val="20"/>
        </w:rPr>
      </w:pPr>
      <w:r w:rsidRPr="00C87A26">
        <w:rPr>
          <w:rFonts w:cs="Arial"/>
          <w:i/>
          <w:sz w:val="20"/>
          <w:szCs w:val="20"/>
        </w:rPr>
        <w:t xml:space="preserve">*  See glossary at end of report for definition.  </w:t>
      </w:r>
      <w:r w:rsidRPr="00C87A26">
        <w:rPr>
          <w:rFonts w:cs="Arial"/>
          <w:sz w:val="20"/>
          <w:szCs w:val="20"/>
        </w:rPr>
        <w:br w:type="page"/>
      </w: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lastRenderedPageBreak/>
        <w:t>Agency Preliminary Response</w:t>
      </w:r>
    </w:p>
    <w:p w:rsidR="00162B46" w:rsidRPr="00D6707C" w:rsidRDefault="00162B46" w:rsidP="00162B46">
      <w:pPr>
        <w:spacing w:line="300" w:lineRule="auto"/>
        <w:ind w:left="504"/>
        <w:jc w:val="both"/>
        <w:rPr>
          <w:rFonts w:cs="Arial"/>
        </w:rPr>
      </w:pPr>
      <w:r w:rsidRPr="00D6707C">
        <w:rPr>
          <w:rFonts w:cs="Arial"/>
        </w:rPr>
        <w:t xml:space="preserve">DCH and DHS agree that they did not effectively utilize the results of case file reviews completed during the audit period. </w:t>
      </w:r>
    </w:p>
    <w:p w:rsidR="00162B46" w:rsidRPr="00D6707C" w:rsidRDefault="00162B46" w:rsidP="00162B46">
      <w:pPr>
        <w:spacing w:line="300" w:lineRule="auto"/>
        <w:ind w:left="504"/>
        <w:jc w:val="both"/>
        <w:rPr>
          <w:rFonts w:cs="Arial"/>
        </w:rPr>
      </w:pPr>
    </w:p>
    <w:p w:rsidR="00162B46" w:rsidRPr="00D6707C" w:rsidRDefault="00162B46" w:rsidP="00162B46">
      <w:pPr>
        <w:spacing w:line="300" w:lineRule="auto"/>
        <w:ind w:left="504"/>
        <w:jc w:val="both"/>
        <w:rPr>
          <w:rFonts w:cs="Arial"/>
        </w:rPr>
      </w:pPr>
      <w:r w:rsidRPr="00D6707C">
        <w:rPr>
          <w:rFonts w:cs="Arial"/>
        </w:rPr>
        <w:t>During the audit period, DCH had a process in place for monitoring home help cases; however, limited staff resources caused delays in summarizing the review results and effectively distributing the results to the DHS field offices for corrective actions on a timely basis.</w:t>
      </w:r>
    </w:p>
    <w:p w:rsidR="00162B46" w:rsidRPr="00D6707C" w:rsidRDefault="00162B46" w:rsidP="00162B46">
      <w:pPr>
        <w:spacing w:line="300" w:lineRule="auto"/>
        <w:ind w:left="504"/>
        <w:jc w:val="both"/>
        <w:rPr>
          <w:rFonts w:cs="Arial"/>
        </w:rPr>
      </w:pPr>
    </w:p>
    <w:p w:rsidR="00162B46" w:rsidRPr="00D6707C" w:rsidRDefault="00162B46" w:rsidP="00162B46">
      <w:pPr>
        <w:spacing w:line="300" w:lineRule="auto"/>
        <w:ind w:left="504"/>
        <w:jc w:val="both"/>
        <w:rPr>
          <w:rFonts w:cs="Arial"/>
        </w:rPr>
      </w:pPr>
      <w:r>
        <w:rPr>
          <w:rFonts w:cs="Arial"/>
        </w:rPr>
        <w:t>DCH and DHS informed us that t</w:t>
      </w:r>
      <w:r w:rsidRPr="00D6707C">
        <w:rPr>
          <w:rFonts w:cs="Arial"/>
        </w:rPr>
        <w:t>wo case read processes are currently in place.  First, the departments have streamlined and automated the DCH monitoring case read process and corrective action procedures.  Case files can be reviewed, reported, and an action plan requested, developed, and approved in days.  The departments expect this process will provide more complete and timely feedback to the county offices which will aid in timely identifying and correcting case files issues.  Second, the DHS county/district offices are required to submit quarterly case read reports to the Office of Adult Services (OAS).  OAS is compiling, reviewing and analyzing the results to identify deficiencies, needed process improvements and high risk performance metrics.  DHS will share these case read results with DCH to ensure that policy is consistently and correctly applied.  OAS is also developing shared resources with the Office of Quality Assurance and Internal Control, Data Management Unit Division of Continuous Quality Improvement and DTMB to develop a targeted case read process.</w:t>
      </w:r>
    </w:p>
    <w:p w:rsidR="00162B46" w:rsidRPr="00D6707C" w:rsidRDefault="00162B46" w:rsidP="00162B46">
      <w:pPr>
        <w:spacing w:line="300" w:lineRule="auto"/>
        <w:ind w:left="504"/>
        <w:jc w:val="both"/>
        <w:rPr>
          <w:rFonts w:cs="Arial"/>
        </w:rPr>
      </w:pPr>
    </w:p>
    <w:p w:rsidR="00162B46" w:rsidRDefault="00162B46" w:rsidP="00162B46">
      <w:pPr>
        <w:spacing w:line="300" w:lineRule="auto"/>
        <w:ind w:left="504"/>
        <w:jc w:val="both"/>
        <w:rPr>
          <w:rFonts w:cs="Arial"/>
        </w:rPr>
      </w:pPr>
      <w:r>
        <w:rPr>
          <w:rFonts w:cs="Arial"/>
        </w:rPr>
        <w:t xml:space="preserve">In addition, DCH and DHS informed us that they are implementing the </w:t>
      </w:r>
      <w:r w:rsidRPr="00D6707C">
        <w:rPr>
          <w:rFonts w:cs="Arial"/>
        </w:rPr>
        <w:t>following corrective actions</w:t>
      </w:r>
      <w:r>
        <w:rPr>
          <w:rFonts w:cs="Arial"/>
        </w:rPr>
        <w:t>:</w:t>
      </w:r>
      <w:r w:rsidRPr="00D6707C" w:rsidDel="00E77E58">
        <w:rPr>
          <w:rFonts w:cs="Arial"/>
        </w:rPr>
        <w:t xml:space="preserve"> </w:t>
      </w:r>
    </w:p>
    <w:p w:rsidR="00E27FC5" w:rsidRPr="00D6707C" w:rsidRDefault="00E27FC5" w:rsidP="00162B46">
      <w:pPr>
        <w:spacing w:line="300" w:lineRule="auto"/>
        <w:ind w:left="504"/>
        <w:jc w:val="both"/>
        <w:rPr>
          <w:rFonts w:cs="Arial"/>
        </w:rPr>
      </w:pPr>
    </w:p>
    <w:p w:rsidR="00162B46" w:rsidRPr="00E27FC5" w:rsidRDefault="00162B46" w:rsidP="00E27FC5">
      <w:pPr>
        <w:pStyle w:val="ListParagraph"/>
        <w:numPr>
          <w:ilvl w:val="0"/>
          <w:numId w:val="26"/>
        </w:numPr>
        <w:overflowPunct/>
        <w:autoSpaceDE/>
        <w:autoSpaceDN/>
        <w:adjustRightInd/>
        <w:spacing w:line="300" w:lineRule="auto"/>
        <w:ind w:left="1008" w:hanging="504"/>
        <w:jc w:val="both"/>
        <w:textAlignment w:val="auto"/>
        <w:rPr>
          <w:rFonts w:cs="Arial"/>
        </w:rPr>
      </w:pPr>
      <w:r w:rsidRPr="00D6707C">
        <w:rPr>
          <w:rFonts w:cs="Arial"/>
          <w:color w:val="000000"/>
        </w:rPr>
        <w:t>By July 1, 2014, DHS will issue a communication to DHS adult services staff reiterating that case reads and implementing case read corrections are mandatory.</w:t>
      </w:r>
    </w:p>
    <w:p w:rsidR="00E27FC5" w:rsidRPr="00D6707C" w:rsidRDefault="00E27FC5" w:rsidP="00E27FC5">
      <w:pPr>
        <w:pStyle w:val="ListParagraph"/>
        <w:overflowPunct/>
        <w:autoSpaceDE/>
        <w:autoSpaceDN/>
        <w:adjustRightInd/>
        <w:spacing w:line="300" w:lineRule="auto"/>
        <w:ind w:left="1008" w:hanging="504"/>
        <w:jc w:val="both"/>
        <w:textAlignment w:val="auto"/>
        <w:rPr>
          <w:rFonts w:cs="Arial"/>
        </w:rPr>
      </w:pPr>
    </w:p>
    <w:p w:rsidR="00162B46" w:rsidRDefault="00162B46" w:rsidP="00E27FC5">
      <w:pPr>
        <w:pStyle w:val="ListParagraph"/>
        <w:numPr>
          <w:ilvl w:val="0"/>
          <w:numId w:val="26"/>
        </w:numPr>
        <w:overflowPunct/>
        <w:autoSpaceDE/>
        <w:autoSpaceDN/>
        <w:adjustRightInd/>
        <w:spacing w:line="300" w:lineRule="auto"/>
        <w:ind w:left="1008" w:hanging="504"/>
        <w:jc w:val="both"/>
        <w:textAlignment w:val="auto"/>
        <w:rPr>
          <w:rFonts w:cs="Arial"/>
        </w:rPr>
      </w:pPr>
      <w:r w:rsidRPr="00D6707C">
        <w:rPr>
          <w:rFonts w:cs="Arial"/>
        </w:rPr>
        <w:t>By September 30, 2014, all adult services staff will complete mandatory adult services core training that includes review of policy and requirements regarding case reads and implementation of case read findings.</w:t>
      </w:r>
    </w:p>
    <w:p w:rsidR="00E27FC5" w:rsidRPr="00E27FC5" w:rsidRDefault="00E27FC5" w:rsidP="00E27FC5">
      <w:pPr>
        <w:pStyle w:val="ListParagraph"/>
        <w:ind w:left="1008" w:hanging="504"/>
        <w:rPr>
          <w:rFonts w:cs="Arial"/>
        </w:rPr>
      </w:pPr>
    </w:p>
    <w:p w:rsidR="00E27FC5" w:rsidRPr="00E27FC5" w:rsidRDefault="00162B46" w:rsidP="00E27FC5">
      <w:pPr>
        <w:pStyle w:val="ListParagraph"/>
        <w:numPr>
          <w:ilvl w:val="0"/>
          <w:numId w:val="26"/>
        </w:numPr>
        <w:overflowPunct/>
        <w:autoSpaceDE/>
        <w:autoSpaceDN/>
        <w:adjustRightInd/>
        <w:spacing w:line="300" w:lineRule="auto"/>
        <w:ind w:left="1008" w:hanging="504"/>
        <w:jc w:val="both"/>
        <w:textAlignment w:val="auto"/>
        <w:rPr>
          <w:rFonts w:cs="Arial"/>
        </w:rPr>
      </w:pPr>
      <w:r w:rsidRPr="00E27FC5">
        <w:rPr>
          <w:rFonts w:cs="Arial"/>
        </w:rPr>
        <w:t>DCH and DHS management will develop additional monitoring protocols as necessary to ensure compliance with corrective actions.</w:t>
      </w:r>
      <w:r w:rsidR="00E27FC5" w:rsidRPr="00E27FC5">
        <w:rPr>
          <w:rFonts w:cs="Arial"/>
        </w:rPr>
        <w:br w:type="page"/>
      </w:r>
    </w:p>
    <w:p w:rsidR="00893F75" w:rsidRPr="00FB1CBD" w:rsidRDefault="00DE6C9A" w:rsidP="00F84A56">
      <w:pPr>
        <w:spacing w:line="300" w:lineRule="auto"/>
        <w:jc w:val="both"/>
        <w:rPr>
          <w:rFonts w:cs="Arial"/>
          <w:b/>
          <w:smallCaps/>
          <w:sz w:val="28"/>
          <w:u w:val="single"/>
        </w:rPr>
      </w:pPr>
      <w:r w:rsidRPr="00FB1CBD">
        <w:rPr>
          <w:rFonts w:cs="Arial"/>
          <w:b/>
          <w:smallCaps/>
          <w:sz w:val="28"/>
          <w:u w:val="single"/>
        </w:rPr>
        <w:lastRenderedPageBreak/>
        <w:t>Finding</w:t>
      </w:r>
    </w:p>
    <w:p w:rsidR="00893F75" w:rsidRPr="00FB1CBD" w:rsidRDefault="00893F75" w:rsidP="00F84A56">
      <w:pPr>
        <w:pStyle w:val="A4-FindingTitle"/>
      </w:pPr>
      <w:r w:rsidRPr="00FB1CBD">
        <w:t xml:space="preserve">Controls to Prevent or Recover </w:t>
      </w:r>
      <w:r w:rsidR="00A707F8">
        <w:t>HHP</w:t>
      </w:r>
      <w:r w:rsidR="00795E70">
        <w:t xml:space="preserve"> </w:t>
      </w:r>
      <w:r w:rsidRPr="00FB1CBD">
        <w:t>Payments for Hospitalized Clients</w:t>
      </w:r>
    </w:p>
    <w:p w:rsidR="00893F75" w:rsidRPr="00FB1CBD" w:rsidRDefault="00893F75" w:rsidP="00F84A56">
      <w:pPr>
        <w:spacing w:line="300" w:lineRule="auto"/>
        <w:ind w:left="504"/>
        <w:jc w:val="both"/>
        <w:rPr>
          <w:rFonts w:cs="Arial"/>
        </w:rPr>
      </w:pPr>
      <w:r w:rsidRPr="00FB1CBD">
        <w:rPr>
          <w:rFonts w:cs="Arial"/>
        </w:rPr>
        <w:t xml:space="preserve">DCH and DHS </w:t>
      </w:r>
      <w:r w:rsidR="00795E70">
        <w:rPr>
          <w:rFonts w:cs="Arial"/>
        </w:rPr>
        <w:t xml:space="preserve">had </w:t>
      </w:r>
      <w:r w:rsidRPr="00FB1CBD">
        <w:rPr>
          <w:rFonts w:cs="Arial"/>
        </w:rPr>
        <w:t>not establish</w:t>
      </w:r>
      <w:r w:rsidR="00795E70">
        <w:rPr>
          <w:rFonts w:cs="Arial"/>
        </w:rPr>
        <w:t>ed</w:t>
      </w:r>
      <w:r w:rsidRPr="00FB1CBD">
        <w:rPr>
          <w:rFonts w:cs="Arial"/>
        </w:rPr>
        <w:t xml:space="preserve"> effective controls to prevent or recover Medicaid payments for </w:t>
      </w:r>
      <w:r w:rsidR="00A707F8">
        <w:rPr>
          <w:rFonts w:cs="Arial"/>
        </w:rPr>
        <w:t>HHP</w:t>
      </w:r>
      <w:r w:rsidR="004D2C88">
        <w:rPr>
          <w:rFonts w:cs="Arial"/>
        </w:rPr>
        <w:t xml:space="preserve"> </w:t>
      </w:r>
      <w:r w:rsidRPr="00FB1CBD">
        <w:rPr>
          <w:rFonts w:cs="Arial"/>
        </w:rPr>
        <w:t>services for hospitalized clie</w:t>
      </w:r>
      <w:r w:rsidR="004A02D1">
        <w:rPr>
          <w:rFonts w:cs="Arial"/>
        </w:rPr>
        <w:t>nts.  As a result, from October </w:t>
      </w:r>
      <w:r w:rsidRPr="00FB1CBD">
        <w:rPr>
          <w:rFonts w:cs="Arial"/>
        </w:rPr>
        <w:t>1, 2010 through February 28, 2013, DCH inappro</w:t>
      </w:r>
      <w:r w:rsidR="004A02D1">
        <w:rPr>
          <w:rFonts w:cs="Arial"/>
        </w:rPr>
        <w:t xml:space="preserve">priately paid an estimated $2.6 </w:t>
      </w:r>
      <w:r w:rsidRPr="00FB1CBD">
        <w:rPr>
          <w:rFonts w:cs="Arial"/>
        </w:rPr>
        <w:t xml:space="preserve">million (approximately $877,000 General Fund/general purpose) for </w:t>
      </w:r>
      <w:r w:rsidR="00A707F8">
        <w:rPr>
          <w:rFonts w:cs="Arial"/>
        </w:rPr>
        <w:t>HHP</w:t>
      </w:r>
      <w:r w:rsidR="00812401">
        <w:rPr>
          <w:rFonts w:cs="Arial"/>
        </w:rPr>
        <w:t xml:space="preserve"> </w:t>
      </w:r>
      <w:r w:rsidRPr="00FB1CBD">
        <w:rPr>
          <w:rFonts w:cs="Arial"/>
        </w:rPr>
        <w:t>services</w:t>
      </w:r>
      <w:r w:rsidR="00D21083" w:rsidRPr="00FB1CBD">
        <w:rPr>
          <w:rFonts w:cs="Arial"/>
        </w:rPr>
        <w:t xml:space="preserve"> for hospitalized clients</w:t>
      </w:r>
      <w:r w:rsidRPr="00FB1CBD">
        <w:rPr>
          <w:rFonts w:cs="Arial"/>
        </w:rPr>
        <w:t xml:space="preserve">. </w:t>
      </w:r>
    </w:p>
    <w:p w:rsidR="004A02D1" w:rsidRDefault="004A02D1" w:rsidP="00F84A56">
      <w:pPr>
        <w:overflowPunct/>
        <w:autoSpaceDE/>
        <w:autoSpaceDN/>
        <w:adjustRightInd/>
        <w:spacing w:line="300" w:lineRule="auto"/>
        <w:textAlignment w:val="auto"/>
        <w:rPr>
          <w:rFonts w:cs="Arial"/>
        </w:rPr>
      </w:pPr>
    </w:p>
    <w:p w:rsidR="00893F75" w:rsidRPr="00FB1CBD" w:rsidRDefault="00893F75" w:rsidP="00F84A56">
      <w:pPr>
        <w:spacing w:line="300" w:lineRule="auto"/>
        <w:ind w:left="504"/>
        <w:jc w:val="both"/>
        <w:rPr>
          <w:rFonts w:cs="Arial"/>
        </w:rPr>
      </w:pPr>
      <w:r w:rsidRPr="00FB1CBD">
        <w:rPr>
          <w:rFonts w:cs="Arial"/>
        </w:rPr>
        <w:t xml:space="preserve">ASM 135 prohibits payment for </w:t>
      </w:r>
      <w:r w:rsidR="00A707F8">
        <w:rPr>
          <w:rFonts w:cs="Arial"/>
        </w:rPr>
        <w:t>HHP</w:t>
      </w:r>
      <w:r w:rsidR="004D2C88">
        <w:rPr>
          <w:rFonts w:cs="Arial"/>
        </w:rPr>
        <w:t xml:space="preserve"> </w:t>
      </w:r>
      <w:r w:rsidRPr="00FB1CBD">
        <w:rPr>
          <w:rFonts w:cs="Arial"/>
        </w:rPr>
        <w:t xml:space="preserve">services on days that a client is admitted to a hospital and for all subsequent days of hospitalization, excluding the day of discharge. </w:t>
      </w:r>
      <w:r w:rsidR="004A02D1">
        <w:rPr>
          <w:rFonts w:cs="Arial"/>
        </w:rPr>
        <w:t xml:space="preserve"> </w:t>
      </w:r>
      <w:r w:rsidRPr="00FB1CBD">
        <w:rPr>
          <w:rFonts w:cs="Arial"/>
        </w:rPr>
        <w:t>Also, it requires each client and/or provider to notify the client</w:t>
      </w:r>
      <w:r w:rsidR="00F305E9">
        <w:rPr>
          <w:rFonts w:cs="Arial"/>
        </w:rPr>
        <w:t>'</w:t>
      </w:r>
      <w:r w:rsidRPr="00FB1CBD">
        <w:rPr>
          <w:rFonts w:cs="Arial"/>
        </w:rPr>
        <w:t xml:space="preserve">s ASW within 10 business days if the client is hospitalized.  ASWs are required to use this information to prevent or recover Medicaid payments for </w:t>
      </w:r>
      <w:r w:rsidR="00A707F8">
        <w:rPr>
          <w:rFonts w:cs="Arial"/>
        </w:rPr>
        <w:t>HHP</w:t>
      </w:r>
      <w:r w:rsidR="004D2C88">
        <w:rPr>
          <w:rFonts w:cs="Arial"/>
        </w:rPr>
        <w:t xml:space="preserve"> </w:t>
      </w:r>
      <w:r w:rsidRPr="00FB1CBD">
        <w:rPr>
          <w:rFonts w:cs="Arial"/>
        </w:rPr>
        <w:t>services for days that a client is hospitalized.</w:t>
      </w:r>
    </w:p>
    <w:p w:rsidR="00893F75" w:rsidRPr="00FB1CBD" w:rsidRDefault="00893F75" w:rsidP="00F84A56">
      <w:pPr>
        <w:spacing w:line="300" w:lineRule="auto"/>
        <w:ind w:left="504"/>
        <w:jc w:val="both"/>
        <w:rPr>
          <w:rFonts w:cs="Arial"/>
        </w:rPr>
      </w:pPr>
    </w:p>
    <w:p w:rsidR="00893F75" w:rsidRPr="00FB1CBD" w:rsidRDefault="00893F75" w:rsidP="00F84A56">
      <w:pPr>
        <w:spacing w:line="300" w:lineRule="auto"/>
        <w:ind w:left="504"/>
        <w:jc w:val="both"/>
        <w:rPr>
          <w:rFonts w:cs="Arial"/>
        </w:rPr>
      </w:pPr>
      <w:r w:rsidRPr="00FB1CBD">
        <w:rPr>
          <w:rFonts w:cs="Arial"/>
        </w:rPr>
        <w:t>After determining a client</w:t>
      </w:r>
      <w:r w:rsidR="00F305E9">
        <w:rPr>
          <w:rFonts w:cs="Arial"/>
        </w:rPr>
        <w:t>'</w:t>
      </w:r>
      <w:r w:rsidRPr="00FB1CBD">
        <w:rPr>
          <w:rFonts w:cs="Arial"/>
        </w:rPr>
        <w:t>s service needs, ASWs establish a monthly payment authorization in DHS</w:t>
      </w:r>
      <w:r w:rsidR="00F305E9">
        <w:rPr>
          <w:rFonts w:cs="Arial"/>
        </w:rPr>
        <w:t>'</w:t>
      </w:r>
      <w:r w:rsidRPr="00FB1CBD">
        <w:rPr>
          <w:rFonts w:cs="Arial"/>
        </w:rPr>
        <w:t xml:space="preserve">s ASCAP, which is effective for up to 13 months.  At the conclusion of each month, ASCAP </w:t>
      </w:r>
      <w:r w:rsidR="00D21083" w:rsidRPr="00FB1CBD">
        <w:rPr>
          <w:rFonts w:cs="Arial"/>
        </w:rPr>
        <w:t xml:space="preserve">interfaces with the DCH payment </w:t>
      </w:r>
      <w:r w:rsidR="001A05F5" w:rsidRPr="00FB1CBD">
        <w:rPr>
          <w:rFonts w:cs="Arial"/>
        </w:rPr>
        <w:t>system,</w:t>
      </w:r>
      <w:r w:rsidR="00D21083" w:rsidRPr="00FB1CBD">
        <w:rPr>
          <w:rFonts w:cs="Arial"/>
        </w:rPr>
        <w:t xml:space="preserve"> which </w:t>
      </w:r>
      <w:r w:rsidRPr="00FB1CBD">
        <w:rPr>
          <w:rFonts w:cs="Arial"/>
        </w:rPr>
        <w:t xml:space="preserve">initiates a monthly payment to each provider in the amount of </w:t>
      </w:r>
      <w:r w:rsidR="00812401">
        <w:rPr>
          <w:rFonts w:cs="Arial"/>
        </w:rPr>
        <w:t xml:space="preserve">his or her </w:t>
      </w:r>
      <w:r w:rsidRPr="00FB1CBD">
        <w:rPr>
          <w:rFonts w:cs="Arial"/>
        </w:rPr>
        <w:t>respective payment authorization.  When an ASW learns of a client</w:t>
      </w:r>
      <w:r w:rsidR="00F305E9">
        <w:rPr>
          <w:rFonts w:cs="Arial"/>
        </w:rPr>
        <w:t>'</w:t>
      </w:r>
      <w:r w:rsidRPr="00FB1CBD">
        <w:rPr>
          <w:rFonts w:cs="Arial"/>
        </w:rPr>
        <w:t xml:space="preserve">s hospitalization before ASCAP initiates the </w:t>
      </w:r>
      <w:r w:rsidR="00A707F8">
        <w:rPr>
          <w:rFonts w:cs="Arial"/>
        </w:rPr>
        <w:t>HHP</w:t>
      </w:r>
      <w:r w:rsidR="00812401">
        <w:rPr>
          <w:rFonts w:cs="Arial"/>
        </w:rPr>
        <w:t xml:space="preserve"> </w:t>
      </w:r>
      <w:r w:rsidRPr="00FB1CBD">
        <w:rPr>
          <w:rFonts w:cs="Arial"/>
        </w:rPr>
        <w:t xml:space="preserve">payment covering the period of hospitalization, ASM 135 requires the ASW to appropriately reduce the payment authorization for that month.  However, when the monthly payment has already been initiated, the ASW must refer the overpayment to DCH for recovery. </w:t>
      </w:r>
    </w:p>
    <w:p w:rsidR="00893F75" w:rsidRPr="00FB1CBD" w:rsidRDefault="00893F75" w:rsidP="00F84A56">
      <w:pPr>
        <w:spacing w:line="300" w:lineRule="auto"/>
        <w:ind w:left="504"/>
        <w:jc w:val="both"/>
        <w:rPr>
          <w:rFonts w:cs="Arial"/>
        </w:rPr>
      </w:pPr>
    </w:p>
    <w:p w:rsidR="004A02D1" w:rsidRDefault="00893F75" w:rsidP="00F84A56">
      <w:pPr>
        <w:spacing w:line="300" w:lineRule="auto"/>
        <w:ind w:left="504"/>
        <w:jc w:val="both"/>
        <w:rPr>
          <w:rFonts w:cs="Arial"/>
        </w:rPr>
      </w:pPr>
      <w:r w:rsidRPr="00FB1CBD">
        <w:rPr>
          <w:rFonts w:cs="Arial"/>
        </w:rPr>
        <w:t>We electronically matched Medicaid</w:t>
      </w:r>
      <w:r w:rsidR="00F305E9">
        <w:rPr>
          <w:rFonts w:cs="Arial"/>
        </w:rPr>
        <w:t>'</w:t>
      </w:r>
      <w:r w:rsidRPr="00FB1CBD">
        <w:rPr>
          <w:rFonts w:cs="Arial"/>
        </w:rPr>
        <w:t xml:space="preserve">s </w:t>
      </w:r>
      <w:r w:rsidR="00A707F8">
        <w:rPr>
          <w:rFonts w:cs="Arial"/>
        </w:rPr>
        <w:t>HHP</w:t>
      </w:r>
      <w:r w:rsidR="00812401">
        <w:rPr>
          <w:rFonts w:cs="Arial"/>
        </w:rPr>
        <w:t xml:space="preserve"> </w:t>
      </w:r>
      <w:r w:rsidRPr="00FB1CBD">
        <w:rPr>
          <w:rFonts w:cs="Arial"/>
        </w:rPr>
        <w:t>expenditure records and inpatient hospitalization records for the period October 1,</w:t>
      </w:r>
      <w:r w:rsidR="00812401">
        <w:rPr>
          <w:rFonts w:cs="Arial"/>
        </w:rPr>
        <w:t xml:space="preserve"> 2010 through February 28, 2013</w:t>
      </w:r>
      <w:r w:rsidRPr="00FB1CBD">
        <w:rPr>
          <w:rFonts w:cs="Arial"/>
        </w:rPr>
        <w:t xml:space="preserve"> and identified 20,337 </w:t>
      </w:r>
      <w:r w:rsidR="00A707F8">
        <w:rPr>
          <w:rFonts w:cs="Arial"/>
        </w:rPr>
        <w:t>HHP</w:t>
      </w:r>
      <w:r w:rsidR="00812401">
        <w:rPr>
          <w:rFonts w:cs="Arial"/>
        </w:rPr>
        <w:t xml:space="preserve"> </w:t>
      </w:r>
      <w:r w:rsidRPr="00FB1CBD">
        <w:rPr>
          <w:rFonts w:cs="Arial"/>
        </w:rPr>
        <w:t>clients with a total of 3</w:t>
      </w:r>
      <w:r w:rsidR="00812401">
        <w:rPr>
          <w:rFonts w:cs="Arial"/>
        </w:rPr>
        <w:t>6,839 hospitalizations lasting three</w:t>
      </w:r>
      <w:r w:rsidRPr="00FB1CBD">
        <w:rPr>
          <w:rFonts w:cs="Arial"/>
        </w:rPr>
        <w:t xml:space="preserve"> or more days (</w:t>
      </w:r>
      <w:r w:rsidR="00812401">
        <w:rPr>
          <w:rFonts w:cs="Arial"/>
        </w:rPr>
        <w:t>two</w:t>
      </w:r>
      <w:r w:rsidRPr="00FB1CBD">
        <w:rPr>
          <w:rFonts w:cs="Arial"/>
        </w:rPr>
        <w:t xml:space="preserve"> overnights).  We randomly selected 50 of the hospitalizations and reviewed pertinent documentation to assess compliance with procedures. </w:t>
      </w:r>
      <w:r w:rsidR="003A3182" w:rsidRPr="00FB1CBD">
        <w:rPr>
          <w:rFonts w:cs="Arial"/>
        </w:rPr>
        <w:t xml:space="preserve"> </w:t>
      </w:r>
      <w:r w:rsidRPr="00FB1CBD">
        <w:rPr>
          <w:rFonts w:cs="Arial"/>
        </w:rPr>
        <w:t>We noted that ASWs did not adjust the payment authorization or refer the resulting overpayment to DCH for re</w:t>
      </w:r>
      <w:r w:rsidR="004A02D1">
        <w:rPr>
          <w:rFonts w:cs="Arial"/>
        </w:rPr>
        <w:t>covery for 39 (78.0%) of the 50 </w:t>
      </w:r>
      <w:r w:rsidRPr="00FB1CBD">
        <w:rPr>
          <w:rFonts w:cs="Arial"/>
        </w:rPr>
        <w:t xml:space="preserve">hospitalizations. </w:t>
      </w:r>
      <w:r w:rsidR="004A02D1">
        <w:rPr>
          <w:rFonts w:cs="Arial"/>
        </w:rPr>
        <w:t xml:space="preserve"> </w:t>
      </w:r>
      <w:r w:rsidRPr="00FB1CBD">
        <w:rPr>
          <w:rFonts w:cs="Arial"/>
        </w:rPr>
        <w:t xml:space="preserve">The overpayment for the 39 hospitalizations totaled $3,504.  We used a </w:t>
      </w:r>
      <w:proofErr w:type="spellStart"/>
      <w:r w:rsidRPr="00FB1CBD">
        <w:rPr>
          <w:rFonts w:cs="Arial"/>
        </w:rPr>
        <w:t>nonstatistical</w:t>
      </w:r>
      <w:proofErr w:type="spellEnd"/>
      <w:r w:rsidRPr="00FB1CBD">
        <w:rPr>
          <w:rFonts w:cs="Arial"/>
        </w:rPr>
        <w:t xml:space="preserve"> projection of the results of our test to the 36,839 hospitalizations subject to sampling and estimated that DCH may have inappropriately paid and did not attempt to recover</w:t>
      </w:r>
      <w:r w:rsidR="00D21083" w:rsidRPr="00FB1CBD">
        <w:rPr>
          <w:rFonts w:cs="Arial"/>
        </w:rPr>
        <w:t xml:space="preserve"> </w:t>
      </w:r>
      <w:r w:rsidRPr="00FB1CBD">
        <w:rPr>
          <w:rFonts w:cs="Arial"/>
        </w:rPr>
        <w:t>$2.6 million.</w:t>
      </w:r>
      <w:r w:rsidR="00DE6C9A" w:rsidRPr="00FB1CBD">
        <w:rPr>
          <w:rFonts w:cs="Arial"/>
        </w:rPr>
        <w:t xml:space="preserve"> </w:t>
      </w:r>
      <w:r w:rsidRPr="00FB1CBD">
        <w:rPr>
          <w:rFonts w:cs="Arial"/>
        </w:rPr>
        <w:t xml:space="preserve"> Although </w:t>
      </w:r>
      <w:r w:rsidR="004A02D1">
        <w:rPr>
          <w:rFonts w:cs="Arial"/>
        </w:rPr>
        <w:br/>
      </w:r>
      <w:r w:rsidR="004A02D1">
        <w:rPr>
          <w:rFonts w:cs="Arial"/>
        </w:rPr>
        <w:br w:type="page"/>
      </w:r>
    </w:p>
    <w:p w:rsidR="00893F75" w:rsidRPr="00FB1CBD" w:rsidRDefault="00893F75" w:rsidP="00F84A56">
      <w:pPr>
        <w:spacing w:line="300" w:lineRule="auto"/>
        <w:ind w:left="504"/>
        <w:jc w:val="both"/>
        <w:rPr>
          <w:rFonts w:cs="Arial"/>
        </w:rPr>
      </w:pPr>
      <w:proofErr w:type="spellStart"/>
      <w:r w:rsidRPr="00FB1CBD">
        <w:rPr>
          <w:rFonts w:cs="Arial"/>
        </w:rPr>
        <w:lastRenderedPageBreak/>
        <w:t>nonstatistical</w:t>
      </w:r>
      <w:proofErr w:type="spellEnd"/>
      <w:r w:rsidRPr="00FB1CBD">
        <w:rPr>
          <w:rFonts w:cs="Arial"/>
        </w:rPr>
        <w:t xml:space="preserve"> sampling does not provide an explicit level of confidence for the projection of test results to a population, it is an industry-accepted audit sampling methodology used to evaluate the prevalence and the consequence of the exceptions noted. </w:t>
      </w:r>
    </w:p>
    <w:p w:rsidR="003A3182" w:rsidRPr="00FB1CBD" w:rsidRDefault="003A3182" w:rsidP="00F84A56">
      <w:pPr>
        <w:overflowPunct/>
        <w:autoSpaceDE/>
        <w:autoSpaceDN/>
        <w:adjustRightInd/>
        <w:spacing w:line="300" w:lineRule="auto"/>
        <w:textAlignment w:val="auto"/>
        <w:rPr>
          <w:rFonts w:cs="Arial"/>
        </w:rPr>
      </w:pPr>
    </w:p>
    <w:p w:rsidR="00893F75" w:rsidRPr="00FB1CBD" w:rsidRDefault="00893F75" w:rsidP="00F84A56">
      <w:pPr>
        <w:spacing w:line="300" w:lineRule="auto"/>
        <w:ind w:left="504"/>
        <w:jc w:val="both"/>
        <w:rPr>
          <w:rFonts w:cs="Arial"/>
        </w:rPr>
      </w:pPr>
      <w:r w:rsidRPr="00FB1CBD">
        <w:rPr>
          <w:rFonts w:cs="Arial"/>
        </w:rPr>
        <w:t>For the 39 hospitalizations, we also noted:</w:t>
      </w:r>
      <w:r w:rsidR="003A3182" w:rsidRPr="00FB1CBD">
        <w:rPr>
          <w:rFonts w:cs="Arial"/>
        </w:rPr>
        <w:t xml:space="preserve">  </w:t>
      </w:r>
    </w:p>
    <w:p w:rsidR="00893F75" w:rsidRPr="00FB1CBD" w:rsidRDefault="00893F75" w:rsidP="00F84A56">
      <w:pPr>
        <w:spacing w:line="300" w:lineRule="auto"/>
        <w:ind w:left="504"/>
        <w:jc w:val="both"/>
        <w:rPr>
          <w:rFonts w:cs="Arial"/>
        </w:rPr>
      </w:pPr>
    </w:p>
    <w:p w:rsidR="00893F75" w:rsidRPr="00FB1CBD" w:rsidRDefault="00893F75" w:rsidP="00027935">
      <w:pPr>
        <w:numPr>
          <w:ilvl w:val="0"/>
          <w:numId w:val="15"/>
        </w:numPr>
        <w:overflowPunct/>
        <w:autoSpaceDE/>
        <w:autoSpaceDN/>
        <w:adjustRightInd/>
        <w:spacing w:line="300" w:lineRule="auto"/>
        <w:ind w:left="1008" w:hanging="504"/>
        <w:jc w:val="both"/>
        <w:textAlignment w:val="auto"/>
        <w:rPr>
          <w:rFonts w:cs="Arial"/>
        </w:rPr>
      </w:pPr>
      <w:r w:rsidRPr="00FB1CBD">
        <w:rPr>
          <w:rFonts w:cs="Arial"/>
        </w:rPr>
        <w:t>The case records for 30 (76.9%) of the 39 clients did not contain documentation indicating that the clients and/or providers informed their ASWs of the clients</w:t>
      </w:r>
      <w:r w:rsidR="00F305E9">
        <w:rPr>
          <w:rFonts w:cs="Arial"/>
        </w:rPr>
        <w:t>'</w:t>
      </w:r>
      <w:r w:rsidRPr="00FB1CBD">
        <w:rPr>
          <w:rFonts w:cs="Arial"/>
        </w:rPr>
        <w:t xml:space="preserve"> hospitalizations or that the ASWs were otherwise aware of them.  </w:t>
      </w:r>
    </w:p>
    <w:p w:rsidR="003A3182" w:rsidRPr="00FB1CBD" w:rsidRDefault="003A3182" w:rsidP="00F84A56">
      <w:pPr>
        <w:overflowPunct/>
        <w:autoSpaceDE/>
        <w:autoSpaceDN/>
        <w:adjustRightInd/>
        <w:spacing w:line="300" w:lineRule="auto"/>
        <w:ind w:left="1008"/>
        <w:jc w:val="both"/>
        <w:textAlignment w:val="auto"/>
        <w:rPr>
          <w:rFonts w:cs="Arial"/>
        </w:rPr>
      </w:pPr>
    </w:p>
    <w:p w:rsidR="00893F75" w:rsidRPr="00FB1CBD" w:rsidRDefault="00893F75" w:rsidP="00027935">
      <w:pPr>
        <w:numPr>
          <w:ilvl w:val="0"/>
          <w:numId w:val="15"/>
        </w:numPr>
        <w:overflowPunct/>
        <w:autoSpaceDE/>
        <w:autoSpaceDN/>
        <w:adjustRightInd/>
        <w:spacing w:line="300" w:lineRule="auto"/>
        <w:ind w:left="1008" w:hanging="504"/>
        <w:jc w:val="both"/>
        <w:textAlignment w:val="auto"/>
        <w:rPr>
          <w:rFonts w:cs="Arial"/>
        </w:rPr>
      </w:pPr>
      <w:r w:rsidRPr="00FB1CBD">
        <w:rPr>
          <w:rFonts w:cs="Arial"/>
        </w:rPr>
        <w:t xml:space="preserve">ASWs did not have </w:t>
      </w:r>
      <w:r w:rsidR="00BA0963" w:rsidRPr="00FB1CBD">
        <w:rPr>
          <w:rFonts w:cs="Arial"/>
        </w:rPr>
        <w:t xml:space="preserve">monthly service logs </w:t>
      </w:r>
      <w:r w:rsidR="00BA0963">
        <w:rPr>
          <w:rFonts w:cs="Arial"/>
        </w:rPr>
        <w:t xml:space="preserve">for </w:t>
      </w:r>
      <w:r w:rsidRPr="00FB1CBD">
        <w:rPr>
          <w:rFonts w:cs="Arial"/>
        </w:rPr>
        <w:t>14 (3</w:t>
      </w:r>
      <w:r w:rsidR="00812401">
        <w:rPr>
          <w:rFonts w:cs="Arial"/>
        </w:rPr>
        <w:t>5.9</w:t>
      </w:r>
      <w:r w:rsidRPr="00FB1CBD">
        <w:rPr>
          <w:rFonts w:cs="Arial"/>
        </w:rPr>
        <w:t>%) of the 39 providers covering the days of their respective clients</w:t>
      </w:r>
      <w:r w:rsidR="00F305E9">
        <w:rPr>
          <w:rFonts w:cs="Arial"/>
        </w:rPr>
        <w:t>'</w:t>
      </w:r>
      <w:r w:rsidRPr="00FB1CBD">
        <w:rPr>
          <w:rFonts w:cs="Arial"/>
        </w:rPr>
        <w:t xml:space="preserve"> hospitalization.  Therefore, </w:t>
      </w:r>
      <w:r w:rsidR="00812401">
        <w:rPr>
          <w:rFonts w:cs="Arial"/>
        </w:rPr>
        <w:t xml:space="preserve">DCH and </w:t>
      </w:r>
      <w:r w:rsidRPr="00FB1CBD">
        <w:rPr>
          <w:rFonts w:cs="Arial"/>
        </w:rPr>
        <w:t xml:space="preserve">DHS could not support any payments made to these providers for that time frame. </w:t>
      </w:r>
    </w:p>
    <w:p w:rsidR="00893F75" w:rsidRPr="00FB1CBD" w:rsidRDefault="00893F75" w:rsidP="00F84A56">
      <w:pPr>
        <w:spacing w:line="300" w:lineRule="auto"/>
        <w:ind w:left="1008" w:hanging="504"/>
        <w:jc w:val="both"/>
        <w:rPr>
          <w:rFonts w:cs="Arial"/>
        </w:rPr>
      </w:pPr>
    </w:p>
    <w:p w:rsidR="00893F75" w:rsidRPr="00FB1CBD" w:rsidRDefault="00893F75" w:rsidP="00027935">
      <w:pPr>
        <w:numPr>
          <w:ilvl w:val="0"/>
          <w:numId w:val="15"/>
        </w:numPr>
        <w:overflowPunct/>
        <w:autoSpaceDE/>
        <w:autoSpaceDN/>
        <w:adjustRightInd/>
        <w:spacing w:line="300" w:lineRule="auto"/>
        <w:ind w:left="1008" w:hanging="504"/>
        <w:jc w:val="both"/>
        <w:textAlignment w:val="auto"/>
        <w:rPr>
          <w:rFonts w:cs="Arial"/>
        </w:rPr>
      </w:pPr>
      <w:r w:rsidRPr="00FB1CBD">
        <w:rPr>
          <w:rFonts w:cs="Arial"/>
        </w:rPr>
        <w:t>Providers indicated on 24 (96.0%) of the 25 available service logs that they provided services to the clients on the dates that the clients were hospitalized and, therefore, were not physically available to receive the services.  Although 1 (4.0%) of the 25 providers correctly documented the client</w:t>
      </w:r>
      <w:r w:rsidR="00F305E9">
        <w:rPr>
          <w:rFonts w:cs="Arial"/>
        </w:rPr>
        <w:t>'</w:t>
      </w:r>
      <w:r w:rsidRPr="00FB1CBD">
        <w:rPr>
          <w:rFonts w:cs="Arial"/>
        </w:rPr>
        <w:t xml:space="preserve">s hospitalization on the service log, the ASW did not refer the overpayment to DCH for recovery.  </w:t>
      </w:r>
    </w:p>
    <w:p w:rsidR="00893F75" w:rsidRPr="00FB1CBD" w:rsidRDefault="00893F75" w:rsidP="00F84A56">
      <w:pPr>
        <w:spacing w:line="300" w:lineRule="auto"/>
        <w:ind w:left="504"/>
        <w:jc w:val="both"/>
        <w:rPr>
          <w:rFonts w:eastAsia="Calibri" w:cs="Arial"/>
        </w:rPr>
      </w:pPr>
    </w:p>
    <w:p w:rsidR="00893F75" w:rsidRPr="00FB1CBD" w:rsidRDefault="00893F75" w:rsidP="00F84A56">
      <w:pPr>
        <w:spacing w:line="300" w:lineRule="auto"/>
        <w:ind w:left="504"/>
        <w:jc w:val="both"/>
        <w:rPr>
          <w:rFonts w:cs="Arial"/>
        </w:rPr>
      </w:pPr>
      <w:r w:rsidRPr="00FB1CBD">
        <w:rPr>
          <w:rFonts w:cs="Arial"/>
        </w:rPr>
        <w:t xml:space="preserve">DCH and DHS stated that there were multiple factors that contributed to providers being reimbursed when clients were hospitalized.  These factors included staffing constraints and the lack of a systematic mechanism for ASWs to identify the hospitalizations, </w:t>
      </w:r>
      <w:r w:rsidR="00812401">
        <w:rPr>
          <w:rFonts w:cs="Arial"/>
        </w:rPr>
        <w:t xml:space="preserve">the </w:t>
      </w:r>
      <w:r w:rsidRPr="00FB1CBD">
        <w:rPr>
          <w:rFonts w:cs="Arial"/>
        </w:rPr>
        <w:t xml:space="preserve">development </w:t>
      </w:r>
      <w:r w:rsidR="00812401">
        <w:rPr>
          <w:rFonts w:cs="Arial"/>
        </w:rPr>
        <w:t xml:space="preserve">of which </w:t>
      </w:r>
      <w:r w:rsidRPr="00FB1CBD">
        <w:rPr>
          <w:rFonts w:cs="Arial"/>
        </w:rPr>
        <w:t xml:space="preserve">is complicated by the lag time </w:t>
      </w:r>
      <w:r w:rsidR="00D21083" w:rsidRPr="00FB1CBD">
        <w:rPr>
          <w:rFonts w:cs="Arial"/>
        </w:rPr>
        <w:t xml:space="preserve">(up to one year) </w:t>
      </w:r>
      <w:r w:rsidRPr="00FB1CBD">
        <w:rPr>
          <w:rFonts w:cs="Arial"/>
        </w:rPr>
        <w:t xml:space="preserve">associated with DCH receiving and processing hospital billings. </w:t>
      </w:r>
    </w:p>
    <w:p w:rsidR="004A02D1" w:rsidRPr="004A02D1" w:rsidRDefault="004A02D1" w:rsidP="00F84A56">
      <w:pPr>
        <w:overflowPunct/>
        <w:autoSpaceDE/>
        <w:autoSpaceDN/>
        <w:adjustRightInd/>
        <w:spacing w:line="300" w:lineRule="auto"/>
        <w:textAlignment w:val="auto"/>
        <w:rPr>
          <w:rFonts w:cs="Arial"/>
        </w:rPr>
      </w:pPr>
    </w:p>
    <w:p w:rsidR="00893F75" w:rsidRPr="00FB1CBD" w:rsidRDefault="00DE6C9A" w:rsidP="00F84A56">
      <w:pPr>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spacing w:line="300" w:lineRule="auto"/>
        <w:ind w:left="504"/>
        <w:jc w:val="both"/>
        <w:rPr>
          <w:rFonts w:cs="Arial"/>
        </w:rPr>
      </w:pPr>
      <w:r w:rsidRPr="00FB1CBD">
        <w:rPr>
          <w:rFonts w:cs="Arial"/>
        </w:rPr>
        <w:t xml:space="preserve">We recommend that DCH and DHS establish effective controls to prevent or recover Medicaid payments for </w:t>
      </w:r>
      <w:r w:rsidR="00A707F8">
        <w:rPr>
          <w:rFonts w:cs="Arial"/>
        </w:rPr>
        <w:t>HHP</w:t>
      </w:r>
      <w:r w:rsidR="004D2C88">
        <w:rPr>
          <w:rFonts w:cs="Arial"/>
        </w:rPr>
        <w:t xml:space="preserve"> </w:t>
      </w:r>
      <w:r w:rsidRPr="00FB1CBD">
        <w:rPr>
          <w:rFonts w:cs="Arial"/>
        </w:rPr>
        <w:t xml:space="preserve">services for hospitalized clients.  </w:t>
      </w:r>
    </w:p>
    <w:p w:rsidR="00180E03" w:rsidRDefault="00180E03">
      <w:pPr>
        <w:overflowPunct/>
        <w:autoSpaceDE/>
        <w:autoSpaceDN/>
        <w:adjustRightInd/>
        <w:textAlignment w:val="auto"/>
        <w:rPr>
          <w:rFonts w:cs="Arial"/>
        </w:rPr>
      </w:pPr>
      <w:r>
        <w:rPr>
          <w:rFonts w:cs="Arial"/>
        </w:rPr>
        <w:br w:type="page"/>
      </w: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lastRenderedPageBreak/>
        <w:t>Agency Preliminary Response</w:t>
      </w:r>
    </w:p>
    <w:p w:rsidR="00180E03" w:rsidRPr="00D6707C" w:rsidRDefault="00180E03" w:rsidP="00180E03">
      <w:pPr>
        <w:spacing w:line="300" w:lineRule="auto"/>
        <w:ind w:left="504"/>
        <w:jc w:val="both"/>
        <w:rPr>
          <w:rFonts w:cs="Arial"/>
        </w:rPr>
      </w:pPr>
      <w:r w:rsidRPr="00D6707C">
        <w:rPr>
          <w:rFonts w:cs="Arial"/>
        </w:rPr>
        <w:t xml:space="preserve">DCH and DHS agree that effective controls need to be established to prevent payments for periods of hospitalization to the extent possible.  However, since there are often lags in hospital billings, it </w:t>
      </w:r>
      <w:r>
        <w:rPr>
          <w:rFonts w:cs="Arial"/>
        </w:rPr>
        <w:t xml:space="preserve">is </w:t>
      </w:r>
      <w:r w:rsidRPr="00D6707C">
        <w:rPr>
          <w:rFonts w:cs="Arial"/>
        </w:rPr>
        <w:t>unlikely that any potential edit would prevent HHP reimbursement within the current system structure.</w:t>
      </w:r>
    </w:p>
    <w:p w:rsidR="00180E03" w:rsidRPr="00D6707C" w:rsidRDefault="00180E03" w:rsidP="00180E03">
      <w:pPr>
        <w:spacing w:line="300" w:lineRule="auto"/>
        <w:ind w:left="504"/>
        <w:jc w:val="both"/>
        <w:rPr>
          <w:rFonts w:cs="Arial"/>
        </w:rPr>
      </w:pPr>
    </w:p>
    <w:p w:rsidR="00180E03" w:rsidRPr="00D6707C" w:rsidRDefault="00180E03" w:rsidP="00180E03">
      <w:pPr>
        <w:spacing w:line="300" w:lineRule="auto"/>
        <w:ind w:left="504"/>
        <w:jc w:val="both"/>
        <w:rPr>
          <w:rFonts w:cs="Arial"/>
        </w:rPr>
      </w:pPr>
      <w:r w:rsidRPr="00D6707C">
        <w:rPr>
          <w:rFonts w:cs="Arial"/>
        </w:rPr>
        <w:t xml:space="preserve">DHS </w:t>
      </w:r>
      <w:r>
        <w:rPr>
          <w:rFonts w:cs="Arial"/>
        </w:rPr>
        <w:t xml:space="preserve">informed us that it </w:t>
      </w:r>
      <w:r w:rsidRPr="00D6707C">
        <w:rPr>
          <w:rFonts w:cs="Arial"/>
        </w:rPr>
        <w:t xml:space="preserve">has reviewed all of the cases identified in the audit and referred for recoupment where appropriate. </w:t>
      </w:r>
      <w:r>
        <w:rPr>
          <w:rFonts w:cs="Arial"/>
        </w:rPr>
        <w:t xml:space="preserve">Also, </w:t>
      </w:r>
      <w:r w:rsidRPr="00D6707C">
        <w:rPr>
          <w:rFonts w:cs="Arial"/>
        </w:rPr>
        <w:t xml:space="preserve">DCH and DHS </w:t>
      </w:r>
      <w:r>
        <w:rPr>
          <w:rFonts w:cs="Arial"/>
        </w:rPr>
        <w:t xml:space="preserve">informed us that they </w:t>
      </w:r>
      <w:r w:rsidRPr="00D6707C">
        <w:rPr>
          <w:rFonts w:cs="Arial"/>
        </w:rPr>
        <w:t xml:space="preserve">are currently developing a post payment review process to identify potential home help reimbursement in conjunction with hospitalization.  As part of this process, existing policy will be reviewed and updated if necessary.  </w:t>
      </w:r>
    </w:p>
    <w:p w:rsidR="00180E03" w:rsidRPr="00D6707C" w:rsidRDefault="00180E03" w:rsidP="00180E03">
      <w:pPr>
        <w:spacing w:line="300" w:lineRule="auto"/>
        <w:ind w:left="504"/>
        <w:jc w:val="both"/>
        <w:rPr>
          <w:rFonts w:cs="Arial"/>
        </w:rPr>
      </w:pPr>
    </w:p>
    <w:p w:rsidR="00180E03" w:rsidRPr="00D6707C" w:rsidRDefault="00180E03" w:rsidP="00180E03">
      <w:pPr>
        <w:spacing w:line="300" w:lineRule="auto"/>
        <w:ind w:left="504"/>
        <w:jc w:val="both"/>
        <w:rPr>
          <w:rFonts w:cs="Arial"/>
        </w:rPr>
      </w:pPr>
      <w:r w:rsidRPr="00D6707C">
        <w:rPr>
          <w:rFonts w:cs="Arial"/>
        </w:rPr>
        <w:t xml:space="preserve">The Departments </w:t>
      </w:r>
      <w:r>
        <w:rPr>
          <w:rFonts w:cs="Arial"/>
        </w:rPr>
        <w:t xml:space="preserve">indicated that they </w:t>
      </w:r>
      <w:r w:rsidRPr="00D6707C">
        <w:rPr>
          <w:rFonts w:cs="Arial"/>
        </w:rPr>
        <w:t xml:space="preserve">are pursuing an enhancement to, or the replacement of, the Home Help case management system; which will integrate more effectively with other systems.  Part of the requirements for this new system will be </w:t>
      </w:r>
      <w:r>
        <w:rPr>
          <w:rFonts w:cs="Arial"/>
        </w:rPr>
        <w:t xml:space="preserve">the </w:t>
      </w:r>
      <w:r w:rsidRPr="00D6707C">
        <w:rPr>
          <w:rFonts w:cs="Arial"/>
        </w:rPr>
        <w:t>require</w:t>
      </w:r>
      <w:r>
        <w:rPr>
          <w:rFonts w:cs="Arial"/>
        </w:rPr>
        <w:t>d</w:t>
      </w:r>
      <w:r w:rsidRPr="00D6707C">
        <w:rPr>
          <w:rFonts w:cs="Arial"/>
        </w:rPr>
        <w:t xml:space="preserve"> attestation of service completion prior to reimbursement</w:t>
      </w:r>
      <w:r>
        <w:rPr>
          <w:rFonts w:cs="Arial"/>
        </w:rPr>
        <w:t xml:space="preserve">. </w:t>
      </w:r>
      <w:r w:rsidRPr="00D6707C">
        <w:rPr>
          <w:rFonts w:cs="Arial"/>
        </w:rPr>
        <w:t xml:space="preserve"> This will help alleviate the issue of receiving payment for services while hospitalized.</w:t>
      </w:r>
    </w:p>
    <w:p w:rsidR="00180E03" w:rsidRPr="00D6707C" w:rsidRDefault="00180E03" w:rsidP="00180E03">
      <w:pPr>
        <w:spacing w:line="300" w:lineRule="auto"/>
        <w:ind w:left="504"/>
        <w:jc w:val="both"/>
        <w:rPr>
          <w:rFonts w:cs="Arial"/>
        </w:rPr>
      </w:pPr>
    </w:p>
    <w:p w:rsidR="00180E03" w:rsidRDefault="00180E03" w:rsidP="00180E03">
      <w:pPr>
        <w:spacing w:line="300" w:lineRule="auto"/>
        <w:ind w:left="504"/>
        <w:jc w:val="both"/>
        <w:rPr>
          <w:rFonts w:cs="Arial"/>
        </w:rPr>
      </w:pPr>
      <w:r>
        <w:rPr>
          <w:rFonts w:cs="Arial"/>
        </w:rPr>
        <w:t xml:space="preserve">In addition, DCH and DHS informed us that they are implementing the </w:t>
      </w:r>
      <w:r w:rsidRPr="00D6707C">
        <w:rPr>
          <w:rFonts w:cs="Arial"/>
        </w:rPr>
        <w:t>following corrective actions</w:t>
      </w:r>
      <w:r>
        <w:rPr>
          <w:rFonts w:cs="Arial"/>
        </w:rPr>
        <w:t>:</w:t>
      </w:r>
      <w:r w:rsidRPr="00D6707C" w:rsidDel="00E77E58">
        <w:rPr>
          <w:rFonts w:cs="Arial"/>
        </w:rPr>
        <w:t xml:space="preserve"> </w:t>
      </w:r>
    </w:p>
    <w:p w:rsidR="00180E03" w:rsidRPr="00D6707C" w:rsidRDefault="00180E03" w:rsidP="00180E03">
      <w:pPr>
        <w:spacing w:line="300" w:lineRule="auto"/>
        <w:ind w:left="504"/>
        <w:jc w:val="both"/>
        <w:rPr>
          <w:rFonts w:cs="Arial"/>
        </w:rPr>
      </w:pPr>
    </w:p>
    <w:p w:rsidR="00180E03" w:rsidRPr="00180E03" w:rsidRDefault="00180E03" w:rsidP="00180E03">
      <w:pPr>
        <w:pStyle w:val="ListParagraph"/>
        <w:numPr>
          <w:ilvl w:val="0"/>
          <w:numId w:val="27"/>
        </w:numPr>
        <w:overflowPunct/>
        <w:autoSpaceDE/>
        <w:autoSpaceDN/>
        <w:adjustRightInd/>
        <w:spacing w:line="300" w:lineRule="auto"/>
        <w:ind w:left="1008" w:hanging="504"/>
        <w:jc w:val="both"/>
        <w:textAlignment w:val="auto"/>
        <w:rPr>
          <w:rFonts w:cs="Arial"/>
        </w:rPr>
      </w:pPr>
      <w:r w:rsidRPr="00D6707C">
        <w:rPr>
          <w:rFonts w:cs="Arial"/>
          <w:color w:val="000000"/>
        </w:rPr>
        <w:t>By July 1, 2014, DHS will issue a communication to adult services staff reiterating DHS policy for mandatory referrals for recoupment and referrals for suspected fraud when a client has been hospitalized and has an active Medicaid Home Help case.</w:t>
      </w:r>
    </w:p>
    <w:p w:rsidR="00180E03" w:rsidRPr="00D6707C" w:rsidRDefault="00180E03" w:rsidP="00180E03">
      <w:pPr>
        <w:pStyle w:val="ListParagraph"/>
        <w:overflowPunct/>
        <w:autoSpaceDE/>
        <w:autoSpaceDN/>
        <w:adjustRightInd/>
        <w:spacing w:line="300" w:lineRule="auto"/>
        <w:ind w:left="1008" w:hanging="504"/>
        <w:jc w:val="both"/>
        <w:textAlignment w:val="auto"/>
        <w:rPr>
          <w:rFonts w:cs="Arial"/>
        </w:rPr>
      </w:pPr>
    </w:p>
    <w:p w:rsidR="00180E03" w:rsidRDefault="00180E03" w:rsidP="00180E03">
      <w:pPr>
        <w:pStyle w:val="ListParagraph"/>
        <w:numPr>
          <w:ilvl w:val="0"/>
          <w:numId w:val="27"/>
        </w:numPr>
        <w:overflowPunct/>
        <w:autoSpaceDE/>
        <w:autoSpaceDN/>
        <w:adjustRightInd/>
        <w:spacing w:line="300" w:lineRule="auto"/>
        <w:ind w:left="1008" w:hanging="504"/>
        <w:jc w:val="both"/>
        <w:textAlignment w:val="auto"/>
        <w:rPr>
          <w:rFonts w:cs="Arial"/>
        </w:rPr>
      </w:pPr>
      <w:r w:rsidRPr="00D6707C">
        <w:rPr>
          <w:rFonts w:cs="Arial"/>
        </w:rPr>
        <w:t>By September 30, 2014, all adult services staff will complete mandatory adult services core training that includes clients</w:t>
      </w:r>
      <w:r w:rsidR="00F305E9">
        <w:rPr>
          <w:rFonts w:cs="Arial"/>
        </w:rPr>
        <w:t>'</w:t>
      </w:r>
      <w:r w:rsidRPr="00D6707C">
        <w:rPr>
          <w:rFonts w:cs="Arial"/>
        </w:rPr>
        <w:t xml:space="preserve"> responsibility to report hospitalization, prohibits payment of home help services during hospitalization, and mandatory staff referrals for recoupment and for suspected fraud when a client has been hospitalized and has an active Medicaid home help case.</w:t>
      </w:r>
    </w:p>
    <w:p w:rsidR="00180E03" w:rsidRPr="00180E03" w:rsidRDefault="00180E03" w:rsidP="00180E03">
      <w:pPr>
        <w:pStyle w:val="ListParagraph"/>
        <w:ind w:left="1008" w:hanging="504"/>
        <w:rPr>
          <w:rFonts w:cs="Arial"/>
        </w:rPr>
      </w:pPr>
    </w:p>
    <w:p w:rsidR="00180E03" w:rsidRPr="00D6707C" w:rsidRDefault="00180E03" w:rsidP="00180E03">
      <w:pPr>
        <w:pStyle w:val="ListParagraph"/>
        <w:numPr>
          <w:ilvl w:val="0"/>
          <w:numId w:val="27"/>
        </w:numPr>
        <w:overflowPunct/>
        <w:autoSpaceDE/>
        <w:autoSpaceDN/>
        <w:adjustRightInd/>
        <w:spacing w:line="300" w:lineRule="auto"/>
        <w:ind w:left="1008" w:hanging="504"/>
        <w:jc w:val="both"/>
        <w:textAlignment w:val="auto"/>
        <w:rPr>
          <w:rFonts w:cs="Arial"/>
        </w:rPr>
      </w:pPr>
      <w:r w:rsidRPr="00D6707C">
        <w:rPr>
          <w:rFonts w:cs="Arial"/>
        </w:rPr>
        <w:t>DCH and DHS management will develop additional monitoring protocols as necessary to ensure compliance with corrective actions</w:t>
      </w:r>
      <w:r>
        <w:rPr>
          <w:rFonts w:cs="Arial"/>
        </w:rPr>
        <w:t>.</w:t>
      </w:r>
    </w:p>
    <w:p w:rsidR="0097689D" w:rsidRDefault="0097689D" w:rsidP="00F84A56">
      <w:pPr>
        <w:tabs>
          <w:tab w:val="left" w:pos="0"/>
        </w:tabs>
        <w:spacing w:line="300" w:lineRule="auto"/>
        <w:ind w:left="504"/>
        <w:jc w:val="both"/>
        <w:rPr>
          <w:rFonts w:cs="Arial"/>
        </w:rPr>
      </w:pPr>
    </w:p>
    <w:p w:rsidR="00180E03" w:rsidRPr="00180E03" w:rsidRDefault="00180E03">
      <w:pPr>
        <w:overflowPunct/>
        <w:autoSpaceDE/>
        <w:autoSpaceDN/>
        <w:adjustRightInd/>
        <w:textAlignment w:val="auto"/>
        <w:rPr>
          <w:rFonts w:cs="Arial"/>
          <w:smallCaps/>
          <w:sz w:val="28"/>
        </w:rPr>
      </w:pPr>
      <w:r w:rsidRPr="00180E03">
        <w:rPr>
          <w:rFonts w:cs="Arial"/>
          <w:smallCaps/>
          <w:sz w:val="28"/>
        </w:rPr>
        <w:br w:type="page"/>
      </w:r>
    </w:p>
    <w:p w:rsidR="00DE6C9A" w:rsidRPr="00FB1CBD" w:rsidRDefault="00DE6C9A" w:rsidP="00F84A56">
      <w:pPr>
        <w:spacing w:line="300" w:lineRule="auto"/>
        <w:jc w:val="both"/>
        <w:rPr>
          <w:rFonts w:cs="Arial"/>
          <w:b/>
          <w:smallCaps/>
          <w:u w:val="single"/>
        </w:rPr>
      </w:pPr>
      <w:r w:rsidRPr="00FB1CBD">
        <w:rPr>
          <w:rFonts w:cs="Arial"/>
          <w:b/>
          <w:smallCaps/>
          <w:sz w:val="28"/>
          <w:u w:val="single"/>
        </w:rPr>
        <w:lastRenderedPageBreak/>
        <w:t>Finding</w:t>
      </w:r>
    </w:p>
    <w:p w:rsidR="00893F75" w:rsidRPr="00FB1CBD" w:rsidRDefault="00893F75" w:rsidP="00F84A56">
      <w:pPr>
        <w:pStyle w:val="A4-FindingTitle"/>
      </w:pPr>
      <w:r w:rsidRPr="00FB1CBD">
        <w:t xml:space="preserve">Controls to Prevent or Recover </w:t>
      </w:r>
      <w:r w:rsidR="00A707F8">
        <w:t>HHP</w:t>
      </w:r>
      <w:r w:rsidR="008004FE">
        <w:t xml:space="preserve"> </w:t>
      </w:r>
      <w:r w:rsidRPr="00FB1CBD">
        <w:t xml:space="preserve">Payments for Clients in a Nursing </w:t>
      </w:r>
      <w:r w:rsidR="00106E4A">
        <w:t>Facility</w:t>
      </w:r>
    </w:p>
    <w:p w:rsidR="00893F75" w:rsidRPr="00FB1CBD" w:rsidRDefault="00893F75" w:rsidP="00F84A56">
      <w:pPr>
        <w:spacing w:line="300" w:lineRule="auto"/>
        <w:ind w:left="504"/>
        <w:jc w:val="both"/>
        <w:rPr>
          <w:rFonts w:cs="Arial"/>
        </w:rPr>
      </w:pPr>
      <w:r w:rsidRPr="00FB1CBD">
        <w:rPr>
          <w:rFonts w:cs="Arial"/>
        </w:rPr>
        <w:t xml:space="preserve">DCH and DHS </w:t>
      </w:r>
      <w:r w:rsidR="008004FE">
        <w:rPr>
          <w:rFonts w:cs="Arial"/>
        </w:rPr>
        <w:t xml:space="preserve">had </w:t>
      </w:r>
      <w:r w:rsidRPr="00FB1CBD">
        <w:rPr>
          <w:rFonts w:cs="Arial"/>
        </w:rPr>
        <w:t>not establish</w:t>
      </w:r>
      <w:r w:rsidR="008004FE">
        <w:rPr>
          <w:rFonts w:cs="Arial"/>
        </w:rPr>
        <w:t>ed</w:t>
      </w:r>
      <w:r w:rsidRPr="00FB1CBD">
        <w:rPr>
          <w:rFonts w:cs="Arial"/>
        </w:rPr>
        <w:t xml:space="preserve"> effective controls to prevent or recover Medicaid payments for </w:t>
      </w:r>
      <w:r w:rsidR="00A707F8">
        <w:rPr>
          <w:rFonts w:cs="Arial"/>
        </w:rPr>
        <w:t>HHP</w:t>
      </w:r>
      <w:r w:rsidR="004D2C88">
        <w:rPr>
          <w:rFonts w:cs="Arial"/>
        </w:rPr>
        <w:t xml:space="preserve"> </w:t>
      </w:r>
      <w:r w:rsidRPr="00FB1CBD">
        <w:rPr>
          <w:rFonts w:cs="Arial"/>
        </w:rPr>
        <w:t xml:space="preserve">services for clients who were admitted to a nursing </w:t>
      </w:r>
      <w:r w:rsidR="00106E4A">
        <w:rPr>
          <w:rFonts w:cs="Arial"/>
        </w:rPr>
        <w:t>facility</w:t>
      </w:r>
      <w:r w:rsidRPr="00FB1CBD">
        <w:rPr>
          <w:rFonts w:cs="Arial"/>
        </w:rPr>
        <w:t>.  As a result, for the period October 1, 2010 through February 28, 2013, DCH improperly paid and did not attempt to recover</w:t>
      </w:r>
      <w:r w:rsidR="00DE6C9A" w:rsidRPr="00FB1CBD">
        <w:rPr>
          <w:rFonts w:cs="Arial"/>
        </w:rPr>
        <w:t xml:space="preserve"> </w:t>
      </w:r>
      <w:r w:rsidRPr="00FB1CBD">
        <w:rPr>
          <w:rFonts w:cs="Arial"/>
        </w:rPr>
        <w:t xml:space="preserve">an estimated </w:t>
      </w:r>
      <w:bookmarkStart w:id="19" w:name="TMB814948431"/>
      <w:bookmarkEnd w:id="19"/>
      <w:r w:rsidRPr="00FB1CBD">
        <w:rPr>
          <w:rFonts w:cs="Arial"/>
        </w:rPr>
        <w:t>$889,128 ($301,355 General Fund/general purpose)</w:t>
      </w:r>
      <w:bookmarkStart w:id="20" w:name="TMP1250215339"/>
      <w:bookmarkEnd w:id="20"/>
      <w:r w:rsidR="00D21083" w:rsidRPr="00FB1CBD">
        <w:rPr>
          <w:rFonts w:cs="Arial"/>
        </w:rPr>
        <w:t xml:space="preserve"> for these clients</w:t>
      </w:r>
      <w:r w:rsidRPr="00FB1CBD">
        <w:rPr>
          <w:rFonts w:cs="Arial"/>
        </w:rPr>
        <w:t xml:space="preserve">. </w:t>
      </w:r>
    </w:p>
    <w:p w:rsidR="00893F75" w:rsidRPr="00FB1CBD" w:rsidRDefault="00893F75" w:rsidP="00F84A56">
      <w:pPr>
        <w:spacing w:line="300" w:lineRule="auto"/>
        <w:ind w:left="504"/>
        <w:jc w:val="both"/>
        <w:rPr>
          <w:rFonts w:cs="Arial"/>
        </w:rPr>
      </w:pPr>
    </w:p>
    <w:p w:rsidR="00893F75" w:rsidRPr="00FB1CBD" w:rsidRDefault="00893F75" w:rsidP="00F84A56">
      <w:pPr>
        <w:spacing w:line="300" w:lineRule="auto"/>
        <w:ind w:left="504"/>
        <w:jc w:val="both"/>
        <w:rPr>
          <w:rFonts w:cs="Arial"/>
        </w:rPr>
      </w:pPr>
      <w:r w:rsidRPr="00FB1CBD">
        <w:rPr>
          <w:rFonts w:cs="Arial"/>
        </w:rPr>
        <w:t>We electronically matched Medicaid</w:t>
      </w:r>
      <w:r w:rsidR="00F305E9">
        <w:rPr>
          <w:rFonts w:cs="Arial"/>
        </w:rPr>
        <w:t>'</w:t>
      </w:r>
      <w:r w:rsidRPr="00FB1CBD">
        <w:rPr>
          <w:rFonts w:cs="Arial"/>
        </w:rPr>
        <w:t xml:space="preserve">s </w:t>
      </w:r>
      <w:r w:rsidR="00A707F8">
        <w:rPr>
          <w:rFonts w:cs="Arial"/>
        </w:rPr>
        <w:t>HHP</w:t>
      </w:r>
      <w:r w:rsidR="008004FE">
        <w:rPr>
          <w:rFonts w:cs="Arial"/>
        </w:rPr>
        <w:t xml:space="preserve"> </w:t>
      </w:r>
      <w:r w:rsidRPr="00FB1CBD">
        <w:rPr>
          <w:rFonts w:cs="Arial"/>
        </w:rPr>
        <w:t xml:space="preserve">and nursing </w:t>
      </w:r>
      <w:r w:rsidR="00106E4A">
        <w:rPr>
          <w:rFonts w:cs="Arial"/>
        </w:rPr>
        <w:t xml:space="preserve">facility </w:t>
      </w:r>
      <w:r w:rsidRPr="00FB1CBD">
        <w:rPr>
          <w:rFonts w:cs="Arial"/>
        </w:rPr>
        <w:t>payment records for the period October 1, 2010 through February 28, 2013.  We identified 2,144</w:t>
      </w:r>
      <w:bookmarkStart w:id="21" w:name="TMB1973361168"/>
      <w:bookmarkEnd w:id="21"/>
      <w:r w:rsidRPr="00FB1CBD">
        <w:rPr>
          <w:rFonts w:cs="Arial"/>
        </w:rPr>
        <w:t xml:space="preserve"> </w:t>
      </w:r>
      <w:r w:rsidR="00A707F8">
        <w:rPr>
          <w:rFonts w:cs="Arial"/>
        </w:rPr>
        <w:t>HHP</w:t>
      </w:r>
      <w:r w:rsidR="008004FE">
        <w:rPr>
          <w:rFonts w:cs="Arial"/>
        </w:rPr>
        <w:t xml:space="preserve"> </w:t>
      </w:r>
      <w:r w:rsidRPr="00FB1CBD">
        <w:rPr>
          <w:rFonts w:cs="Arial"/>
        </w:rPr>
        <w:t>clients with 4,953</w:t>
      </w:r>
      <w:bookmarkStart w:id="22" w:name="TMB1235429984"/>
      <w:bookmarkEnd w:id="22"/>
      <w:r w:rsidRPr="00FB1CBD">
        <w:rPr>
          <w:rFonts w:cs="Arial"/>
        </w:rPr>
        <w:t xml:space="preserve"> monthly payments totaling $1,911,901 for services that fully or partially overlapped Medicaid payments for nursing </w:t>
      </w:r>
      <w:r w:rsidR="00106E4A">
        <w:rPr>
          <w:rFonts w:cs="Arial"/>
        </w:rPr>
        <w:t xml:space="preserve">facility </w:t>
      </w:r>
      <w:r w:rsidRPr="00FB1CBD">
        <w:rPr>
          <w:rFonts w:cs="Arial"/>
        </w:rPr>
        <w:t>care.  We randomly selected 25 of the payments for 17 unique clients totaling $7,882</w:t>
      </w:r>
      <w:bookmarkStart w:id="23" w:name="TMP26035812"/>
      <w:bookmarkEnd w:id="23"/>
      <w:r w:rsidRPr="00FB1CBD">
        <w:rPr>
          <w:rFonts w:cs="Arial"/>
        </w:rPr>
        <w:t xml:space="preserve">. </w:t>
      </w:r>
      <w:r w:rsidR="008004FE">
        <w:rPr>
          <w:rFonts w:cs="Arial"/>
        </w:rPr>
        <w:t xml:space="preserve"> </w:t>
      </w:r>
      <w:r w:rsidRPr="00FB1CBD">
        <w:rPr>
          <w:rFonts w:cs="Arial"/>
        </w:rPr>
        <w:t xml:space="preserve">We noted: </w:t>
      </w:r>
    </w:p>
    <w:p w:rsidR="00893F75" w:rsidRPr="00FB1CBD" w:rsidRDefault="00893F75" w:rsidP="00F84A56">
      <w:pPr>
        <w:spacing w:line="300" w:lineRule="auto"/>
        <w:ind w:left="504"/>
        <w:jc w:val="both"/>
        <w:rPr>
          <w:rFonts w:cs="Arial"/>
        </w:rPr>
      </w:pPr>
    </w:p>
    <w:p w:rsidR="00DE6C9A" w:rsidRPr="00AE3121" w:rsidRDefault="00893F75" w:rsidP="00F84A56">
      <w:pPr>
        <w:numPr>
          <w:ilvl w:val="0"/>
          <w:numId w:val="17"/>
        </w:numPr>
        <w:overflowPunct/>
        <w:autoSpaceDE/>
        <w:autoSpaceDN/>
        <w:adjustRightInd/>
        <w:spacing w:line="300" w:lineRule="auto"/>
        <w:ind w:left="1008" w:hanging="504"/>
        <w:jc w:val="both"/>
        <w:textAlignment w:val="auto"/>
        <w:rPr>
          <w:rFonts w:cs="Arial"/>
        </w:rPr>
      </w:pPr>
      <w:r w:rsidRPr="00AE3121">
        <w:rPr>
          <w:rFonts w:cs="Arial"/>
        </w:rPr>
        <w:t>ASWs did not adjust the payment authorization or refer the resulting overpayment to DCH for recovery for 23 (92.0%)</w:t>
      </w:r>
      <w:bookmarkStart w:id="24" w:name="TMB161673067"/>
      <w:bookmarkEnd w:id="24"/>
      <w:r w:rsidRPr="00AE3121">
        <w:rPr>
          <w:rFonts w:cs="Arial"/>
        </w:rPr>
        <w:t xml:space="preserve"> of the 25 payments, involving 15 </w:t>
      </w:r>
      <w:r w:rsidR="008004FE" w:rsidRPr="00AE3121">
        <w:rPr>
          <w:rFonts w:cs="Arial"/>
        </w:rPr>
        <w:t xml:space="preserve">unique </w:t>
      </w:r>
      <w:r w:rsidRPr="00AE3121">
        <w:rPr>
          <w:rFonts w:cs="Arial"/>
        </w:rPr>
        <w:t>clients.  The overpayment for the 23 payments totaled $4,488.</w:t>
      </w:r>
      <w:r w:rsidR="008004FE" w:rsidRPr="00AE3121">
        <w:rPr>
          <w:rFonts w:cs="Arial"/>
        </w:rPr>
        <w:t xml:space="preserve">  We performed a </w:t>
      </w:r>
      <w:proofErr w:type="spellStart"/>
      <w:r w:rsidR="008004FE" w:rsidRPr="00AE3121">
        <w:rPr>
          <w:rFonts w:cs="Arial"/>
        </w:rPr>
        <w:t>non</w:t>
      </w:r>
      <w:r w:rsidRPr="00AE3121">
        <w:rPr>
          <w:rFonts w:cs="Arial"/>
        </w:rPr>
        <w:t>statistical</w:t>
      </w:r>
      <w:proofErr w:type="spellEnd"/>
      <w:r w:rsidRPr="00AE3121">
        <w:rPr>
          <w:rFonts w:cs="Arial"/>
        </w:rPr>
        <w:t xml:space="preserve"> projection of our results into the 4,953 monthly payments subject to sampling and conservatively estimated that DCH inappropriately paid and did not attempt to recover $889,128. </w:t>
      </w:r>
      <w:r w:rsidR="00EF736C" w:rsidRPr="00AE3121">
        <w:rPr>
          <w:rFonts w:cs="Arial"/>
        </w:rPr>
        <w:t xml:space="preserve"> </w:t>
      </w:r>
      <w:r w:rsidRPr="00AE3121">
        <w:rPr>
          <w:rFonts w:cs="Arial"/>
        </w:rPr>
        <w:t xml:space="preserve">Although </w:t>
      </w:r>
      <w:proofErr w:type="spellStart"/>
      <w:r w:rsidRPr="00AE3121">
        <w:rPr>
          <w:rFonts w:cs="Arial"/>
        </w:rPr>
        <w:t>nonstatistical</w:t>
      </w:r>
      <w:proofErr w:type="spellEnd"/>
      <w:r w:rsidRPr="00AE3121">
        <w:rPr>
          <w:rFonts w:cs="Arial"/>
        </w:rPr>
        <w:t xml:space="preserve"> sampling does not provide an explicit level of confidence for the projection of test results to a population, it is an industry-accepted audit sampling methodology used to evaluate the prevalence and the consequence of the exceptions noted. </w:t>
      </w:r>
    </w:p>
    <w:p w:rsidR="00DE6C9A" w:rsidRPr="00FB1CBD" w:rsidRDefault="00DE6C9A" w:rsidP="00F84A56">
      <w:pPr>
        <w:overflowPunct/>
        <w:autoSpaceDE/>
        <w:autoSpaceDN/>
        <w:adjustRightInd/>
        <w:spacing w:line="300" w:lineRule="auto"/>
        <w:ind w:left="504"/>
        <w:jc w:val="both"/>
        <w:textAlignment w:val="auto"/>
        <w:rPr>
          <w:rFonts w:cs="Arial"/>
        </w:rPr>
      </w:pPr>
    </w:p>
    <w:p w:rsidR="00893F75" w:rsidRPr="00FB1CBD" w:rsidRDefault="00893F75" w:rsidP="00F84A56">
      <w:pPr>
        <w:overflowPunct/>
        <w:autoSpaceDE/>
        <w:autoSpaceDN/>
        <w:adjustRightInd/>
        <w:spacing w:line="300" w:lineRule="auto"/>
        <w:ind w:left="1008"/>
        <w:jc w:val="both"/>
        <w:textAlignment w:val="auto"/>
        <w:rPr>
          <w:rFonts w:cs="Arial"/>
        </w:rPr>
      </w:pPr>
      <w:r w:rsidRPr="00FB1CBD">
        <w:rPr>
          <w:rFonts w:cs="Arial"/>
        </w:rPr>
        <w:t xml:space="preserve">ASM 150 prohibits payment for </w:t>
      </w:r>
      <w:r w:rsidR="00A707F8">
        <w:rPr>
          <w:rFonts w:cs="Arial"/>
        </w:rPr>
        <w:t>HHP</w:t>
      </w:r>
      <w:r w:rsidR="004D2C88">
        <w:rPr>
          <w:rFonts w:cs="Arial"/>
        </w:rPr>
        <w:t xml:space="preserve"> </w:t>
      </w:r>
      <w:r w:rsidRPr="00FB1CBD">
        <w:rPr>
          <w:rFonts w:cs="Arial"/>
        </w:rPr>
        <w:t>services on days that a client is admitted to a nursing facility and for all subsequent days of stay, excluding the day of discharge.</w:t>
      </w:r>
      <w:r w:rsidR="00D21083" w:rsidRPr="00FB1CBD">
        <w:rPr>
          <w:rFonts w:cs="Arial"/>
        </w:rPr>
        <w:t xml:space="preserve"> Consequently, when an </w:t>
      </w:r>
      <w:r w:rsidR="00A707F8">
        <w:rPr>
          <w:rFonts w:cs="Arial"/>
        </w:rPr>
        <w:t>HHP</w:t>
      </w:r>
      <w:r w:rsidR="008004FE">
        <w:rPr>
          <w:rFonts w:cs="Arial"/>
        </w:rPr>
        <w:t xml:space="preserve"> </w:t>
      </w:r>
      <w:r w:rsidR="00D21083" w:rsidRPr="00FB1CBD">
        <w:rPr>
          <w:rFonts w:cs="Arial"/>
        </w:rPr>
        <w:t>provider is schedule</w:t>
      </w:r>
      <w:r w:rsidR="008004FE">
        <w:rPr>
          <w:rFonts w:cs="Arial"/>
        </w:rPr>
        <w:t>d</w:t>
      </w:r>
      <w:r w:rsidR="00D21083" w:rsidRPr="00FB1CBD">
        <w:rPr>
          <w:rFonts w:cs="Arial"/>
        </w:rPr>
        <w:t xml:space="preserve"> to receive or has already received payment for </w:t>
      </w:r>
      <w:r w:rsidR="00A707F8">
        <w:rPr>
          <w:rFonts w:cs="Arial"/>
        </w:rPr>
        <w:t>HHP</w:t>
      </w:r>
      <w:r w:rsidR="004D2C88">
        <w:rPr>
          <w:rFonts w:cs="Arial"/>
        </w:rPr>
        <w:t xml:space="preserve"> </w:t>
      </w:r>
      <w:r w:rsidR="00D21083" w:rsidRPr="00FB1CBD">
        <w:rPr>
          <w:rFonts w:cs="Arial"/>
        </w:rPr>
        <w:t>services for the days when the provider</w:t>
      </w:r>
      <w:r w:rsidR="00F305E9">
        <w:rPr>
          <w:rFonts w:cs="Arial"/>
        </w:rPr>
        <w:t>'</w:t>
      </w:r>
      <w:r w:rsidR="00D21083" w:rsidRPr="00FB1CBD">
        <w:rPr>
          <w:rFonts w:cs="Arial"/>
        </w:rPr>
        <w:t xml:space="preserve">s client is in a nursing facility </w:t>
      </w:r>
      <w:r w:rsidR="00FE2032" w:rsidRPr="00FB1CBD">
        <w:rPr>
          <w:rFonts w:cs="Arial"/>
        </w:rPr>
        <w:t xml:space="preserve">(excluding the day of discharge), the ASW must adjust the payment authorization for pending payments or seek recovery when payment has already been made. </w:t>
      </w:r>
    </w:p>
    <w:p w:rsidR="00893F75" w:rsidRPr="00FB1CBD" w:rsidRDefault="00893F75" w:rsidP="00F84A56">
      <w:pPr>
        <w:spacing w:line="300" w:lineRule="auto"/>
        <w:ind w:left="1008" w:hanging="504"/>
        <w:jc w:val="both"/>
        <w:rPr>
          <w:rFonts w:cs="Arial"/>
        </w:rPr>
      </w:pPr>
    </w:p>
    <w:p w:rsidR="00AE3121" w:rsidRPr="00AE3121" w:rsidRDefault="00893F75" w:rsidP="00AE3121">
      <w:pPr>
        <w:numPr>
          <w:ilvl w:val="0"/>
          <w:numId w:val="17"/>
        </w:numPr>
        <w:overflowPunct/>
        <w:autoSpaceDE/>
        <w:autoSpaceDN/>
        <w:adjustRightInd/>
        <w:spacing w:line="300" w:lineRule="auto"/>
        <w:ind w:left="1008" w:hanging="504"/>
        <w:jc w:val="both"/>
        <w:textAlignment w:val="auto"/>
        <w:rPr>
          <w:rFonts w:cs="Arial"/>
          <w:szCs w:val="20"/>
        </w:rPr>
      </w:pPr>
      <w:r w:rsidRPr="00AE3121">
        <w:rPr>
          <w:rFonts w:cs="Arial"/>
          <w:szCs w:val="20"/>
        </w:rPr>
        <w:t>The case records for 10 (6</w:t>
      </w:r>
      <w:r w:rsidR="00AE79CA" w:rsidRPr="00AE3121">
        <w:rPr>
          <w:rFonts w:cs="Arial"/>
          <w:szCs w:val="20"/>
        </w:rPr>
        <w:t>6.</w:t>
      </w:r>
      <w:r w:rsidRPr="00AE3121">
        <w:rPr>
          <w:rFonts w:cs="Arial"/>
          <w:szCs w:val="20"/>
        </w:rPr>
        <w:t xml:space="preserve">7%) of the 15 clients identified in </w:t>
      </w:r>
      <w:r w:rsidR="00AE79CA" w:rsidRPr="00AE3121">
        <w:rPr>
          <w:rFonts w:cs="Arial"/>
          <w:szCs w:val="20"/>
        </w:rPr>
        <w:t xml:space="preserve">part </w:t>
      </w:r>
      <w:r w:rsidRPr="00AE3121">
        <w:rPr>
          <w:rFonts w:cs="Arial"/>
          <w:szCs w:val="20"/>
        </w:rPr>
        <w:t>a. did not contain documentation indicating that the clients and/or providers informed their ASWs of the clients</w:t>
      </w:r>
      <w:r w:rsidR="00F305E9">
        <w:rPr>
          <w:rFonts w:cs="Arial"/>
          <w:szCs w:val="20"/>
        </w:rPr>
        <w:t>'</w:t>
      </w:r>
      <w:r w:rsidRPr="00AE3121">
        <w:rPr>
          <w:rFonts w:cs="Arial"/>
          <w:szCs w:val="20"/>
        </w:rPr>
        <w:t xml:space="preserve"> nursing </w:t>
      </w:r>
      <w:r w:rsidR="00106E4A">
        <w:rPr>
          <w:rFonts w:cs="Arial"/>
          <w:szCs w:val="20"/>
        </w:rPr>
        <w:t xml:space="preserve">facility </w:t>
      </w:r>
      <w:r w:rsidRPr="00AE3121">
        <w:rPr>
          <w:rFonts w:cs="Arial"/>
          <w:szCs w:val="20"/>
        </w:rPr>
        <w:t xml:space="preserve">admissions or that the ASWs were </w:t>
      </w:r>
      <w:r w:rsidR="00AE3121" w:rsidRPr="00AE3121">
        <w:rPr>
          <w:rFonts w:cs="Arial"/>
          <w:szCs w:val="20"/>
        </w:rPr>
        <w:br/>
      </w:r>
      <w:r w:rsidR="00AE3121" w:rsidRPr="00AE3121">
        <w:rPr>
          <w:rFonts w:cs="Arial"/>
          <w:szCs w:val="20"/>
        </w:rPr>
        <w:br w:type="page"/>
      </w:r>
    </w:p>
    <w:p w:rsidR="00893F75" w:rsidRPr="00FB1CBD" w:rsidRDefault="00893F75" w:rsidP="00AE3121">
      <w:pPr>
        <w:overflowPunct/>
        <w:autoSpaceDE/>
        <w:autoSpaceDN/>
        <w:adjustRightInd/>
        <w:spacing w:line="300" w:lineRule="auto"/>
        <w:ind w:left="1008"/>
        <w:jc w:val="both"/>
        <w:textAlignment w:val="auto"/>
        <w:rPr>
          <w:rFonts w:cs="Arial"/>
        </w:rPr>
      </w:pPr>
      <w:r w:rsidRPr="00FB1CBD">
        <w:rPr>
          <w:rFonts w:cs="Arial"/>
          <w:szCs w:val="20"/>
        </w:rPr>
        <w:lastRenderedPageBreak/>
        <w:t>otherwise aware of them.  ASM 135 requires each client and/or provider to notify the client</w:t>
      </w:r>
      <w:r w:rsidR="00F305E9">
        <w:rPr>
          <w:rFonts w:cs="Arial"/>
          <w:szCs w:val="20"/>
        </w:rPr>
        <w:t>'</w:t>
      </w:r>
      <w:r w:rsidRPr="00FB1CBD">
        <w:rPr>
          <w:rFonts w:cs="Arial"/>
          <w:szCs w:val="20"/>
        </w:rPr>
        <w:t xml:space="preserve">s ASW within 10 business days of any change </w:t>
      </w:r>
      <w:r w:rsidRPr="00FB1CBD">
        <w:rPr>
          <w:rFonts w:cs="Arial"/>
        </w:rPr>
        <w:t>i</w:t>
      </w:r>
      <w:r w:rsidRPr="00FB1CBD">
        <w:rPr>
          <w:rFonts w:cs="Arial"/>
          <w:szCs w:val="20"/>
        </w:rPr>
        <w:t xml:space="preserve">n the hours of care. </w:t>
      </w:r>
    </w:p>
    <w:p w:rsidR="00893F75" w:rsidRPr="00FB1CBD" w:rsidRDefault="00893F75" w:rsidP="00F84A56">
      <w:pPr>
        <w:spacing w:line="300" w:lineRule="auto"/>
        <w:ind w:left="1512" w:hanging="504"/>
        <w:jc w:val="both"/>
        <w:rPr>
          <w:rFonts w:cs="Arial"/>
        </w:rPr>
      </w:pPr>
    </w:p>
    <w:p w:rsidR="00893F75" w:rsidRPr="004A02D1" w:rsidRDefault="00893F75" w:rsidP="00027935">
      <w:pPr>
        <w:numPr>
          <w:ilvl w:val="0"/>
          <w:numId w:val="17"/>
        </w:numPr>
        <w:overflowPunct/>
        <w:autoSpaceDE/>
        <w:autoSpaceDN/>
        <w:adjustRightInd/>
        <w:spacing w:line="300" w:lineRule="auto"/>
        <w:ind w:left="1008" w:hanging="504"/>
        <w:jc w:val="both"/>
        <w:textAlignment w:val="auto"/>
        <w:rPr>
          <w:rFonts w:cs="Arial"/>
          <w:szCs w:val="20"/>
          <w:u w:val="single"/>
        </w:rPr>
      </w:pPr>
      <w:r w:rsidRPr="00FB1CBD">
        <w:rPr>
          <w:rFonts w:cs="Arial"/>
        </w:rPr>
        <w:t>The case records for 5 (33</w:t>
      </w:r>
      <w:r w:rsidR="00AE79CA">
        <w:rPr>
          <w:rFonts w:cs="Arial"/>
        </w:rPr>
        <w:t>.3</w:t>
      </w:r>
      <w:r w:rsidRPr="00FB1CBD">
        <w:rPr>
          <w:rFonts w:cs="Arial"/>
        </w:rPr>
        <w:t xml:space="preserve">%) of the 15 clients identified in </w:t>
      </w:r>
      <w:r w:rsidR="00AE79CA">
        <w:rPr>
          <w:rFonts w:cs="Arial"/>
        </w:rPr>
        <w:t xml:space="preserve">part </w:t>
      </w:r>
      <w:r w:rsidRPr="00FB1CBD">
        <w:rPr>
          <w:rFonts w:cs="Arial"/>
        </w:rPr>
        <w:t>a. noted that the clients had been in a nursing</w:t>
      </w:r>
      <w:r w:rsidR="00106E4A" w:rsidRPr="00AE3121">
        <w:rPr>
          <w:rFonts w:cs="Arial"/>
          <w:szCs w:val="20"/>
        </w:rPr>
        <w:t xml:space="preserve"> </w:t>
      </w:r>
      <w:r w:rsidR="00106E4A">
        <w:rPr>
          <w:rFonts w:cs="Arial"/>
          <w:szCs w:val="20"/>
        </w:rPr>
        <w:t>facility</w:t>
      </w:r>
      <w:r w:rsidR="00AE79CA">
        <w:rPr>
          <w:rFonts w:cs="Arial"/>
        </w:rPr>
        <w:t>,</w:t>
      </w:r>
      <w:r w:rsidRPr="00FB1CBD">
        <w:rPr>
          <w:rFonts w:cs="Arial"/>
        </w:rPr>
        <w:t xml:space="preserve"> but the ASW did not take appropriate action to recoup the improper </w:t>
      </w:r>
      <w:r w:rsidR="00A707F8">
        <w:rPr>
          <w:rFonts w:cs="Arial"/>
        </w:rPr>
        <w:t>HHP</w:t>
      </w:r>
      <w:r w:rsidR="00AE79CA">
        <w:rPr>
          <w:rFonts w:cs="Arial"/>
        </w:rPr>
        <w:t xml:space="preserve"> </w:t>
      </w:r>
      <w:r w:rsidRPr="00FB1CBD">
        <w:rPr>
          <w:rFonts w:cs="Arial"/>
        </w:rPr>
        <w:t xml:space="preserve">payments.  When a client and/or provider notify the ASW that the client has been admitted to a nursing </w:t>
      </w:r>
      <w:r w:rsidR="00106E4A">
        <w:rPr>
          <w:rFonts w:cs="Arial"/>
          <w:szCs w:val="20"/>
        </w:rPr>
        <w:t>facility</w:t>
      </w:r>
      <w:r w:rsidRPr="00FB1CBD">
        <w:rPr>
          <w:rFonts w:cs="Arial"/>
        </w:rPr>
        <w:t>, ASM 165 requires the ASW to use this information to prevent or recover Medicaid payments for services for days that the c</w:t>
      </w:r>
      <w:r w:rsidRPr="004A02D1">
        <w:rPr>
          <w:rFonts w:cs="Arial"/>
        </w:rPr>
        <w:t>lient is in a nursing</w:t>
      </w:r>
      <w:r w:rsidR="00106E4A" w:rsidRPr="00AE3121">
        <w:rPr>
          <w:rFonts w:cs="Arial"/>
          <w:szCs w:val="20"/>
        </w:rPr>
        <w:t xml:space="preserve"> </w:t>
      </w:r>
      <w:r w:rsidR="00106E4A">
        <w:rPr>
          <w:rFonts w:cs="Arial"/>
          <w:szCs w:val="20"/>
        </w:rPr>
        <w:t>facility</w:t>
      </w:r>
      <w:r w:rsidRPr="004A02D1">
        <w:rPr>
          <w:rFonts w:cs="Arial"/>
        </w:rPr>
        <w:t>.</w:t>
      </w:r>
    </w:p>
    <w:p w:rsidR="004A02D1" w:rsidRPr="004A02D1" w:rsidRDefault="004A02D1" w:rsidP="00F84A56">
      <w:pPr>
        <w:overflowPunct/>
        <w:autoSpaceDE/>
        <w:autoSpaceDN/>
        <w:adjustRightInd/>
        <w:spacing w:line="300" w:lineRule="auto"/>
        <w:textAlignment w:val="auto"/>
        <w:rPr>
          <w:rFonts w:cs="Arial"/>
          <w:szCs w:val="20"/>
        </w:rPr>
      </w:pPr>
    </w:p>
    <w:p w:rsidR="00893F75" w:rsidRPr="00FB1CBD" w:rsidRDefault="00893F75" w:rsidP="00F84A56">
      <w:pPr>
        <w:spacing w:line="300" w:lineRule="auto"/>
        <w:ind w:left="504"/>
        <w:jc w:val="both"/>
        <w:rPr>
          <w:rFonts w:cs="Arial"/>
        </w:rPr>
      </w:pPr>
      <w:r w:rsidRPr="00FB1CBD">
        <w:rPr>
          <w:rFonts w:cs="Arial"/>
        </w:rPr>
        <w:t xml:space="preserve">DCH and DHS informed us that a lack of effective controls allowed for payments to providers while their respective clients were admitted to nursing facilities. </w:t>
      </w:r>
    </w:p>
    <w:p w:rsidR="00DE6C9A" w:rsidRPr="00FB1CBD" w:rsidRDefault="00DE6C9A" w:rsidP="00F84A56">
      <w:pPr>
        <w:spacing w:line="300" w:lineRule="auto"/>
        <w:ind w:left="504"/>
        <w:jc w:val="both"/>
        <w:rPr>
          <w:rFonts w:cs="Arial"/>
        </w:rPr>
      </w:pPr>
    </w:p>
    <w:p w:rsidR="00893F75" w:rsidRPr="00FB1CBD" w:rsidRDefault="00DE6C9A" w:rsidP="00F84A56">
      <w:pPr>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tabs>
          <w:tab w:val="left" w:pos="360"/>
        </w:tabs>
        <w:spacing w:line="300" w:lineRule="auto"/>
        <w:ind w:left="360"/>
        <w:contextualSpacing/>
        <w:jc w:val="both"/>
        <w:rPr>
          <w:rFonts w:cs="Arial"/>
        </w:rPr>
      </w:pPr>
      <w:r w:rsidRPr="00FB1CBD">
        <w:rPr>
          <w:rFonts w:cs="Arial"/>
        </w:rPr>
        <w:t xml:space="preserve">We recommend that the </w:t>
      </w:r>
      <w:r w:rsidR="00AE79CA">
        <w:rPr>
          <w:rFonts w:cs="Arial"/>
        </w:rPr>
        <w:t xml:space="preserve">DCH and DHS </w:t>
      </w:r>
      <w:r w:rsidRPr="00FB1CBD">
        <w:rPr>
          <w:rFonts w:cs="Arial"/>
        </w:rPr>
        <w:t xml:space="preserve">establish effective controls to prevent or recover Medicaid payments for </w:t>
      </w:r>
      <w:r w:rsidR="00A707F8">
        <w:rPr>
          <w:rFonts w:cs="Arial"/>
        </w:rPr>
        <w:t>HHP</w:t>
      </w:r>
      <w:r w:rsidR="004D2C88">
        <w:rPr>
          <w:rFonts w:cs="Arial"/>
        </w:rPr>
        <w:t xml:space="preserve"> </w:t>
      </w:r>
      <w:r w:rsidRPr="00FB1CBD">
        <w:rPr>
          <w:rFonts w:cs="Arial"/>
        </w:rPr>
        <w:t>services for clients who were admitted to a nursing</w:t>
      </w:r>
      <w:r w:rsidR="00106E4A" w:rsidRPr="00AE3121">
        <w:rPr>
          <w:rFonts w:cs="Arial"/>
          <w:szCs w:val="20"/>
        </w:rPr>
        <w:t xml:space="preserve"> </w:t>
      </w:r>
      <w:r w:rsidR="00106E4A">
        <w:rPr>
          <w:rFonts w:cs="Arial"/>
          <w:szCs w:val="20"/>
        </w:rPr>
        <w:t>facility</w:t>
      </w:r>
      <w:r w:rsidRPr="00FB1CBD">
        <w:rPr>
          <w:rFonts w:cs="Arial"/>
        </w:rPr>
        <w:t>.</w:t>
      </w:r>
    </w:p>
    <w:p w:rsidR="00893F75" w:rsidRPr="00FB1CBD" w:rsidRDefault="00893F75" w:rsidP="00F84A56">
      <w:pPr>
        <w:tabs>
          <w:tab w:val="left" w:pos="360"/>
        </w:tabs>
        <w:spacing w:line="300" w:lineRule="auto"/>
        <w:contextualSpacing/>
        <w:jc w:val="both"/>
        <w:rPr>
          <w:rFonts w:cs="Arial"/>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AE3121" w:rsidRPr="00D6707C" w:rsidRDefault="00AE3121" w:rsidP="00AE3121">
      <w:pPr>
        <w:tabs>
          <w:tab w:val="left" w:pos="360"/>
        </w:tabs>
        <w:spacing w:line="300" w:lineRule="auto"/>
        <w:ind w:left="360"/>
        <w:contextualSpacing/>
        <w:jc w:val="both"/>
        <w:rPr>
          <w:rFonts w:cs="Arial"/>
        </w:rPr>
      </w:pPr>
      <w:r w:rsidRPr="00D6707C">
        <w:rPr>
          <w:rFonts w:cs="Arial"/>
        </w:rPr>
        <w:t xml:space="preserve">DCH and DHS agree that effective controls had not been implemented to prevent or recover payments for HHP services for clients who were admitted to a nursing </w:t>
      </w:r>
      <w:r>
        <w:rPr>
          <w:rFonts w:cs="Arial"/>
        </w:rPr>
        <w:t>facility</w:t>
      </w:r>
      <w:r w:rsidRPr="00D6707C">
        <w:rPr>
          <w:rFonts w:cs="Arial"/>
        </w:rPr>
        <w:t>.</w:t>
      </w:r>
    </w:p>
    <w:p w:rsidR="00AE3121" w:rsidRPr="00D6707C" w:rsidRDefault="00AE3121" w:rsidP="00AE3121">
      <w:pPr>
        <w:tabs>
          <w:tab w:val="left" w:pos="360"/>
        </w:tabs>
        <w:spacing w:line="300" w:lineRule="auto"/>
        <w:ind w:left="360"/>
        <w:contextualSpacing/>
        <w:jc w:val="both"/>
        <w:rPr>
          <w:rFonts w:cs="Arial"/>
        </w:rPr>
      </w:pPr>
    </w:p>
    <w:p w:rsidR="00AE3121" w:rsidRPr="00D6707C" w:rsidRDefault="00AE3121" w:rsidP="00AE3121">
      <w:pPr>
        <w:tabs>
          <w:tab w:val="left" w:pos="360"/>
        </w:tabs>
        <w:spacing w:line="300" w:lineRule="auto"/>
        <w:ind w:left="360"/>
        <w:contextualSpacing/>
        <w:jc w:val="both"/>
        <w:rPr>
          <w:rFonts w:cs="Arial"/>
        </w:rPr>
      </w:pPr>
      <w:r w:rsidRPr="00D6707C">
        <w:rPr>
          <w:rFonts w:cs="Arial"/>
        </w:rPr>
        <w:t xml:space="preserve">DHS </w:t>
      </w:r>
      <w:r>
        <w:rPr>
          <w:rFonts w:cs="Arial"/>
        </w:rPr>
        <w:t xml:space="preserve">informed us that it </w:t>
      </w:r>
      <w:r w:rsidRPr="00D6707C">
        <w:rPr>
          <w:rFonts w:cs="Arial"/>
        </w:rPr>
        <w:t xml:space="preserve">has reviewed all of the cases identified in the audit.  Recoupment processes have started for the majority of the cases and additional recoupment actions will be taken where deemed appropriate.  </w:t>
      </w:r>
    </w:p>
    <w:p w:rsidR="00AE3121" w:rsidRPr="00D6707C" w:rsidRDefault="00AE3121" w:rsidP="00AE3121">
      <w:pPr>
        <w:tabs>
          <w:tab w:val="left" w:pos="360"/>
        </w:tabs>
        <w:spacing w:line="300" w:lineRule="auto"/>
        <w:ind w:left="360"/>
        <w:contextualSpacing/>
        <w:jc w:val="both"/>
        <w:rPr>
          <w:rFonts w:cs="Arial"/>
        </w:rPr>
      </w:pPr>
    </w:p>
    <w:p w:rsidR="00AE3121" w:rsidRPr="00D6707C" w:rsidRDefault="00AE3121" w:rsidP="00AE3121">
      <w:pPr>
        <w:tabs>
          <w:tab w:val="left" w:pos="360"/>
        </w:tabs>
        <w:spacing w:line="300" w:lineRule="auto"/>
        <w:ind w:left="360"/>
        <w:contextualSpacing/>
        <w:jc w:val="both"/>
        <w:rPr>
          <w:rFonts w:cs="Arial"/>
        </w:rPr>
      </w:pPr>
      <w:r>
        <w:rPr>
          <w:rFonts w:cs="Arial"/>
        </w:rPr>
        <w:t>Also, DCH and DHS informed us that s</w:t>
      </w:r>
      <w:r w:rsidRPr="00D6707C">
        <w:rPr>
          <w:rFonts w:cs="Arial"/>
        </w:rPr>
        <w:t xml:space="preserve">ystem edits were implemented in April 2014 that effectively </w:t>
      </w:r>
      <w:r>
        <w:rPr>
          <w:rFonts w:cs="Arial"/>
        </w:rPr>
        <w:t xml:space="preserve">stop the authorization from generating a </w:t>
      </w:r>
      <w:r w:rsidRPr="00D6707C">
        <w:rPr>
          <w:rFonts w:cs="Arial"/>
        </w:rPr>
        <w:t xml:space="preserve">payment for any clients that are identified as being in a nursing facility.  In addition, data queries will continue to occur on a monthly basis and any payments identified while the client is receiving nursing </w:t>
      </w:r>
      <w:r>
        <w:rPr>
          <w:rFonts w:cs="Arial"/>
        </w:rPr>
        <w:t>facility</w:t>
      </w:r>
      <w:r w:rsidRPr="00D6707C">
        <w:rPr>
          <w:rFonts w:cs="Arial"/>
        </w:rPr>
        <w:t xml:space="preserve"> level of care will be referred to DHS for recoupment. </w:t>
      </w:r>
    </w:p>
    <w:p w:rsidR="00AE3121" w:rsidRPr="00D6707C" w:rsidRDefault="00AE3121" w:rsidP="00AE3121">
      <w:pPr>
        <w:tabs>
          <w:tab w:val="left" w:pos="360"/>
        </w:tabs>
        <w:spacing w:line="300" w:lineRule="auto"/>
        <w:ind w:left="360"/>
        <w:contextualSpacing/>
        <w:jc w:val="both"/>
        <w:rPr>
          <w:rFonts w:cs="Arial"/>
        </w:rPr>
      </w:pPr>
    </w:p>
    <w:p w:rsidR="00AE3121" w:rsidRDefault="00AE3121">
      <w:pPr>
        <w:overflowPunct/>
        <w:autoSpaceDE/>
        <w:autoSpaceDN/>
        <w:adjustRightInd/>
        <w:textAlignment w:val="auto"/>
        <w:rPr>
          <w:rFonts w:cs="Arial"/>
        </w:rPr>
      </w:pPr>
      <w:r>
        <w:rPr>
          <w:rFonts w:cs="Arial"/>
        </w:rPr>
        <w:br w:type="page"/>
      </w:r>
    </w:p>
    <w:p w:rsidR="00AE3121" w:rsidRPr="00D6707C" w:rsidRDefault="00AE3121" w:rsidP="00AE3121">
      <w:pPr>
        <w:tabs>
          <w:tab w:val="left" w:pos="360"/>
        </w:tabs>
        <w:spacing w:line="300" w:lineRule="auto"/>
        <w:ind w:left="360"/>
        <w:contextualSpacing/>
        <w:jc w:val="both"/>
        <w:rPr>
          <w:rFonts w:cs="Arial"/>
        </w:rPr>
      </w:pPr>
      <w:r w:rsidRPr="00D6707C">
        <w:rPr>
          <w:rFonts w:cs="Arial"/>
        </w:rPr>
        <w:lastRenderedPageBreak/>
        <w:t xml:space="preserve">In addition, </w:t>
      </w:r>
      <w:r>
        <w:rPr>
          <w:rFonts w:cs="Arial"/>
        </w:rPr>
        <w:t xml:space="preserve">DCH and DHS indicated that </w:t>
      </w:r>
      <w:r w:rsidRPr="00D6707C">
        <w:rPr>
          <w:rFonts w:cs="Arial"/>
        </w:rPr>
        <w:t xml:space="preserve">all adult services staff will complete mandatory adult services core training that includes required recoupment procedures for clients residing in a nursing </w:t>
      </w:r>
      <w:r>
        <w:rPr>
          <w:rFonts w:cs="Arial"/>
        </w:rPr>
        <w:t>facility</w:t>
      </w:r>
      <w:r w:rsidRPr="00D6707C">
        <w:rPr>
          <w:rFonts w:cs="Arial"/>
        </w:rPr>
        <w:t xml:space="preserve"> that have an active home help case.</w:t>
      </w:r>
    </w:p>
    <w:p w:rsidR="0097689D" w:rsidRDefault="0097689D" w:rsidP="00F84A56">
      <w:pPr>
        <w:tabs>
          <w:tab w:val="left" w:pos="0"/>
        </w:tabs>
        <w:spacing w:line="300" w:lineRule="auto"/>
        <w:ind w:left="504"/>
        <w:jc w:val="both"/>
        <w:rPr>
          <w:rFonts w:cs="Arial"/>
        </w:rPr>
      </w:pPr>
    </w:p>
    <w:p w:rsidR="0097689D" w:rsidRDefault="0097689D" w:rsidP="00F84A56">
      <w:pPr>
        <w:tabs>
          <w:tab w:val="left" w:pos="0"/>
        </w:tabs>
        <w:spacing w:line="300" w:lineRule="auto"/>
        <w:ind w:left="504"/>
        <w:jc w:val="both"/>
        <w:rPr>
          <w:rFonts w:cs="Arial"/>
        </w:rPr>
      </w:pPr>
    </w:p>
    <w:p w:rsidR="00893F75" w:rsidRPr="00FB1CBD" w:rsidRDefault="00DE6C9A" w:rsidP="00F84A56">
      <w:pPr>
        <w:spacing w:line="300" w:lineRule="auto"/>
        <w:jc w:val="both"/>
        <w:rPr>
          <w:rFonts w:cs="Arial"/>
          <w:b/>
          <w:smallCaps/>
          <w:sz w:val="28"/>
          <w:u w:val="single"/>
        </w:rPr>
      </w:pPr>
      <w:r w:rsidRPr="00FB1CBD">
        <w:rPr>
          <w:rFonts w:cs="Arial"/>
          <w:b/>
          <w:smallCaps/>
          <w:sz w:val="28"/>
          <w:u w:val="single"/>
        </w:rPr>
        <w:t>Finding</w:t>
      </w:r>
    </w:p>
    <w:p w:rsidR="00893F75" w:rsidRPr="00FB1CBD" w:rsidRDefault="00893F75" w:rsidP="00F84A56">
      <w:pPr>
        <w:pStyle w:val="A4-FindingTitle"/>
      </w:pPr>
      <w:r w:rsidRPr="00FB1CBD">
        <w:t>Review of Undeliverable W-2 Forms</w:t>
      </w:r>
    </w:p>
    <w:p w:rsidR="00EF736C" w:rsidRPr="00FB1CBD" w:rsidRDefault="00893F75" w:rsidP="00F84A56">
      <w:pPr>
        <w:spacing w:line="300" w:lineRule="auto"/>
        <w:ind w:left="504"/>
        <w:jc w:val="both"/>
        <w:rPr>
          <w:rFonts w:cs="Arial"/>
        </w:rPr>
      </w:pPr>
      <w:r w:rsidRPr="00FB1CBD">
        <w:rPr>
          <w:rFonts w:cs="Arial"/>
          <w:color w:val="000000"/>
        </w:rPr>
        <w:t>DCH did not have a process to review W-2 forms that were returned as undeliverable to help identify potential fraud and abuse in</w:t>
      </w:r>
      <w:r w:rsidR="00FD205F">
        <w:rPr>
          <w:rFonts w:cs="Arial"/>
          <w:color w:val="000000"/>
        </w:rPr>
        <w:t xml:space="preserve"> </w:t>
      </w:r>
      <w:r w:rsidR="00A707F8">
        <w:rPr>
          <w:rFonts w:cs="Arial"/>
          <w:color w:val="000000"/>
        </w:rPr>
        <w:t>HHP</w:t>
      </w:r>
      <w:r w:rsidRPr="00FB1CBD">
        <w:rPr>
          <w:rFonts w:cs="Arial"/>
          <w:color w:val="000000"/>
        </w:rPr>
        <w:t xml:space="preserve">. </w:t>
      </w:r>
      <w:r w:rsidR="00FD205F">
        <w:rPr>
          <w:rFonts w:cs="Arial"/>
          <w:color w:val="000000"/>
        </w:rPr>
        <w:t xml:space="preserve"> </w:t>
      </w:r>
      <w:r w:rsidRPr="00FB1CBD">
        <w:rPr>
          <w:rFonts w:cs="Arial"/>
        </w:rPr>
        <w:t xml:space="preserve">As a result, DCH missed an opportunity to identify nonexistent providers, clients fraudulently receiving </w:t>
      </w:r>
      <w:r w:rsidR="00A707F8">
        <w:rPr>
          <w:rFonts w:cs="Arial"/>
        </w:rPr>
        <w:t>HHP</w:t>
      </w:r>
      <w:r w:rsidR="00FD205F">
        <w:rPr>
          <w:rFonts w:cs="Arial"/>
        </w:rPr>
        <w:t xml:space="preserve"> </w:t>
      </w:r>
      <w:r w:rsidRPr="00FB1CBD">
        <w:rPr>
          <w:rFonts w:cs="Arial"/>
        </w:rPr>
        <w:t>payments after their providers were terminated, and providers who live with their clients but provide a false address to maintain the clients</w:t>
      </w:r>
      <w:r w:rsidR="00F305E9">
        <w:rPr>
          <w:rFonts w:cs="Arial"/>
        </w:rPr>
        <w:t>'</w:t>
      </w:r>
      <w:r w:rsidRPr="00FB1CBD">
        <w:rPr>
          <w:rFonts w:cs="Arial"/>
        </w:rPr>
        <w:t xml:space="preserve"> eligibility for other government assistance and to avoid reductions to the clients</w:t>
      </w:r>
      <w:r w:rsidR="00F305E9">
        <w:rPr>
          <w:rFonts w:cs="Arial"/>
        </w:rPr>
        <w:t>'</w:t>
      </w:r>
      <w:r w:rsidRPr="00FB1CBD">
        <w:rPr>
          <w:rFonts w:cs="Arial"/>
        </w:rPr>
        <w:t xml:space="preserve"> authorized </w:t>
      </w:r>
      <w:r w:rsidR="00A707F8">
        <w:rPr>
          <w:rFonts w:cs="Arial"/>
        </w:rPr>
        <w:t>HHP</w:t>
      </w:r>
      <w:r w:rsidR="00FD205F">
        <w:rPr>
          <w:rFonts w:cs="Arial"/>
        </w:rPr>
        <w:t xml:space="preserve"> </w:t>
      </w:r>
      <w:r w:rsidRPr="00FB1CBD">
        <w:rPr>
          <w:rFonts w:cs="Arial"/>
        </w:rPr>
        <w:t xml:space="preserve">service level. </w:t>
      </w:r>
    </w:p>
    <w:p w:rsidR="008D29DF" w:rsidRPr="00FB1CBD" w:rsidRDefault="008D29DF" w:rsidP="00F84A56">
      <w:pPr>
        <w:tabs>
          <w:tab w:val="left" w:pos="0"/>
        </w:tabs>
        <w:spacing w:line="300" w:lineRule="auto"/>
        <w:ind w:left="504"/>
        <w:jc w:val="both"/>
        <w:rPr>
          <w:rFonts w:cs="Arial"/>
        </w:rPr>
      </w:pPr>
    </w:p>
    <w:p w:rsidR="00893F75" w:rsidRPr="00FB1CBD" w:rsidRDefault="00893F75" w:rsidP="00F84A56">
      <w:pPr>
        <w:tabs>
          <w:tab w:val="left" w:pos="0"/>
        </w:tabs>
        <w:spacing w:line="300" w:lineRule="auto"/>
        <w:ind w:left="504"/>
        <w:jc w:val="both"/>
        <w:rPr>
          <w:rFonts w:cs="Arial"/>
        </w:rPr>
      </w:pPr>
      <w:r w:rsidRPr="00FB1CBD">
        <w:rPr>
          <w:rFonts w:cs="Arial"/>
        </w:rPr>
        <w:t xml:space="preserve">DCH informed us that approximately 6,400 and 5,800 W-2 forms were returned as undeliverable in 2011 and 2012, respectively.  This represents 8.7% and 8.0% of the W-2 forms that DCH sent to individual providers each year, respectively. </w:t>
      </w:r>
      <w:r w:rsidR="00EF736C" w:rsidRPr="00FB1CBD">
        <w:rPr>
          <w:rFonts w:cs="Arial"/>
        </w:rPr>
        <w:t xml:space="preserve"> </w:t>
      </w:r>
      <w:r w:rsidRPr="00FB1CBD">
        <w:rPr>
          <w:rFonts w:cs="Arial"/>
        </w:rPr>
        <w:t xml:space="preserve">DCH paid individual </w:t>
      </w:r>
      <w:r w:rsidR="00A707F8">
        <w:rPr>
          <w:rFonts w:cs="Arial"/>
        </w:rPr>
        <w:t>HHP</w:t>
      </w:r>
      <w:r w:rsidR="00FD205F">
        <w:rPr>
          <w:rFonts w:cs="Arial"/>
        </w:rPr>
        <w:t xml:space="preserve"> </w:t>
      </w:r>
      <w:r w:rsidRPr="00FB1CBD">
        <w:rPr>
          <w:rFonts w:cs="Arial"/>
        </w:rPr>
        <w:t>providers $220</w:t>
      </w:r>
      <w:r w:rsidR="00FD205F">
        <w:rPr>
          <w:rFonts w:cs="Arial"/>
        </w:rPr>
        <w:t>.2</w:t>
      </w:r>
      <w:r w:rsidRPr="00FB1CBD">
        <w:rPr>
          <w:rFonts w:cs="Arial"/>
        </w:rPr>
        <w:t xml:space="preserve"> million ($74.5 million General </w:t>
      </w:r>
      <w:r w:rsidR="007B48F3">
        <w:rPr>
          <w:rFonts w:cs="Arial"/>
        </w:rPr>
        <w:t>F</w:t>
      </w:r>
      <w:r w:rsidR="007B48F3" w:rsidRPr="00FB1CBD">
        <w:rPr>
          <w:rFonts w:cs="Arial"/>
        </w:rPr>
        <w:t>und/general</w:t>
      </w:r>
      <w:r w:rsidR="00AE3121">
        <w:rPr>
          <w:rFonts w:cs="Arial"/>
        </w:rPr>
        <w:t xml:space="preserve"> </w:t>
      </w:r>
      <w:r w:rsidRPr="00FB1CBD">
        <w:rPr>
          <w:rFonts w:cs="Arial"/>
        </w:rPr>
        <w:t xml:space="preserve">purpose) annually for services. </w:t>
      </w:r>
      <w:r w:rsidR="00EF736C" w:rsidRPr="00FB1CBD">
        <w:rPr>
          <w:rFonts w:cs="Arial"/>
        </w:rPr>
        <w:t xml:space="preserve"> </w:t>
      </w:r>
      <w:r w:rsidR="00820207" w:rsidRPr="00FB1CBD">
        <w:rPr>
          <w:rFonts w:cs="Arial"/>
        </w:rPr>
        <w:t>However, because DCH</w:t>
      </w:r>
      <w:r w:rsidR="007505CD" w:rsidRPr="00FB1CBD">
        <w:rPr>
          <w:rFonts w:cs="Arial"/>
        </w:rPr>
        <w:t xml:space="preserve"> d</w:t>
      </w:r>
      <w:r w:rsidR="00820207" w:rsidRPr="00FB1CBD">
        <w:rPr>
          <w:rFonts w:cs="Arial"/>
        </w:rPr>
        <w:t xml:space="preserve">id not maintain a listing with provider names of the W-2 forms that were returned as undeliverable, it could not identify the </w:t>
      </w:r>
      <w:r w:rsidR="00A707F8">
        <w:rPr>
          <w:rFonts w:cs="Arial"/>
        </w:rPr>
        <w:t>HHP</w:t>
      </w:r>
      <w:r w:rsidR="00FD205F">
        <w:rPr>
          <w:rFonts w:cs="Arial"/>
        </w:rPr>
        <w:t xml:space="preserve"> </w:t>
      </w:r>
      <w:r w:rsidR="00820207" w:rsidRPr="00FB1CBD">
        <w:rPr>
          <w:rFonts w:cs="Arial"/>
        </w:rPr>
        <w:t xml:space="preserve">payments associated with them. </w:t>
      </w:r>
    </w:p>
    <w:p w:rsidR="00DE6C9A" w:rsidRPr="00FB1CBD" w:rsidRDefault="00DE6C9A" w:rsidP="00F84A56">
      <w:pPr>
        <w:tabs>
          <w:tab w:val="left" w:pos="0"/>
        </w:tabs>
        <w:spacing w:line="300" w:lineRule="auto"/>
        <w:ind w:left="504"/>
        <w:jc w:val="both"/>
        <w:rPr>
          <w:rFonts w:cs="Arial"/>
        </w:rPr>
      </w:pPr>
    </w:p>
    <w:p w:rsidR="00AE3121" w:rsidRDefault="00893F75" w:rsidP="00F84A56">
      <w:pPr>
        <w:tabs>
          <w:tab w:val="left" w:pos="0"/>
        </w:tabs>
        <w:spacing w:line="300" w:lineRule="auto"/>
        <w:ind w:left="504"/>
        <w:jc w:val="both"/>
        <w:rPr>
          <w:rFonts w:cs="Arial"/>
          <w:color w:val="000000"/>
        </w:rPr>
      </w:pPr>
      <w:r w:rsidRPr="00FB1CBD">
        <w:rPr>
          <w:rFonts w:cs="Arial"/>
          <w:color w:val="000000"/>
        </w:rPr>
        <w:t xml:space="preserve">According to a November 2012 report of the Office of Inspector General (OIG), </w:t>
      </w:r>
      <w:r w:rsidR="00262076">
        <w:rPr>
          <w:rFonts w:cs="Arial"/>
          <w:color w:val="000000"/>
        </w:rPr>
        <w:t xml:space="preserve">U.S. Department of Health and Human Services, </w:t>
      </w:r>
      <w:r w:rsidRPr="00FB1CBD">
        <w:rPr>
          <w:rFonts w:cs="Arial"/>
          <w:color w:val="000000"/>
        </w:rPr>
        <w:t xml:space="preserve">the </w:t>
      </w:r>
      <w:r w:rsidR="00262076">
        <w:rPr>
          <w:rFonts w:cs="Arial"/>
          <w:color w:val="000000"/>
        </w:rPr>
        <w:t xml:space="preserve">federal </w:t>
      </w:r>
      <w:r w:rsidRPr="00FB1CBD">
        <w:rPr>
          <w:rFonts w:cs="Arial"/>
          <w:color w:val="000000"/>
        </w:rPr>
        <w:t>OIG and state Medicaid Fraud Control Units (MFCUs) have noted an increase in the number and type of fraud cases involving personal care services, including programs where clients have employer authority</w:t>
      </w:r>
      <w:r w:rsidR="00262076">
        <w:rPr>
          <w:rFonts w:cs="Arial"/>
          <w:color w:val="000000"/>
        </w:rPr>
        <w:t>*</w:t>
      </w:r>
      <w:r w:rsidRPr="00FB1CBD">
        <w:rPr>
          <w:rFonts w:cs="Arial"/>
          <w:color w:val="000000"/>
        </w:rPr>
        <w:t>, like the State</w:t>
      </w:r>
      <w:r w:rsidR="00F305E9">
        <w:rPr>
          <w:rFonts w:cs="Arial"/>
          <w:color w:val="000000"/>
        </w:rPr>
        <w:t>'</w:t>
      </w:r>
      <w:r w:rsidRPr="00FB1CBD">
        <w:rPr>
          <w:rFonts w:cs="Arial"/>
          <w:color w:val="000000"/>
        </w:rPr>
        <w:t>s</w:t>
      </w:r>
      <w:r w:rsidR="007B48F3">
        <w:rPr>
          <w:rFonts w:cs="Arial"/>
          <w:color w:val="000000"/>
        </w:rPr>
        <w:t xml:space="preserve"> </w:t>
      </w:r>
      <w:r w:rsidR="00A707F8">
        <w:rPr>
          <w:rFonts w:cs="Arial"/>
          <w:color w:val="000000"/>
        </w:rPr>
        <w:t>HHP</w:t>
      </w:r>
      <w:r w:rsidRPr="00FB1CBD">
        <w:rPr>
          <w:rFonts w:cs="Arial"/>
          <w:color w:val="000000"/>
        </w:rPr>
        <w:t xml:space="preserve">. </w:t>
      </w:r>
      <w:r w:rsidR="00EF736C" w:rsidRPr="00FB1CBD">
        <w:rPr>
          <w:rFonts w:cs="Arial"/>
          <w:color w:val="000000"/>
        </w:rPr>
        <w:t xml:space="preserve"> </w:t>
      </w:r>
      <w:r w:rsidRPr="00FB1CBD">
        <w:rPr>
          <w:rFonts w:cs="Arial"/>
          <w:color w:val="000000"/>
        </w:rPr>
        <w:t xml:space="preserve">When the client has employer authority, the client often receives the benefit payment and is required to give the payment to the provider.  The </w:t>
      </w:r>
      <w:r w:rsidR="00262076">
        <w:rPr>
          <w:rFonts w:cs="Arial"/>
          <w:color w:val="000000"/>
        </w:rPr>
        <w:t xml:space="preserve">federal </w:t>
      </w:r>
      <w:r w:rsidRPr="00FB1CBD">
        <w:rPr>
          <w:rFonts w:cs="Arial"/>
          <w:color w:val="000000"/>
        </w:rPr>
        <w:t>OIG and MFCUs are finding that these clients may submit false claims for services and then forge the provider</w:t>
      </w:r>
      <w:r w:rsidR="00F305E9">
        <w:rPr>
          <w:rFonts w:cs="Arial"/>
          <w:color w:val="000000"/>
        </w:rPr>
        <w:t>'</w:t>
      </w:r>
      <w:r w:rsidRPr="00FB1CBD">
        <w:rPr>
          <w:rFonts w:cs="Arial"/>
          <w:color w:val="000000"/>
        </w:rPr>
        <w:t xml:space="preserve">s endorsement and deposit the payment into their own bank accounts.  We identified 1 such occurrence in our testing of 154 randomly selected </w:t>
      </w:r>
      <w:r w:rsidR="00A707F8">
        <w:rPr>
          <w:rFonts w:cs="Arial"/>
          <w:color w:val="000000"/>
        </w:rPr>
        <w:t>HHP</w:t>
      </w:r>
      <w:r w:rsidR="00262076">
        <w:rPr>
          <w:rFonts w:cs="Arial"/>
          <w:color w:val="000000"/>
        </w:rPr>
        <w:t xml:space="preserve"> </w:t>
      </w:r>
      <w:r w:rsidRPr="00FB1CBD">
        <w:rPr>
          <w:rFonts w:cs="Arial"/>
          <w:color w:val="000000"/>
        </w:rPr>
        <w:t xml:space="preserve">cases.  </w:t>
      </w:r>
      <w:r w:rsidR="00820207" w:rsidRPr="00FB1CBD">
        <w:rPr>
          <w:rFonts w:cs="Arial"/>
          <w:color w:val="000000"/>
        </w:rPr>
        <w:t>I</w:t>
      </w:r>
      <w:r w:rsidRPr="00FB1CBD">
        <w:rPr>
          <w:rFonts w:cs="Arial"/>
          <w:color w:val="000000"/>
        </w:rPr>
        <w:t>n Michigan, provider</w:t>
      </w:r>
      <w:r w:rsidR="00820207" w:rsidRPr="00FB1CBD">
        <w:rPr>
          <w:rFonts w:cs="Arial"/>
          <w:color w:val="000000"/>
        </w:rPr>
        <w:t>s</w:t>
      </w:r>
      <w:r w:rsidR="00EF736C" w:rsidRPr="00FB1CBD">
        <w:rPr>
          <w:rFonts w:cs="Arial"/>
          <w:color w:val="000000"/>
        </w:rPr>
        <w:t xml:space="preserve"> </w:t>
      </w:r>
      <w:r w:rsidRPr="00FB1CBD">
        <w:rPr>
          <w:rFonts w:cs="Arial"/>
          <w:color w:val="000000"/>
        </w:rPr>
        <w:t xml:space="preserve">receive a </w:t>
      </w:r>
      <w:r w:rsidR="00262076">
        <w:rPr>
          <w:rFonts w:cs="Arial"/>
          <w:color w:val="000000"/>
        </w:rPr>
        <w:t>W-2 form at year-</w:t>
      </w:r>
      <w:r w:rsidRPr="00FB1CBD">
        <w:rPr>
          <w:rFonts w:cs="Arial"/>
          <w:color w:val="000000"/>
        </w:rPr>
        <w:t xml:space="preserve">end and may notify DCH </w:t>
      </w:r>
      <w:r w:rsidR="00820207" w:rsidRPr="00FB1CBD">
        <w:rPr>
          <w:rFonts w:cs="Arial"/>
          <w:color w:val="000000"/>
        </w:rPr>
        <w:t>if the</w:t>
      </w:r>
      <w:r w:rsidR="00262076">
        <w:rPr>
          <w:rFonts w:cs="Arial"/>
          <w:color w:val="000000"/>
        </w:rPr>
        <w:t>y</w:t>
      </w:r>
      <w:r w:rsidR="00820207" w:rsidRPr="00FB1CBD">
        <w:rPr>
          <w:rFonts w:cs="Arial"/>
          <w:color w:val="000000"/>
        </w:rPr>
        <w:t xml:space="preserve"> </w:t>
      </w:r>
      <w:r w:rsidR="00AE3121">
        <w:rPr>
          <w:rFonts w:cs="Arial"/>
          <w:color w:val="000000"/>
        </w:rPr>
        <w:br/>
      </w:r>
    </w:p>
    <w:p w:rsidR="00AE3121" w:rsidRPr="00C87A26" w:rsidRDefault="00AE3121" w:rsidP="00AE3121">
      <w:pPr>
        <w:pStyle w:val="ListParagraph"/>
        <w:overflowPunct/>
        <w:autoSpaceDE/>
        <w:autoSpaceDN/>
        <w:adjustRightInd/>
        <w:spacing w:line="300" w:lineRule="auto"/>
        <w:ind w:left="0"/>
        <w:jc w:val="both"/>
        <w:textAlignment w:val="auto"/>
        <w:rPr>
          <w:rFonts w:cs="Arial"/>
          <w:sz w:val="20"/>
          <w:szCs w:val="20"/>
        </w:rPr>
      </w:pPr>
      <w:r w:rsidRPr="00C87A26">
        <w:rPr>
          <w:rFonts w:cs="Arial"/>
          <w:i/>
          <w:sz w:val="20"/>
          <w:szCs w:val="20"/>
        </w:rPr>
        <w:t xml:space="preserve">*  See glossary at end of report for definition.  </w:t>
      </w:r>
      <w:r w:rsidRPr="00C87A26">
        <w:rPr>
          <w:rFonts w:cs="Arial"/>
          <w:sz w:val="20"/>
          <w:szCs w:val="20"/>
        </w:rPr>
        <w:br w:type="page"/>
      </w:r>
    </w:p>
    <w:p w:rsidR="00893F75" w:rsidRPr="00FB1CBD" w:rsidRDefault="00820207" w:rsidP="00F84A56">
      <w:pPr>
        <w:tabs>
          <w:tab w:val="left" w:pos="0"/>
        </w:tabs>
        <w:spacing w:line="300" w:lineRule="auto"/>
        <w:ind w:left="504"/>
        <w:jc w:val="both"/>
        <w:rPr>
          <w:rFonts w:cs="Arial"/>
          <w:color w:val="000000"/>
        </w:rPr>
      </w:pPr>
      <w:r w:rsidRPr="00FB1CBD">
        <w:rPr>
          <w:rFonts w:cs="Arial"/>
          <w:color w:val="000000"/>
        </w:rPr>
        <w:lastRenderedPageBreak/>
        <w:t xml:space="preserve">notice </w:t>
      </w:r>
      <w:r w:rsidR="00893F75" w:rsidRPr="00FB1CBD">
        <w:rPr>
          <w:rFonts w:cs="Arial"/>
          <w:color w:val="000000"/>
        </w:rPr>
        <w:t xml:space="preserve">that the reported wages </w:t>
      </w:r>
      <w:r w:rsidRPr="00FB1CBD">
        <w:rPr>
          <w:rFonts w:cs="Arial"/>
          <w:color w:val="000000"/>
        </w:rPr>
        <w:t>are</w:t>
      </w:r>
      <w:r w:rsidR="00893F75" w:rsidRPr="00FB1CBD">
        <w:rPr>
          <w:rFonts w:cs="Arial"/>
          <w:color w:val="000000"/>
        </w:rPr>
        <w:t xml:space="preserve"> incorrect.  DCH could then investigate the issue. </w:t>
      </w:r>
      <w:r w:rsidR="00AE3121">
        <w:rPr>
          <w:rFonts w:cs="Arial"/>
          <w:color w:val="000000"/>
        </w:rPr>
        <w:t xml:space="preserve"> </w:t>
      </w:r>
      <w:r w:rsidR="00893F75" w:rsidRPr="00FB1CBD">
        <w:rPr>
          <w:rFonts w:cs="Arial"/>
          <w:color w:val="000000"/>
        </w:rPr>
        <w:t>However, if the W-2 form is returned as undeliverable, the fraud may g</w:t>
      </w:r>
      <w:r w:rsidR="00262076">
        <w:rPr>
          <w:rFonts w:cs="Arial"/>
          <w:color w:val="000000"/>
        </w:rPr>
        <w:t xml:space="preserve">o undetected unless DCH follows </w:t>
      </w:r>
      <w:r w:rsidR="00893F75" w:rsidRPr="00FB1CBD">
        <w:rPr>
          <w:rFonts w:cs="Arial"/>
          <w:color w:val="000000"/>
        </w:rPr>
        <w:t xml:space="preserve">up with the client and provider to determine why the W-2 form was undeliverable. </w:t>
      </w:r>
    </w:p>
    <w:p w:rsidR="00DE6C9A" w:rsidRPr="00FB1CBD" w:rsidRDefault="00DE6C9A" w:rsidP="00F84A56">
      <w:pPr>
        <w:tabs>
          <w:tab w:val="left" w:pos="0"/>
        </w:tabs>
        <w:spacing w:line="300" w:lineRule="auto"/>
        <w:ind w:left="504"/>
        <w:jc w:val="both"/>
        <w:rPr>
          <w:rFonts w:cs="Arial"/>
          <w:color w:val="000000"/>
        </w:rPr>
      </w:pPr>
    </w:p>
    <w:p w:rsidR="00EF736C" w:rsidRPr="00FB1CBD" w:rsidRDefault="00262076" w:rsidP="00F84A56">
      <w:pPr>
        <w:tabs>
          <w:tab w:val="left" w:pos="0"/>
        </w:tabs>
        <w:spacing w:line="300" w:lineRule="auto"/>
        <w:ind w:left="504"/>
        <w:jc w:val="both"/>
        <w:rPr>
          <w:rFonts w:cs="Arial"/>
          <w:color w:val="000000"/>
        </w:rPr>
      </w:pPr>
      <w:r>
        <w:rPr>
          <w:rFonts w:cs="Arial"/>
          <w:color w:val="000000"/>
        </w:rPr>
        <w:t xml:space="preserve">Federal regulation </w:t>
      </w:r>
      <w:r w:rsidR="00893F75" w:rsidRPr="00FB1CBD">
        <w:rPr>
          <w:rFonts w:cs="Arial"/>
          <w:color w:val="000000"/>
        </w:rPr>
        <w:t xml:space="preserve">42 </w:t>
      </w:r>
      <w:r w:rsidR="00893F75" w:rsidRPr="00FB1CBD">
        <w:rPr>
          <w:rFonts w:cs="Arial"/>
          <w:i/>
          <w:color w:val="000000"/>
        </w:rPr>
        <w:t>CFR</w:t>
      </w:r>
      <w:r w:rsidR="00893F75" w:rsidRPr="00FB1CBD">
        <w:rPr>
          <w:rFonts w:cs="Arial"/>
          <w:color w:val="000000"/>
        </w:rPr>
        <w:t xml:space="preserve"> 455.13(a) requires that the State have methods and criteria for identifying suspected fraud.  Although DCH has established methods for identifying suspected fraud in its Medicaid programs, we believe that it should include an analysis of undeliverable W-2 forms for </w:t>
      </w:r>
      <w:r w:rsidR="00A707F8">
        <w:rPr>
          <w:rFonts w:cs="Arial"/>
          <w:color w:val="000000"/>
        </w:rPr>
        <w:t>HHP</w:t>
      </w:r>
      <w:r>
        <w:rPr>
          <w:rFonts w:cs="Arial"/>
          <w:color w:val="000000"/>
        </w:rPr>
        <w:t xml:space="preserve"> </w:t>
      </w:r>
      <w:r w:rsidR="00893F75" w:rsidRPr="00FB1CBD">
        <w:rPr>
          <w:rFonts w:cs="Arial"/>
          <w:color w:val="000000"/>
        </w:rPr>
        <w:t>because of the high susceptibility to fraud and abuse in this program.  Such an analysis would only include review of those W-2 forms that DCH determines to have an increased risk for fraud and abuse.</w:t>
      </w:r>
      <w:r w:rsidR="00EF736C" w:rsidRPr="00FB1CBD">
        <w:rPr>
          <w:rFonts w:cs="Arial"/>
          <w:color w:val="000000"/>
        </w:rPr>
        <w:t xml:space="preserve">  </w:t>
      </w:r>
    </w:p>
    <w:p w:rsidR="008D29DF" w:rsidRDefault="008D29DF" w:rsidP="00F84A56">
      <w:pPr>
        <w:tabs>
          <w:tab w:val="left" w:pos="0"/>
        </w:tabs>
        <w:spacing w:line="300" w:lineRule="auto"/>
        <w:ind w:left="504"/>
        <w:jc w:val="both"/>
        <w:rPr>
          <w:rFonts w:cs="Arial"/>
          <w:color w:val="000000"/>
        </w:rPr>
      </w:pPr>
    </w:p>
    <w:p w:rsidR="00893F75" w:rsidRPr="00FB1CBD" w:rsidRDefault="00893F75" w:rsidP="00F84A56">
      <w:pPr>
        <w:tabs>
          <w:tab w:val="left" w:pos="0"/>
        </w:tabs>
        <w:spacing w:line="300" w:lineRule="auto"/>
        <w:ind w:left="504"/>
        <w:jc w:val="both"/>
        <w:rPr>
          <w:rFonts w:cs="Arial"/>
          <w:color w:val="000000"/>
        </w:rPr>
      </w:pPr>
      <w:r w:rsidRPr="00FB1CBD">
        <w:rPr>
          <w:rFonts w:cs="Arial"/>
          <w:color w:val="000000"/>
        </w:rPr>
        <w:t>DTMB is responsible for the State</w:t>
      </w:r>
      <w:r w:rsidR="00820207" w:rsidRPr="00FB1CBD">
        <w:rPr>
          <w:rFonts w:cs="Arial"/>
          <w:color w:val="000000"/>
        </w:rPr>
        <w:t xml:space="preserve"> employee</w:t>
      </w:r>
      <w:r w:rsidRPr="00FB1CBD">
        <w:rPr>
          <w:rFonts w:cs="Arial"/>
          <w:color w:val="000000"/>
        </w:rPr>
        <w:t>s</w:t>
      </w:r>
      <w:r w:rsidR="00F305E9">
        <w:rPr>
          <w:rFonts w:cs="Arial"/>
          <w:color w:val="000000"/>
        </w:rPr>
        <w:t>'</w:t>
      </w:r>
      <w:r w:rsidRPr="00FB1CBD">
        <w:rPr>
          <w:rFonts w:cs="Arial"/>
          <w:color w:val="000000"/>
        </w:rPr>
        <w:t xml:space="preserve"> payroll and has implemented a process to review undeliverable W-2 forms</w:t>
      </w:r>
      <w:r w:rsidR="00820207" w:rsidRPr="00FB1CBD">
        <w:rPr>
          <w:rFonts w:cs="Arial"/>
          <w:color w:val="000000"/>
        </w:rPr>
        <w:t xml:space="preserve"> associated with State employees</w:t>
      </w:r>
      <w:r w:rsidRPr="00FB1CBD">
        <w:rPr>
          <w:rFonts w:cs="Arial"/>
          <w:color w:val="000000"/>
        </w:rPr>
        <w:t xml:space="preserve">.  The process includes, among other things, procedures conducted by the </w:t>
      </w:r>
      <w:r w:rsidR="00262076">
        <w:rPr>
          <w:rFonts w:cs="Arial"/>
          <w:color w:val="000000"/>
        </w:rPr>
        <w:t xml:space="preserve">DTMB </w:t>
      </w:r>
      <w:r w:rsidRPr="00FB1CBD">
        <w:rPr>
          <w:rFonts w:cs="Arial"/>
          <w:color w:val="000000"/>
        </w:rPr>
        <w:t>Office of Internal Audit Services to evaluate the potential for fraud or abuse related to the undeliverable W-2 forms.  We believe that this represen</w:t>
      </w:r>
      <w:r w:rsidR="00262076">
        <w:rPr>
          <w:rFonts w:cs="Arial"/>
          <w:color w:val="000000"/>
        </w:rPr>
        <w:t xml:space="preserve">ts a best practice that, if </w:t>
      </w:r>
      <w:r w:rsidR="00E07C29">
        <w:rPr>
          <w:rFonts w:cs="Arial"/>
          <w:color w:val="000000"/>
        </w:rPr>
        <w:t xml:space="preserve">implemented by </w:t>
      </w:r>
      <w:r w:rsidR="00262076">
        <w:rPr>
          <w:rFonts w:cs="Arial"/>
          <w:color w:val="000000"/>
        </w:rPr>
        <w:t xml:space="preserve">DCH, </w:t>
      </w:r>
      <w:r w:rsidRPr="00FB1CBD">
        <w:rPr>
          <w:rFonts w:cs="Arial"/>
          <w:color w:val="000000"/>
        </w:rPr>
        <w:t xml:space="preserve">could help DCH identify provider and client fraud and abuse. </w:t>
      </w:r>
    </w:p>
    <w:p w:rsidR="00DE6C9A" w:rsidRPr="00FB1CBD" w:rsidRDefault="00DE6C9A" w:rsidP="00F84A56">
      <w:pPr>
        <w:tabs>
          <w:tab w:val="left" w:pos="0"/>
        </w:tabs>
        <w:spacing w:line="300" w:lineRule="auto"/>
        <w:ind w:left="504"/>
        <w:jc w:val="both"/>
        <w:rPr>
          <w:rFonts w:cs="Arial"/>
          <w:color w:val="000000"/>
        </w:rPr>
      </w:pPr>
    </w:p>
    <w:p w:rsidR="00893F75" w:rsidRPr="00FB1CBD" w:rsidRDefault="00893F75" w:rsidP="00F84A56">
      <w:pPr>
        <w:tabs>
          <w:tab w:val="left" w:pos="0"/>
        </w:tabs>
        <w:spacing w:line="300" w:lineRule="auto"/>
        <w:ind w:left="504"/>
        <w:jc w:val="both"/>
        <w:rPr>
          <w:rFonts w:cs="Arial"/>
        </w:rPr>
      </w:pPr>
      <w:r w:rsidRPr="00FB1CBD">
        <w:rPr>
          <w:rFonts w:cs="Arial"/>
        </w:rPr>
        <w:t>DCH informed us that it maintained a count of the number of W-2 forms returned as undeliverable but did not follow up to determine why they were undeliverable because of a lack of available resources.</w:t>
      </w:r>
    </w:p>
    <w:p w:rsidR="00EF736C" w:rsidRPr="00FB1CBD" w:rsidRDefault="00EF736C" w:rsidP="00F84A56">
      <w:pPr>
        <w:overflowPunct/>
        <w:autoSpaceDE/>
        <w:autoSpaceDN/>
        <w:adjustRightInd/>
        <w:spacing w:line="300" w:lineRule="auto"/>
        <w:textAlignment w:val="auto"/>
        <w:rPr>
          <w:rFonts w:cs="Arial"/>
        </w:rPr>
      </w:pPr>
    </w:p>
    <w:p w:rsidR="00893F75" w:rsidRPr="00FB1CBD" w:rsidRDefault="00DE6C9A" w:rsidP="00F84A56">
      <w:pPr>
        <w:tabs>
          <w:tab w:val="left" w:pos="0"/>
        </w:tabs>
        <w:spacing w:line="300" w:lineRule="auto"/>
        <w:jc w:val="both"/>
        <w:rPr>
          <w:rFonts w:cs="Arial"/>
          <w:b/>
          <w:smallCaps/>
          <w:sz w:val="28"/>
          <w:u w:val="single"/>
        </w:rPr>
      </w:pPr>
      <w:r w:rsidRPr="00FB1CBD">
        <w:rPr>
          <w:rFonts w:cs="Arial"/>
          <w:b/>
          <w:smallCaps/>
          <w:sz w:val="28"/>
          <w:u w:val="single"/>
        </w:rPr>
        <w:t>Recommendation</w:t>
      </w:r>
    </w:p>
    <w:p w:rsidR="00893F75" w:rsidRPr="00FB1CBD" w:rsidRDefault="00893F75" w:rsidP="00F84A56">
      <w:pPr>
        <w:tabs>
          <w:tab w:val="left" w:pos="360"/>
        </w:tabs>
        <w:spacing w:line="300" w:lineRule="auto"/>
        <w:ind w:left="360"/>
        <w:contextualSpacing/>
        <w:jc w:val="both"/>
        <w:rPr>
          <w:rFonts w:cs="Arial"/>
          <w:color w:val="000000"/>
        </w:rPr>
      </w:pPr>
      <w:r w:rsidRPr="00FB1CBD">
        <w:rPr>
          <w:rFonts w:cs="Arial"/>
          <w:bCs/>
        </w:rPr>
        <w:t xml:space="preserve">We recommend that </w:t>
      </w:r>
      <w:r w:rsidRPr="00FB1CBD">
        <w:rPr>
          <w:rFonts w:cs="Arial"/>
          <w:color w:val="000000"/>
        </w:rPr>
        <w:t xml:space="preserve">DCH implement a process to review W-2 forms that are returned as undeliverable to help identify potential fraud and abuse in </w:t>
      </w:r>
      <w:r w:rsidR="00A707F8">
        <w:rPr>
          <w:rFonts w:cs="Arial"/>
          <w:color w:val="000000"/>
        </w:rPr>
        <w:t>HHP</w:t>
      </w:r>
      <w:r w:rsidRPr="00FB1CBD">
        <w:rPr>
          <w:rFonts w:cs="Arial"/>
          <w:color w:val="000000"/>
        </w:rPr>
        <w:t>.</w:t>
      </w:r>
      <w:r w:rsidR="00865529">
        <w:rPr>
          <w:rFonts w:cs="Arial"/>
          <w:color w:val="000000"/>
        </w:rPr>
        <w:t xml:space="preserve">  </w:t>
      </w:r>
    </w:p>
    <w:p w:rsidR="00893F75" w:rsidRPr="00FB1CBD" w:rsidRDefault="00893F75" w:rsidP="00F84A56">
      <w:pPr>
        <w:tabs>
          <w:tab w:val="left" w:pos="360"/>
        </w:tabs>
        <w:spacing w:line="300" w:lineRule="auto"/>
        <w:contextualSpacing/>
        <w:jc w:val="both"/>
        <w:rPr>
          <w:rFonts w:cs="Arial"/>
          <w:color w:val="000000"/>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AE3121" w:rsidRPr="00AE3121" w:rsidRDefault="00AE3121" w:rsidP="00AE3121">
      <w:pPr>
        <w:tabs>
          <w:tab w:val="left" w:pos="360"/>
        </w:tabs>
        <w:spacing w:line="300" w:lineRule="auto"/>
        <w:ind w:left="360"/>
        <w:contextualSpacing/>
        <w:jc w:val="both"/>
        <w:rPr>
          <w:rFonts w:cs="Arial"/>
          <w:color w:val="000000"/>
        </w:rPr>
      </w:pPr>
      <w:r w:rsidRPr="00D6707C">
        <w:rPr>
          <w:rFonts w:cs="Arial"/>
        </w:rPr>
        <w:t xml:space="preserve">DCH </w:t>
      </w:r>
      <w:r w:rsidRPr="00AE3121">
        <w:rPr>
          <w:rFonts w:cs="Arial"/>
          <w:color w:val="000000"/>
        </w:rPr>
        <w:t xml:space="preserve">agrees that it did not have a process to review W-2s that are returned as undeliverable.  </w:t>
      </w:r>
    </w:p>
    <w:p w:rsidR="00AE3121" w:rsidRPr="00AE3121" w:rsidRDefault="00AE3121" w:rsidP="00AE3121">
      <w:pPr>
        <w:tabs>
          <w:tab w:val="left" w:pos="360"/>
        </w:tabs>
        <w:spacing w:line="300" w:lineRule="auto"/>
        <w:ind w:left="360"/>
        <w:contextualSpacing/>
        <w:jc w:val="both"/>
        <w:rPr>
          <w:rFonts w:cs="Arial"/>
          <w:color w:val="000000"/>
        </w:rPr>
      </w:pPr>
    </w:p>
    <w:p w:rsidR="00AE3121" w:rsidRPr="00D6707C" w:rsidRDefault="00AE3121" w:rsidP="00AE3121">
      <w:pPr>
        <w:tabs>
          <w:tab w:val="left" w:pos="360"/>
        </w:tabs>
        <w:spacing w:line="300" w:lineRule="auto"/>
        <w:ind w:left="360"/>
        <w:contextualSpacing/>
        <w:jc w:val="both"/>
        <w:rPr>
          <w:rFonts w:cs="Arial"/>
        </w:rPr>
      </w:pPr>
      <w:r w:rsidRPr="00AE3121">
        <w:rPr>
          <w:rFonts w:cs="Arial"/>
          <w:color w:val="000000"/>
        </w:rPr>
        <w:t>DCH informed us that it is currently reviewing a sample of the W-2s that were returned for 2013.  As part of this process, DCH will analyze the results of their sample universe and then</w:t>
      </w:r>
      <w:r w:rsidRPr="00D6707C">
        <w:rPr>
          <w:rFonts w:cs="Arial"/>
        </w:rPr>
        <w:t xml:space="preserve"> determine an efficient and effective review process going forward. </w:t>
      </w:r>
    </w:p>
    <w:p w:rsidR="00AE3121" w:rsidRDefault="00AE3121">
      <w:pPr>
        <w:overflowPunct/>
        <w:autoSpaceDE/>
        <w:autoSpaceDN/>
        <w:adjustRightInd/>
        <w:textAlignment w:val="auto"/>
        <w:rPr>
          <w:rFonts w:cs="Arial"/>
        </w:rPr>
      </w:pPr>
      <w:r>
        <w:rPr>
          <w:rFonts w:cs="Arial"/>
        </w:rPr>
        <w:br w:type="page"/>
      </w:r>
    </w:p>
    <w:p w:rsidR="00893F75" w:rsidRPr="00FB1CBD" w:rsidRDefault="00DE6C9A" w:rsidP="00F84A56">
      <w:pPr>
        <w:tabs>
          <w:tab w:val="left" w:pos="360"/>
        </w:tabs>
        <w:spacing w:line="300" w:lineRule="auto"/>
        <w:contextualSpacing/>
        <w:jc w:val="both"/>
        <w:rPr>
          <w:rFonts w:cs="Arial"/>
          <w:b/>
          <w:smallCaps/>
          <w:color w:val="000000"/>
          <w:sz w:val="28"/>
          <w:szCs w:val="28"/>
          <w:u w:val="single"/>
        </w:rPr>
      </w:pPr>
      <w:r w:rsidRPr="00FB1CBD">
        <w:rPr>
          <w:rFonts w:cs="Arial"/>
          <w:b/>
          <w:smallCaps/>
          <w:color w:val="000000"/>
          <w:sz w:val="28"/>
          <w:szCs w:val="28"/>
          <w:u w:val="single"/>
        </w:rPr>
        <w:lastRenderedPageBreak/>
        <w:t>Finding</w:t>
      </w:r>
    </w:p>
    <w:p w:rsidR="00893F75" w:rsidRPr="00FB1CBD" w:rsidRDefault="00893F75" w:rsidP="00F84A56">
      <w:pPr>
        <w:pStyle w:val="A4-FindingTitle"/>
      </w:pPr>
      <w:r w:rsidRPr="00FB1CBD">
        <w:t>Referral of Suspected Client and Provider Frauds</w:t>
      </w:r>
    </w:p>
    <w:p w:rsidR="00893F75" w:rsidRPr="00FB1CBD" w:rsidRDefault="00893F75" w:rsidP="00F84A56">
      <w:pPr>
        <w:spacing w:line="300" w:lineRule="auto"/>
        <w:ind w:left="504"/>
        <w:jc w:val="both"/>
        <w:rPr>
          <w:rFonts w:cs="Arial"/>
        </w:rPr>
      </w:pPr>
      <w:r w:rsidRPr="00FB1CBD">
        <w:rPr>
          <w:rFonts w:cs="Arial"/>
        </w:rPr>
        <w:t xml:space="preserve">DCH and DHS </w:t>
      </w:r>
      <w:r w:rsidR="00865529">
        <w:rPr>
          <w:rFonts w:cs="Arial"/>
        </w:rPr>
        <w:t xml:space="preserve">had </w:t>
      </w:r>
      <w:r w:rsidRPr="00FB1CBD">
        <w:rPr>
          <w:rFonts w:cs="Arial"/>
        </w:rPr>
        <w:t>not establish</w:t>
      </w:r>
      <w:r w:rsidR="00865529">
        <w:rPr>
          <w:rFonts w:cs="Arial"/>
        </w:rPr>
        <w:t>ed</w:t>
      </w:r>
      <w:r w:rsidRPr="00FB1CBD">
        <w:rPr>
          <w:rFonts w:cs="Arial"/>
        </w:rPr>
        <w:t xml:space="preserve"> a process for ASWs to refer suspected </w:t>
      </w:r>
      <w:r w:rsidR="00A707F8">
        <w:rPr>
          <w:rFonts w:cs="Arial"/>
        </w:rPr>
        <w:t>HHP</w:t>
      </w:r>
      <w:r w:rsidR="00865529">
        <w:rPr>
          <w:rFonts w:cs="Arial"/>
        </w:rPr>
        <w:t xml:space="preserve"> </w:t>
      </w:r>
      <w:r w:rsidRPr="00FB1CBD">
        <w:rPr>
          <w:rFonts w:cs="Arial"/>
        </w:rPr>
        <w:t>provider fraud</w:t>
      </w:r>
      <w:r w:rsidR="007B48F3">
        <w:rPr>
          <w:rFonts w:cs="Arial"/>
        </w:rPr>
        <w:t>s</w:t>
      </w:r>
      <w:r w:rsidRPr="00FB1CBD">
        <w:rPr>
          <w:rFonts w:cs="Arial"/>
        </w:rPr>
        <w:t xml:space="preserve"> to the DCH OIG for investigation and potential referral for prosecution.  Also, DHS did not ensure that ASWs referred suspected </w:t>
      </w:r>
      <w:r w:rsidR="00A707F8">
        <w:rPr>
          <w:rFonts w:cs="Arial"/>
        </w:rPr>
        <w:t>HHP</w:t>
      </w:r>
      <w:r w:rsidR="00865529">
        <w:rPr>
          <w:rFonts w:cs="Arial"/>
        </w:rPr>
        <w:t xml:space="preserve"> </w:t>
      </w:r>
      <w:r w:rsidRPr="00FB1CBD">
        <w:rPr>
          <w:rFonts w:cs="Arial"/>
        </w:rPr>
        <w:t>client fraud</w:t>
      </w:r>
      <w:r w:rsidR="007B48F3">
        <w:rPr>
          <w:rFonts w:cs="Arial"/>
        </w:rPr>
        <w:t>s</w:t>
      </w:r>
      <w:r w:rsidRPr="00FB1CBD">
        <w:rPr>
          <w:rFonts w:cs="Arial"/>
        </w:rPr>
        <w:t xml:space="preserve"> to the DHS OIG for investigation and potential referral for prosecution.  As a result of these conditions, DCH did not comply with federal fraud control regulations and suspected provider and client frauds may have gone uninvestigated and unpunished. </w:t>
      </w:r>
      <w:r w:rsidR="00865529">
        <w:rPr>
          <w:rFonts w:cs="Arial"/>
        </w:rPr>
        <w:t xml:space="preserve"> </w:t>
      </w:r>
    </w:p>
    <w:p w:rsidR="00D0291D" w:rsidRPr="00FB1CBD" w:rsidRDefault="00D0291D" w:rsidP="00F84A56">
      <w:pPr>
        <w:spacing w:line="300" w:lineRule="auto"/>
        <w:ind w:left="504"/>
        <w:jc w:val="both"/>
        <w:rPr>
          <w:rFonts w:cs="Arial"/>
        </w:rPr>
      </w:pPr>
    </w:p>
    <w:p w:rsidR="00893F75" w:rsidRPr="00FB1CBD" w:rsidRDefault="00893F75" w:rsidP="00F84A56">
      <w:pPr>
        <w:overflowPunct/>
        <w:autoSpaceDE/>
        <w:autoSpaceDN/>
        <w:adjustRightInd/>
        <w:spacing w:line="300" w:lineRule="auto"/>
        <w:ind w:left="504"/>
        <w:jc w:val="both"/>
        <w:textAlignment w:val="auto"/>
        <w:rPr>
          <w:rFonts w:cs="Arial"/>
        </w:rPr>
      </w:pPr>
      <w:r w:rsidRPr="00FB1CBD">
        <w:rPr>
          <w:rFonts w:cs="Arial"/>
        </w:rPr>
        <w:t xml:space="preserve">Various sections of </w:t>
      </w:r>
      <w:r w:rsidR="00865529">
        <w:rPr>
          <w:rFonts w:cs="Arial"/>
        </w:rPr>
        <w:t xml:space="preserve">federal regulation </w:t>
      </w:r>
      <w:r w:rsidRPr="00FB1CBD">
        <w:rPr>
          <w:rFonts w:cs="Arial"/>
        </w:rPr>
        <w:t xml:space="preserve">42 </w:t>
      </w:r>
      <w:r w:rsidRPr="00FB1CBD">
        <w:rPr>
          <w:rFonts w:cs="Arial"/>
          <w:i/>
        </w:rPr>
        <w:t xml:space="preserve">CFR </w:t>
      </w:r>
      <w:r w:rsidRPr="00FB1CBD">
        <w:rPr>
          <w:rFonts w:cs="Arial"/>
        </w:rPr>
        <w:t xml:space="preserve">455 require that DCH have a process for referring suspected provider fraud to </w:t>
      </w:r>
      <w:r w:rsidR="00865529">
        <w:rPr>
          <w:rFonts w:cs="Arial"/>
        </w:rPr>
        <w:t>Michigan</w:t>
      </w:r>
      <w:r w:rsidR="00F305E9">
        <w:rPr>
          <w:rFonts w:cs="Arial"/>
        </w:rPr>
        <w:t>'</w:t>
      </w:r>
      <w:r w:rsidR="00865529">
        <w:rPr>
          <w:rFonts w:cs="Arial"/>
        </w:rPr>
        <w:t xml:space="preserve">s </w:t>
      </w:r>
      <w:r w:rsidRPr="00FB1CBD">
        <w:rPr>
          <w:rFonts w:cs="Arial"/>
        </w:rPr>
        <w:t>MFCU for prosecution.  Michigan</w:t>
      </w:r>
      <w:r w:rsidR="00F305E9">
        <w:rPr>
          <w:rFonts w:cs="Arial"/>
        </w:rPr>
        <w:t>'</w:t>
      </w:r>
      <w:r w:rsidRPr="00FB1CBD">
        <w:rPr>
          <w:rFonts w:cs="Arial"/>
        </w:rPr>
        <w:t xml:space="preserve">s </w:t>
      </w:r>
      <w:r w:rsidR="001A05F5" w:rsidRPr="00FB1CBD">
        <w:rPr>
          <w:rFonts w:cs="Arial"/>
        </w:rPr>
        <w:t>MFCU</w:t>
      </w:r>
      <w:r w:rsidRPr="00FB1CBD">
        <w:rPr>
          <w:rFonts w:cs="Arial"/>
        </w:rPr>
        <w:t xml:space="preserve"> is the Healthcare Fraud Division</w:t>
      </w:r>
      <w:r w:rsidR="00865529">
        <w:rPr>
          <w:rFonts w:cs="Arial"/>
        </w:rPr>
        <w:t xml:space="preserve">, Department of </w:t>
      </w:r>
      <w:r w:rsidR="00865529" w:rsidRPr="00FB1CBD">
        <w:rPr>
          <w:rFonts w:cs="Arial"/>
        </w:rPr>
        <w:t>Attorney General</w:t>
      </w:r>
      <w:r w:rsidRPr="00FB1CBD">
        <w:rPr>
          <w:rFonts w:cs="Arial"/>
        </w:rPr>
        <w:t>.  The regulation also require</w:t>
      </w:r>
      <w:r w:rsidR="007B48F3">
        <w:rPr>
          <w:rFonts w:cs="Arial"/>
        </w:rPr>
        <w:t>s</w:t>
      </w:r>
      <w:r w:rsidRPr="00FB1CBD">
        <w:rPr>
          <w:rFonts w:cs="Arial"/>
        </w:rPr>
        <w:t xml:space="preserve"> DCH to refer cases of suspected client fraud for prosecution to an appropriate law enforcement agency.  ASM 165 requires ASWs to refer </w:t>
      </w:r>
      <w:r w:rsidR="00A707F8">
        <w:rPr>
          <w:rFonts w:cs="Arial"/>
        </w:rPr>
        <w:t>HHP</w:t>
      </w:r>
      <w:r w:rsidR="00865529">
        <w:rPr>
          <w:rFonts w:cs="Arial"/>
        </w:rPr>
        <w:t xml:space="preserve"> </w:t>
      </w:r>
      <w:r w:rsidRPr="00FB1CBD">
        <w:rPr>
          <w:rFonts w:cs="Arial"/>
        </w:rPr>
        <w:t xml:space="preserve">overpayments that appear to be willful on the part of the client (i.e., fraudulent) and that exceed $500 to the DHS OIG for investigation and subsequent referral to the Healthcare Fraud Division for prosecution, as appropriate.  However, there was no related guidance for the investigation and prosecution of cases of suspected provider fraud.  Instead, suspected provider frauds identified by ASWs were only subject to recoupment by </w:t>
      </w:r>
      <w:r w:rsidR="00865529">
        <w:rPr>
          <w:rFonts w:cs="Arial"/>
        </w:rPr>
        <w:t xml:space="preserve">the </w:t>
      </w:r>
      <w:r w:rsidRPr="00FB1CBD">
        <w:rPr>
          <w:rFonts w:cs="Arial"/>
        </w:rPr>
        <w:t xml:space="preserve">DCH Medicaid Collections Unit. </w:t>
      </w:r>
      <w:r w:rsidR="00865529">
        <w:rPr>
          <w:rFonts w:cs="Arial"/>
        </w:rPr>
        <w:t xml:space="preserve">  </w:t>
      </w:r>
    </w:p>
    <w:p w:rsidR="00EF736C" w:rsidRPr="00FB1CBD" w:rsidRDefault="00EF736C" w:rsidP="00F84A56">
      <w:pPr>
        <w:overflowPunct/>
        <w:autoSpaceDE/>
        <w:autoSpaceDN/>
        <w:adjustRightInd/>
        <w:spacing w:line="300" w:lineRule="auto"/>
        <w:textAlignment w:val="auto"/>
        <w:rPr>
          <w:rFonts w:cs="Arial"/>
        </w:rPr>
      </w:pPr>
    </w:p>
    <w:p w:rsidR="00EF736C" w:rsidRPr="00FB1CBD" w:rsidRDefault="00DE7C7C" w:rsidP="00F84A56">
      <w:pPr>
        <w:overflowPunct/>
        <w:autoSpaceDE/>
        <w:autoSpaceDN/>
        <w:adjustRightInd/>
        <w:spacing w:line="300" w:lineRule="auto"/>
        <w:ind w:left="504"/>
        <w:jc w:val="both"/>
        <w:textAlignment w:val="auto"/>
        <w:rPr>
          <w:rFonts w:cs="Arial"/>
        </w:rPr>
      </w:pPr>
      <w:r w:rsidRPr="00FB1CBD">
        <w:rPr>
          <w:rFonts w:cs="Arial"/>
        </w:rPr>
        <w:t xml:space="preserve">During our </w:t>
      </w:r>
      <w:r w:rsidR="00893F75" w:rsidRPr="00FB1CBD">
        <w:rPr>
          <w:rFonts w:cs="Arial"/>
        </w:rPr>
        <w:t>review</w:t>
      </w:r>
      <w:r w:rsidRPr="00FB1CBD">
        <w:rPr>
          <w:rFonts w:cs="Arial"/>
        </w:rPr>
        <w:t xml:space="preserve"> of </w:t>
      </w:r>
      <w:r w:rsidR="00893F75" w:rsidRPr="00FB1CBD">
        <w:rPr>
          <w:rFonts w:cs="Arial"/>
        </w:rPr>
        <w:t xml:space="preserve">case files for 154 </w:t>
      </w:r>
      <w:r w:rsidR="006E6524">
        <w:rPr>
          <w:rFonts w:cs="Arial"/>
        </w:rPr>
        <w:t>randomly sampled clients from 9</w:t>
      </w:r>
      <w:r w:rsidR="00893F75" w:rsidRPr="00FB1CBD">
        <w:rPr>
          <w:rFonts w:cs="Arial"/>
        </w:rPr>
        <w:t xml:space="preserve"> selected counties for the period O</w:t>
      </w:r>
      <w:r w:rsidR="00EF736C" w:rsidRPr="00FB1CBD">
        <w:rPr>
          <w:rFonts w:cs="Arial"/>
        </w:rPr>
        <w:t>ctober 1, 2010 through February</w:t>
      </w:r>
      <w:r w:rsidR="00AE3121">
        <w:rPr>
          <w:rFonts w:cs="Arial"/>
        </w:rPr>
        <w:t xml:space="preserve"> </w:t>
      </w:r>
      <w:r w:rsidR="00893F75" w:rsidRPr="00FB1CBD">
        <w:rPr>
          <w:rFonts w:cs="Arial"/>
        </w:rPr>
        <w:t xml:space="preserve">28, </w:t>
      </w:r>
      <w:r w:rsidR="004C1FE4" w:rsidRPr="00FB1CBD">
        <w:rPr>
          <w:rFonts w:cs="Arial"/>
        </w:rPr>
        <w:t xml:space="preserve">2013 (see </w:t>
      </w:r>
      <w:r w:rsidR="00865529">
        <w:rPr>
          <w:rFonts w:cs="Arial"/>
        </w:rPr>
        <w:t>s</w:t>
      </w:r>
      <w:r w:rsidR="00CE715A" w:rsidRPr="00FB1CBD">
        <w:t xml:space="preserve">ampling </w:t>
      </w:r>
      <w:r w:rsidR="00865529">
        <w:t>m</w:t>
      </w:r>
      <w:r w:rsidR="00CE715A" w:rsidRPr="00FB1CBD">
        <w:t xml:space="preserve">ethodology for review of provider </w:t>
      </w:r>
      <w:r w:rsidR="00865529">
        <w:t xml:space="preserve">service </w:t>
      </w:r>
      <w:r w:rsidR="00CE715A" w:rsidRPr="00FB1CBD">
        <w:t>logs or invoices, required client and provider</w:t>
      </w:r>
      <w:r w:rsidR="00865529">
        <w:t xml:space="preserve"> contacts</w:t>
      </w:r>
      <w:r w:rsidR="00CE715A" w:rsidRPr="00FB1CBD">
        <w:t xml:space="preserve">, </w:t>
      </w:r>
      <w:r w:rsidR="00865529">
        <w:t xml:space="preserve">client </w:t>
      </w:r>
      <w:r w:rsidR="00CE715A" w:rsidRPr="00FB1CBD">
        <w:t>case files, and referral of suspected client and provider fraud</w:t>
      </w:r>
      <w:r w:rsidR="002B6F52">
        <w:t>s</w:t>
      </w:r>
      <w:r w:rsidRPr="00FB1CBD">
        <w:rPr>
          <w:rFonts w:cs="Arial"/>
        </w:rPr>
        <w:t xml:space="preserve">), we noted incidences of potential fraud that had not been referred to the appropriate investigating agencies: </w:t>
      </w:r>
    </w:p>
    <w:p w:rsidR="00D0291D" w:rsidRPr="00FB1CBD" w:rsidRDefault="00D0291D" w:rsidP="00F84A56">
      <w:pPr>
        <w:overflowPunct/>
        <w:autoSpaceDE/>
        <w:autoSpaceDN/>
        <w:adjustRightInd/>
        <w:spacing w:line="300" w:lineRule="auto"/>
        <w:ind w:left="504"/>
        <w:jc w:val="both"/>
        <w:textAlignment w:val="auto"/>
        <w:rPr>
          <w:rFonts w:cs="Arial"/>
        </w:rPr>
      </w:pPr>
    </w:p>
    <w:p w:rsidR="00893F75" w:rsidRPr="00FB1CBD" w:rsidRDefault="00893F75" w:rsidP="00027935">
      <w:pPr>
        <w:numPr>
          <w:ilvl w:val="0"/>
          <w:numId w:val="18"/>
        </w:numPr>
        <w:overflowPunct/>
        <w:spacing w:line="300" w:lineRule="auto"/>
        <w:ind w:left="1008" w:hanging="504"/>
        <w:contextualSpacing/>
        <w:jc w:val="both"/>
        <w:textAlignment w:val="auto"/>
        <w:rPr>
          <w:rFonts w:cs="Arial"/>
        </w:rPr>
      </w:pPr>
      <w:r w:rsidRPr="00FB1CBD">
        <w:rPr>
          <w:rFonts w:cs="Arial"/>
        </w:rPr>
        <w:t>ASWs identified 3 (</w:t>
      </w:r>
      <w:r w:rsidR="00CE715A" w:rsidRPr="00FB1CBD">
        <w:rPr>
          <w:rFonts w:cs="Arial"/>
        </w:rPr>
        <w:t>1.9</w:t>
      </w:r>
      <w:r w:rsidRPr="00FB1CBD">
        <w:rPr>
          <w:rFonts w:cs="Arial"/>
        </w:rPr>
        <w:t xml:space="preserve">%) cases of suspected provider fraud totaling $2,688 but did not refer them anywhere for investigation and potential prosecution.  </w:t>
      </w:r>
    </w:p>
    <w:p w:rsidR="00893F75" w:rsidRPr="00FB1CBD" w:rsidRDefault="00893F75" w:rsidP="00F84A56">
      <w:pPr>
        <w:spacing w:line="300" w:lineRule="auto"/>
        <w:ind w:left="1008"/>
        <w:contextualSpacing/>
        <w:jc w:val="both"/>
        <w:rPr>
          <w:rFonts w:cs="Arial"/>
        </w:rPr>
      </w:pPr>
    </w:p>
    <w:p w:rsidR="002B698B" w:rsidRDefault="00893F75" w:rsidP="00F84A56">
      <w:pPr>
        <w:spacing w:line="300" w:lineRule="auto"/>
        <w:ind w:left="1008"/>
        <w:jc w:val="both"/>
        <w:rPr>
          <w:rFonts w:cs="Arial"/>
        </w:rPr>
      </w:pPr>
      <w:r w:rsidRPr="00FB1CBD">
        <w:rPr>
          <w:rFonts w:cs="Arial"/>
        </w:rPr>
        <w:t xml:space="preserve">DHS informed us that ASWs did not refer suspected provider frauds for investigation and potential prosecution because the DCH OIG, which </w:t>
      </w:r>
      <w:r w:rsidR="002B698B">
        <w:rPr>
          <w:rFonts w:cs="Arial"/>
        </w:rPr>
        <w:br/>
      </w:r>
      <w:r w:rsidR="002B698B">
        <w:rPr>
          <w:rFonts w:cs="Arial"/>
        </w:rPr>
        <w:br w:type="page"/>
      </w:r>
    </w:p>
    <w:p w:rsidR="00893F75" w:rsidRDefault="00893F75" w:rsidP="00F84A56">
      <w:pPr>
        <w:spacing w:line="300" w:lineRule="auto"/>
        <w:ind w:left="1008"/>
        <w:jc w:val="both"/>
        <w:rPr>
          <w:rFonts w:cs="Arial"/>
        </w:rPr>
      </w:pPr>
      <w:r w:rsidRPr="00FB1CBD">
        <w:rPr>
          <w:rFonts w:cs="Arial"/>
        </w:rPr>
        <w:lastRenderedPageBreak/>
        <w:t>investigates suspected provider frauds, was established only a few years ago and DCH and DHS have not yet updated ASM 165 or their process for ASWs</w:t>
      </w:r>
      <w:r w:rsidR="00F305E9">
        <w:rPr>
          <w:rFonts w:cs="Arial"/>
        </w:rPr>
        <w:t>'</w:t>
      </w:r>
      <w:r w:rsidRPr="00FB1CBD">
        <w:rPr>
          <w:rFonts w:cs="Arial"/>
        </w:rPr>
        <w:t xml:space="preserve"> handling of suspected provider fraud to reflect the DCH OIG</w:t>
      </w:r>
      <w:r w:rsidR="00F305E9">
        <w:rPr>
          <w:rFonts w:cs="Arial"/>
        </w:rPr>
        <w:t>'</w:t>
      </w:r>
      <w:r w:rsidRPr="00FB1CBD">
        <w:rPr>
          <w:rFonts w:cs="Arial"/>
        </w:rPr>
        <w:t xml:space="preserve">s establishment.  </w:t>
      </w:r>
      <w:r w:rsidR="002B6F52">
        <w:rPr>
          <w:rFonts w:cs="Arial"/>
        </w:rPr>
        <w:t>However</w:t>
      </w:r>
      <w:r w:rsidRPr="00FB1CBD">
        <w:rPr>
          <w:rFonts w:cs="Arial"/>
        </w:rPr>
        <w:t>, the Healthcare Fraud Division has existed for many years and could have investigated and prosecuted the suspected provider frauds.</w:t>
      </w:r>
    </w:p>
    <w:p w:rsidR="002B6F52" w:rsidRDefault="002B6F52" w:rsidP="00F84A56">
      <w:pPr>
        <w:spacing w:line="300" w:lineRule="auto"/>
        <w:ind w:left="1008"/>
        <w:jc w:val="both"/>
        <w:rPr>
          <w:rFonts w:cs="Arial"/>
        </w:rPr>
      </w:pPr>
    </w:p>
    <w:p w:rsidR="002B6F52" w:rsidRPr="00FB1CBD" w:rsidRDefault="002B6F52" w:rsidP="00027935">
      <w:pPr>
        <w:numPr>
          <w:ilvl w:val="0"/>
          <w:numId w:val="18"/>
        </w:numPr>
        <w:overflowPunct/>
        <w:spacing w:line="300" w:lineRule="auto"/>
        <w:ind w:left="1008" w:hanging="504"/>
        <w:contextualSpacing/>
        <w:jc w:val="both"/>
        <w:textAlignment w:val="auto"/>
        <w:rPr>
          <w:rFonts w:cs="Arial"/>
        </w:rPr>
      </w:pPr>
      <w:r w:rsidRPr="00FB1CBD">
        <w:rPr>
          <w:rFonts w:cs="Arial"/>
        </w:rPr>
        <w:t xml:space="preserve">ASWs identified 3 (1.9%) cases of suspected client fraud but did not refer them to the DHS OIG for investigation and prosecution.  One of the 3 clients admitted to illegally obtaining approximately $4,200 in </w:t>
      </w:r>
      <w:r w:rsidR="00A707F8">
        <w:rPr>
          <w:rFonts w:cs="Arial"/>
        </w:rPr>
        <w:t>HHP</w:t>
      </w:r>
      <w:r>
        <w:rPr>
          <w:rFonts w:cs="Arial"/>
        </w:rPr>
        <w:t xml:space="preserve"> </w:t>
      </w:r>
      <w:r w:rsidRPr="00FB1CBD">
        <w:rPr>
          <w:rFonts w:cs="Arial"/>
        </w:rPr>
        <w:t>p</w:t>
      </w:r>
      <w:r>
        <w:rPr>
          <w:rFonts w:cs="Arial"/>
        </w:rPr>
        <w:t xml:space="preserve">ayments over seven </w:t>
      </w:r>
      <w:r w:rsidRPr="00FB1CBD">
        <w:rPr>
          <w:rFonts w:cs="Arial"/>
        </w:rPr>
        <w:t xml:space="preserve">months </w:t>
      </w:r>
      <w:r>
        <w:rPr>
          <w:rFonts w:cs="Arial"/>
        </w:rPr>
        <w:t xml:space="preserve">and </w:t>
      </w:r>
      <w:r w:rsidRPr="00FB1CBD">
        <w:rPr>
          <w:rFonts w:cs="Arial"/>
        </w:rPr>
        <w:t xml:space="preserve">another client allegedly provided DHS with a forged medical authorization form.  The remaining client was suspected of lying about her condition to obtain services.  The client also had multiple allegations of fraud dating back over 10 years, none of which were referred to the DHS OIG for investigation.  </w:t>
      </w:r>
    </w:p>
    <w:p w:rsidR="002B6F52" w:rsidRPr="00FB1CBD" w:rsidRDefault="002B6F52" w:rsidP="00F84A56">
      <w:pPr>
        <w:spacing w:line="300" w:lineRule="auto"/>
        <w:ind w:left="1008"/>
        <w:contextualSpacing/>
        <w:jc w:val="both"/>
        <w:rPr>
          <w:rFonts w:cs="Arial"/>
        </w:rPr>
      </w:pPr>
    </w:p>
    <w:p w:rsidR="002B6F52" w:rsidRPr="00FB1CBD" w:rsidRDefault="002B6F52" w:rsidP="00F84A56">
      <w:pPr>
        <w:spacing w:line="300" w:lineRule="auto"/>
        <w:ind w:left="1008"/>
        <w:contextualSpacing/>
        <w:jc w:val="both"/>
        <w:rPr>
          <w:rFonts w:cs="Arial"/>
        </w:rPr>
      </w:pPr>
      <w:r w:rsidRPr="00FB1CBD">
        <w:rPr>
          <w:rFonts w:cs="Arial"/>
        </w:rPr>
        <w:t xml:space="preserve">There was no documentation in the three case files explaining why the ASWs did not refer the cases to the DHS OIG.   </w:t>
      </w:r>
    </w:p>
    <w:p w:rsidR="00D0291D" w:rsidRPr="00FB1CBD" w:rsidRDefault="00D0291D" w:rsidP="00F84A56">
      <w:pPr>
        <w:spacing w:line="300" w:lineRule="auto"/>
        <w:ind w:left="1008"/>
        <w:jc w:val="both"/>
        <w:rPr>
          <w:rFonts w:cs="Arial"/>
        </w:rPr>
      </w:pPr>
    </w:p>
    <w:p w:rsidR="00893F75" w:rsidRPr="00FB1CBD" w:rsidRDefault="00D0291D" w:rsidP="00F84A56">
      <w:pPr>
        <w:spacing w:line="300" w:lineRule="auto"/>
        <w:jc w:val="both"/>
        <w:rPr>
          <w:rFonts w:cs="Arial"/>
          <w:b/>
          <w:smallCaps/>
          <w:sz w:val="28"/>
          <w:u w:val="single"/>
        </w:rPr>
      </w:pPr>
      <w:r w:rsidRPr="00FB1CBD">
        <w:rPr>
          <w:rFonts w:cs="Arial"/>
          <w:b/>
          <w:smallCaps/>
          <w:sz w:val="28"/>
          <w:u w:val="single"/>
        </w:rPr>
        <w:t>Recommendations</w:t>
      </w:r>
    </w:p>
    <w:p w:rsidR="00893F75" w:rsidRPr="00FB1CBD" w:rsidRDefault="00893F75" w:rsidP="00F84A56">
      <w:pPr>
        <w:spacing w:line="300" w:lineRule="auto"/>
        <w:ind w:left="504"/>
        <w:jc w:val="both"/>
        <w:rPr>
          <w:rFonts w:cs="Arial"/>
        </w:rPr>
      </w:pPr>
      <w:r w:rsidRPr="00FB1CBD">
        <w:rPr>
          <w:rFonts w:cs="Arial"/>
        </w:rPr>
        <w:t xml:space="preserve">We recommend that DCH and DHS establish a process for ASWs to refer suspected </w:t>
      </w:r>
      <w:r w:rsidR="00A707F8">
        <w:rPr>
          <w:rFonts w:cs="Arial"/>
        </w:rPr>
        <w:t>HHP</w:t>
      </w:r>
      <w:r w:rsidR="002B6F52">
        <w:rPr>
          <w:rFonts w:cs="Arial"/>
        </w:rPr>
        <w:t xml:space="preserve"> </w:t>
      </w:r>
      <w:r w:rsidRPr="00FB1CBD">
        <w:rPr>
          <w:rFonts w:cs="Arial"/>
        </w:rPr>
        <w:t>provider fraud</w:t>
      </w:r>
      <w:r w:rsidR="007B48F3">
        <w:rPr>
          <w:rFonts w:cs="Arial"/>
        </w:rPr>
        <w:t>s</w:t>
      </w:r>
      <w:r w:rsidRPr="00FB1CBD">
        <w:rPr>
          <w:rFonts w:cs="Arial"/>
        </w:rPr>
        <w:t xml:space="preserve"> to the DCH OIG for investigation and potential referral for prosecution.</w:t>
      </w:r>
    </w:p>
    <w:p w:rsidR="00D0291D" w:rsidRPr="00FB1CBD" w:rsidRDefault="00D0291D" w:rsidP="00F84A56">
      <w:pPr>
        <w:spacing w:line="300" w:lineRule="auto"/>
        <w:ind w:left="504"/>
        <w:jc w:val="both"/>
        <w:rPr>
          <w:rFonts w:cs="Arial"/>
        </w:rPr>
      </w:pPr>
    </w:p>
    <w:p w:rsidR="00893F75" w:rsidRPr="00FB1CBD" w:rsidRDefault="00893F75" w:rsidP="00F84A56">
      <w:pPr>
        <w:spacing w:line="300" w:lineRule="auto"/>
        <w:ind w:left="504"/>
        <w:jc w:val="both"/>
        <w:rPr>
          <w:rFonts w:cs="Arial"/>
        </w:rPr>
      </w:pPr>
      <w:r w:rsidRPr="00FB1CBD">
        <w:rPr>
          <w:rFonts w:cs="Arial"/>
        </w:rPr>
        <w:t xml:space="preserve">We also recommend that DHS implement measures to ensure that ASWs refer suspected </w:t>
      </w:r>
      <w:r w:rsidR="00A707F8">
        <w:rPr>
          <w:rFonts w:cs="Arial"/>
        </w:rPr>
        <w:t>HHP</w:t>
      </w:r>
      <w:r w:rsidR="002B6F52">
        <w:rPr>
          <w:rFonts w:cs="Arial"/>
        </w:rPr>
        <w:t xml:space="preserve"> </w:t>
      </w:r>
      <w:r w:rsidRPr="00FB1CBD">
        <w:rPr>
          <w:rFonts w:cs="Arial"/>
        </w:rPr>
        <w:t>client fraud</w:t>
      </w:r>
      <w:r w:rsidR="007B48F3">
        <w:rPr>
          <w:rFonts w:cs="Arial"/>
        </w:rPr>
        <w:t>s</w:t>
      </w:r>
      <w:r w:rsidRPr="00FB1CBD">
        <w:rPr>
          <w:rFonts w:cs="Arial"/>
        </w:rPr>
        <w:t xml:space="preserve"> to the DHS OIG for investigation and potential referral for prosecution.  </w:t>
      </w:r>
    </w:p>
    <w:p w:rsidR="002B698B" w:rsidRDefault="002B698B" w:rsidP="00F84A56">
      <w:pPr>
        <w:overflowPunct/>
        <w:autoSpaceDE/>
        <w:autoSpaceDN/>
        <w:adjustRightInd/>
        <w:spacing w:line="300" w:lineRule="auto"/>
        <w:textAlignment w:val="auto"/>
        <w:rPr>
          <w:rFonts w:cs="Arial"/>
          <w:noProof/>
        </w:rPr>
      </w:pPr>
    </w:p>
    <w:p w:rsidR="0097689D" w:rsidRPr="009C39A0" w:rsidRDefault="0097689D" w:rsidP="00F84A56">
      <w:pPr>
        <w:tabs>
          <w:tab w:val="left" w:pos="0"/>
        </w:tabs>
        <w:spacing w:line="300" w:lineRule="auto"/>
        <w:jc w:val="both"/>
        <w:rPr>
          <w:rFonts w:cs="Arial"/>
          <w:b/>
          <w:smallCaps/>
          <w:color w:val="000000"/>
          <w:sz w:val="28"/>
          <w:u w:val="single"/>
        </w:rPr>
      </w:pPr>
      <w:r w:rsidRPr="009C39A0">
        <w:rPr>
          <w:rFonts w:cs="Arial"/>
          <w:b/>
          <w:smallCaps/>
          <w:color w:val="000000"/>
          <w:sz w:val="28"/>
          <w:u w:val="single"/>
        </w:rPr>
        <w:t>Agency Preliminary Response</w:t>
      </w:r>
    </w:p>
    <w:p w:rsidR="00AE3121" w:rsidRPr="00D6707C" w:rsidRDefault="00AE3121" w:rsidP="00AE3121">
      <w:pPr>
        <w:spacing w:line="300" w:lineRule="auto"/>
        <w:ind w:left="504"/>
        <w:jc w:val="both"/>
        <w:rPr>
          <w:rFonts w:cs="Arial"/>
        </w:rPr>
      </w:pPr>
      <w:r w:rsidRPr="00D6707C">
        <w:rPr>
          <w:rFonts w:cs="Arial"/>
        </w:rPr>
        <w:t xml:space="preserve">DCH and DHS agree that they did not have a formal process in place to refer suspected </w:t>
      </w:r>
      <w:r>
        <w:rPr>
          <w:rFonts w:cs="Arial"/>
        </w:rPr>
        <w:t>HHP</w:t>
      </w:r>
      <w:r w:rsidRPr="00D6707C">
        <w:rPr>
          <w:rFonts w:cs="Arial"/>
        </w:rPr>
        <w:t xml:space="preserve"> provider fraud to the DCH Office of Health Inspector General and that DHS did not always ensure that ASWs referred suspected </w:t>
      </w:r>
      <w:r>
        <w:rPr>
          <w:rFonts w:cs="Arial"/>
        </w:rPr>
        <w:t>HHP</w:t>
      </w:r>
      <w:r w:rsidRPr="00D6707C">
        <w:rPr>
          <w:rFonts w:cs="Arial"/>
        </w:rPr>
        <w:t xml:space="preserve"> client fraud to the DHS Office of Inspector General. </w:t>
      </w:r>
      <w:r>
        <w:rPr>
          <w:rFonts w:cs="Arial"/>
        </w:rPr>
        <w:t xml:space="preserve"> </w:t>
      </w:r>
      <w:r w:rsidRPr="00D6707C">
        <w:rPr>
          <w:rFonts w:cs="Arial"/>
        </w:rPr>
        <w:t xml:space="preserve">DCH </w:t>
      </w:r>
      <w:r>
        <w:rPr>
          <w:rFonts w:cs="Arial"/>
        </w:rPr>
        <w:t xml:space="preserve">informed us that it </w:t>
      </w:r>
      <w:r w:rsidRPr="00D6707C">
        <w:rPr>
          <w:rFonts w:cs="Arial"/>
        </w:rPr>
        <w:t xml:space="preserve">has overall processes in place to refer provider fraud on the DCH internet page; however, DCH acknowledges that additional clarification is necessary for the </w:t>
      </w:r>
      <w:r>
        <w:rPr>
          <w:rFonts w:cs="Arial"/>
        </w:rPr>
        <w:t>HHP</w:t>
      </w:r>
      <w:r w:rsidRPr="00D6707C">
        <w:rPr>
          <w:rFonts w:cs="Arial"/>
        </w:rPr>
        <w:t xml:space="preserve"> program. </w:t>
      </w:r>
    </w:p>
    <w:p w:rsidR="00AE3121" w:rsidRPr="00D6707C" w:rsidRDefault="00AE3121" w:rsidP="00AE3121">
      <w:pPr>
        <w:spacing w:line="300" w:lineRule="auto"/>
        <w:ind w:left="504"/>
        <w:jc w:val="both"/>
        <w:rPr>
          <w:rFonts w:cs="Arial"/>
        </w:rPr>
      </w:pPr>
    </w:p>
    <w:p w:rsidR="00106E4A" w:rsidRDefault="00106E4A">
      <w:pPr>
        <w:overflowPunct/>
        <w:autoSpaceDE/>
        <w:autoSpaceDN/>
        <w:adjustRightInd/>
        <w:textAlignment w:val="auto"/>
        <w:rPr>
          <w:rFonts w:cs="Arial"/>
        </w:rPr>
      </w:pPr>
      <w:r>
        <w:rPr>
          <w:rFonts w:cs="Arial"/>
        </w:rPr>
        <w:br w:type="page"/>
      </w:r>
    </w:p>
    <w:p w:rsidR="00AE3121" w:rsidRPr="00D6707C" w:rsidRDefault="00AE3121" w:rsidP="00AE3121">
      <w:pPr>
        <w:spacing w:line="300" w:lineRule="auto"/>
        <w:ind w:left="504"/>
        <w:jc w:val="both"/>
        <w:rPr>
          <w:rFonts w:cs="Arial"/>
        </w:rPr>
      </w:pPr>
      <w:r w:rsidRPr="00D6707C">
        <w:rPr>
          <w:rFonts w:cs="Arial"/>
        </w:rPr>
        <w:lastRenderedPageBreak/>
        <w:t>In April 2014, DCH and DHS and the Office of the Attorney General developed a coordinated process that delineated responsibilities across departments.  This new process designates the DHS Inspector General as the single point of entry for suspected home help program fraud referrals.  This new process includes tracking mechanisms so that referrals can be adequately tracked from start to finish.</w:t>
      </w:r>
    </w:p>
    <w:p w:rsidR="00AE3121" w:rsidRPr="00D6707C" w:rsidRDefault="00AE3121" w:rsidP="00AE3121">
      <w:pPr>
        <w:spacing w:line="300" w:lineRule="auto"/>
        <w:ind w:left="504"/>
        <w:jc w:val="both"/>
        <w:rPr>
          <w:rFonts w:cs="Arial"/>
        </w:rPr>
      </w:pPr>
    </w:p>
    <w:p w:rsidR="00AE3121" w:rsidRPr="00D6707C" w:rsidRDefault="00AE3121" w:rsidP="00AE3121">
      <w:pPr>
        <w:spacing w:line="300" w:lineRule="auto"/>
        <w:ind w:left="504"/>
        <w:jc w:val="both"/>
        <w:rPr>
          <w:rFonts w:cs="Arial"/>
        </w:rPr>
      </w:pPr>
      <w:r w:rsidRPr="00D6707C">
        <w:rPr>
          <w:rFonts w:cs="Arial"/>
        </w:rPr>
        <w:t xml:space="preserve">DHS </w:t>
      </w:r>
      <w:r>
        <w:rPr>
          <w:rFonts w:cs="Arial"/>
        </w:rPr>
        <w:t xml:space="preserve">indicated that it </w:t>
      </w:r>
      <w:r w:rsidRPr="00D6707C">
        <w:rPr>
          <w:rFonts w:cs="Arial"/>
        </w:rPr>
        <w:t>is completing an independent review of all the cases cited in the audit.</w:t>
      </w:r>
      <w:r>
        <w:rPr>
          <w:rFonts w:cs="Arial"/>
        </w:rPr>
        <w:t xml:space="preserve"> </w:t>
      </w:r>
      <w:r w:rsidRPr="00D6707C">
        <w:rPr>
          <w:rFonts w:cs="Arial"/>
        </w:rPr>
        <w:t xml:space="preserve"> Based on these reviews, appropriate overpayment referrals will be made to DCH for recovery and referrals will be made to the DHS Office of the Inspector General for suspected fraud if appropriate.</w:t>
      </w:r>
    </w:p>
    <w:p w:rsidR="00AE3121" w:rsidRPr="00D6707C" w:rsidRDefault="00AE3121" w:rsidP="00AE3121">
      <w:pPr>
        <w:spacing w:line="300" w:lineRule="auto"/>
        <w:ind w:left="504"/>
        <w:jc w:val="both"/>
        <w:rPr>
          <w:rFonts w:cs="Arial"/>
        </w:rPr>
      </w:pPr>
    </w:p>
    <w:p w:rsidR="00AE3121" w:rsidRDefault="00AE3121" w:rsidP="00AE3121">
      <w:pPr>
        <w:spacing w:line="300" w:lineRule="auto"/>
        <w:ind w:left="504"/>
        <w:jc w:val="both"/>
        <w:rPr>
          <w:rFonts w:cs="Arial"/>
        </w:rPr>
      </w:pPr>
      <w:r>
        <w:rPr>
          <w:rFonts w:cs="Arial"/>
        </w:rPr>
        <w:t xml:space="preserve">In addition, DCH and DHS informed us that they are implementing the </w:t>
      </w:r>
      <w:r w:rsidRPr="00D6707C">
        <w:rPr>
          <w:rFonts w:cs="Arial"/>
        </w:rPr>
        <w:t>following corrective actions</w:t>
      </w:r>
      <w:r>
        <w:rPr>
          <w:rFonts w:cs="Arial"/>
        </w:rPr>
        <w:t>:</w:t>
      </w:r>
      <w:r w:rsidRPr="00D6707C" w:rsidDel="00E77E58">
        <w:rPr>
          <w:rFonts w:cs="Arial"/>
        </w:rPr>
        <w:t xml:space="preserve"> </w:t>
      </w:r>
    </w:p>
    <w:p w:rsidR="00AE3121" w:rsidRDefault="00AE3121" w:rsidP="00AE3121">
      <w:pPr>
        <w:spacing w:line="300" w:lineRule="auto"/>
        <w:ind w:left="504"/>
        <w:jc w:val="both"/>
        <w:rPr>
          <w:rFonts w:cs="Arial"/>
        </w:rPr>
      </w:pPr>
    </w:p>
    <w:p w:rsidR="00AE3121" w:rsidRPr="00AE3121" w:rsidRDefault="00AE3121" w:rsidP="00AE3121">
      <w:pPr>
        <w:pStyle w:val="ListParagraph"/>
        <w:numPr>
          <w:ilvl w:val="0"/>
          <w:numId w:val="28"/>
        </w:numPr>
        <w:overflowPunct/>
        <w:autoSpaceDE/>
        <w:autoSpaceDN/>
        <w:adjustRightInd/>
        <w:spacing w:line="300" w:lineRule="auto"/>
        <w:ind w:left="1008" w:hanging="504"/>
        <w:jc w:val="both"/>
        <w:textAlignment w:val="auto"/>
        <w:rPr>
          <w:rFonts w:cs="Arial"/>
        </w:rPr>
      </w:pPr>
      <w:r w:rsidRPr="00D6707C">
        <w:rPr>
          <w:rFonts w:cs="Arial"/>
          <w:color w:val="000000"/>
        </w:rPr>
        <w:t>By July 1, 2014, DHS will issue a communication to adult services staff reiterating DHS policy for mandatory case action, referrals for recoupment and referrals for suspected fraud.</w:t>
      </w:r>
    </w:p>
    <w:p w:rsidR="00AE3121" w:rsidRPr="00AE3121" w:rsidRDefault="00AE3121" w:rsidP="00AE3121">
      <w:pPr>
        <w:pStyle w:val="ListParagraph"/>
        <w:overflowPunct/>
        <w:autoSpaceDE/>
        <w:autoSpaceDN/>
        <w:adjustRightInd/>
        <w:spacing w:line="300" w:lineRule="auto"/>
        <w:ind w:left="1008"/>
        <w:jc w:val="both"/>
        <w:textAlignment w:val="auto"/>
        <w:rPr>
          <w:rFonts w:cs="Arial"/>
        </w:rPr>
      </w:pPr>
    </w:p>
    <w:p w:rsidR="00AE3121" w:rsidRDefault="00AE3121" w:rsidP="00AE3121">
      <w:pPr>
        <w:pStyle w:val="ListParagraph"/>
        <w:numPr>
          <w:ilvl w:val="0"/>
          <w:numId w:val="28"/>
        </w:numPr>
        <w:overflowPunct/>
        <w:autoSpaceDE/>
        <w:autoSpaceDN/>
        <w:adjustRightInd/>
        <w:spacing w:line="300" w:lineRule="auto"/>
        <w:ind w:left="1008" w:hanging="504"/>
        <w:jc w:val="both"/>
        <w:textAlignment w:val="auto"/>
        <w:rPr>
          <w:rFonts w:cs="Arial"/>
        </w:rPr>
      </w:pPr>
      <w:r w:rsidRPr="00D6707C">
        <w:rPr>
          <w:rFonts w:cs="Arial"/>
        </w:rPr>
        <w:t>By September 30, 2014, all</w:t>
      </w:r>
      <w:r>
        <w:rPr>
          <w:rFonts w:cs="Arial"/>
        </w:rPr>
        <w:t xml:space="preserve"> </w:t>
      </w:r>
      <w:r w:rsidRPr="00D6707C">
        <w:rPr>
          <w:rFonts w:cs="Arial"/>
        </w:rPr>
        <w:t>adult services staff will complete mandatory adult services core training that includes policies on referrals for recoupment and suspected fraud.</w:t>
      </w:r>
    </w:p>
    <w:p w:rsidR="00AE3121" w:rsidRPr="00AE3121" w:rsidRDefault="00AE3121" w:rsidP="00AE3121">
      <w:pPr>
        <w:pStyle w:val="ListParagraph"/>
        <w:rPr>
          <w:rFonts w:cs="Arial"/>
        </w:rPr>
      </w:pPr>
    </w:p>
    <w:p w:rsidR="00AE3121" w:rsidRPr="00D6707C" w:rsidRDefault="00AE3121" w:rsidP="00AE3121">
      <w:pPr>
        <w:pStyle w:val="ListParagraph"/>
        <w:numPr>
          <w:ilvl w:val="0"/>
          <w:numId w:val="28"/>
        </w:numPr>
        <w:overflowPunct/>
        <w:autoSpaceDE/>
        <w:autoSpaceDN/>
        <w:adjustRightInd/>
        <w:spacing w:line="300" w:lineRule="auto"/>
        <w:ind w:left="1008" w:hanging="504"/>
        <w:jc w:val="both"/>
        <w:textAlignment w:val="auto"/>
        <w:rPr>
          <w:rFonts w:cs="Arial"/>
        </w:rPr>
      </w:pPr>
      <w:r w:rsidRPr="00D6707C">
        <w:rPr>
          <w:rFonts w:cs="Arial"/>
        </w:rPr>
        <w:t>DCH and DHS management will develop additional monitoring protocols as necessary to ensure compliance with corrective actions</w:t>
      </w:r>
      <w:r>
        <w:rPr>
          <w:rFonts w:cs="Arial"/>
        </w:rPr>
        <w:t>.</w:t>
      </w:r>
    </w:p>
    <w:p w:rsidR="0097689D" w:rsidRDefault="0097689D" w:rsidP="00F84A56">
      <w:pPr>
        <w:tabs>
          <w:tab w:val="left" w:pos="0"/>
        </w:tabs>
        <w:spacing w:line="300" w:lineRule="auto"/>
        <w:ind w:left="504"/>
        <w:jc w:val="both"/>
        <w:rPr>
          <w:rFonts w:cs="Arial"/>
        </w:rPr>
      </w:pPr>
    </w:p>
    <w:p w:rsidR="0097689D" w:rsidRDefault="0097689D" w:rsidP="00F84A56">
      <w:pPr>
        <w:tabs>
          <w:tab w:val="left" w:pos="0"/>
        </w:tabs>
        <w:spacing w:line="300" w:lineRule="auto"/>
        <w:ind w:left="504"/>
        <w:jc w:val="both"/>
        <w:rPr>
          <w:rFonts w:cs="Arial"/>
        </w:rPr>
      </w:pPr>
    </w:p>
    <w:p w:rsidR="00893F75" w:rsidRPr="00FB1CBD" w:rsidRDefault="00D0291D" w:rsidP="00F84A56">
      <w:pPr>
        <w:tabs>
          <w:tab w:val="left" w:pos="360"/>
        </w:tabs>
        <w:spacing w:line="300" w:lineRule="auto"/>
        <w:jc w:val="both"/>
        <w:rPr>
          <w:rFonts w:cs="Arial"/>
          <w:b/>
          <w:smallCaps/>
          <w:sz w:val="28"/>
          <w:u w:val="single"/>
        </w:rPr>
      </w:pPr>
      <w:r w:rsidRPr="00FB1CBD">
        <w:rPr>
          <w:rFonts w:cs="Arial"/>
          <w:b/>
          <w:smallCaps/>
          <w:sz w:val="28"/>
          <w:u w:val="single"/>
        </w:rPr>
        <w:t>Finding</w:t>
      </w:r>
    </w:p>
    <w:p w:rsidR="00893F75" w:rsidRPr="00FB1CBD" w:rsidRDefault="00893F75" w:rsidP="00F84A56">
      <w:pPr>
        <w:pStyle w:val="A4-FindingTitle"/>
      </w:pPr>
      <w:r w:rsidRPr="00FB1CBD">
        <w:t>Data Reporting System</w:t>
      </w:r>
    </w:p>
    <w:p w:rsidR="00893F75" w:rsidRPr="00FB1CBD" w:rsidRDefault="00893F75" w:rsidP="00F84A56">
      <w:pPr>
        <w:tabs>
          <w:tab w:val="left" w:pos="720"/>
        </w:tabs>
        <w:spacing w:line="300" w:lineRule="auto"/>
        <w:ind w:left="504"/>
        <w:jc w:val="both"/>
        <w:rPr>
          <w:rFonts w:cs="Arial"/>
        </w:rPr>
      </w:pPr>
      <w:r w:rsidRPr="00FB1CBD">
        <w:rPr>
          <w:rFonts w:cs="Arial"/>
        </w:rPr>
        <w:t>DHS did not have an adequate data reporting system for</w:t>
      </w:r>
      <w:r w:rsidR="002B6F52">
        <w:rPr>
          <w:rFonts w:cs="Arial"/>
        </w:rPr>
        <w:t xml:space="preserve"> </w:t>
      </w:r>
      <w:r w:rsidR="00A707F8">
        <w:rPr>
          <w:rFonts w:cs="Arial"/>
        </w:rPr>
        <w:t>HHP</w:t>
      </w:r>
      <w:r w:rsidRPr="00FB1CBD">
        <w:rPr>
          <w:rFonts w:cs="Arial"/>
        </w:rPr>
        <w:t xml:space="preserve">.  As a result, </w:t>
      </w:r>
      <w:r w:rsidR="00A707F8">
        <w:rPr>
          <w:rFonts w:cs="Arial"/>
        </w:rPr>
        <w:t>HHP</w:t>
      </w:r>
      <w:r w:rsidR="002B6F52">
        <w:rPr>
          <w:rFonts w:cs="Arial"/>
        </w:rPr>
        <w:t xml:space="preserve"> </w:t>
      </w:r>
      <w:r w:rsidRPr="00FB1CBD">
        <w:rPr>
          <w:rFonts w:cs="Arial"/>
        </w:rPr>
        <w:t>management and supervisory staff did not have ready access to information for effectively monitoring</w:t>
      </w:r>
      <w:r w:rsidR="002B6F52">
        <w:rPr>
          <w:rFonts w:cs="Arial"/>
        </w:rPr>
        <w:t xml:space="preserve"> </w:t>
      </w:r>
      <w:r w:rsidR="00A707F8">
        <w:rPr>
          <w:rFonts w:cs="Arial"/>
        </w:rPr>
        <w:t>HHP</w:t>
      </w:r>
      <w:r w:rsidRPr="00FB1CBD">
        <w:rPr>
          <w:rFonts w:cs="Arial"/>
        </w:rPr>
        <w:t xml:space="preserve">.  With an adequately functioning data reporting system, </w:t>
      </w:r>
      <w:r w:rsidR="00A707F8">
        <w:rPr>
          <w:rFonts w:cs="Arial"/>
        </w:rPr>
        <w:t>HHP</w:t>
      </w:r>
      <w:r w:rsidR="002B6F52">
        <w:rPr>
          <w:rFonts w:cs="Arial"/>
        </w:rPr>
        <w:t xml:space="preserve"> </w:t>
      </w:r>
      <w:r w:rsidRPr="00FB1CBD">
        <w:rPr>
          <w:rFonts w:cs="Arial"/>
        </w:rPr>
        <w:t>managers and supervisors could have timely identified and corrected some of the conditions cited in this report.</w:t>
      </w:r>
    </w:p>
    <w:p w:rsidR="00893F75" w:rsidRPr="00FB1CBD" w:rsidRDefault="00893F75" w:rsidP="00F84A56">
      <w:pPr>
        <w:tabs>
          <w:tab w:val="left" w:pos="720"/>
        </w:tabs>
        <w:spacing w:line="300" w:lineRule="auto"/>
        <w:ind w:left="504"/>
        <w:jc w:val="both"/>
        <w:rPr>
          <w:rFonts w:cs="Arial"/>
        </w:rPr>
      </w:pPr>
    </w:p>
    <w:p w:rsidR="00106E4A" w:rsidRDefault="00893F75" w:rsidP="00106E4A">
      <w:pPr>
        <w:tabs>
          <w:tab w:val="left" w:pos="720"/>
        </w:tabs>
        <w:spacing w:line="300" w:lineRule="auto"/>
        <w:ind w:left="504"/>
        <w:jc w:val="both"/>
        <w:rPr>
          <w:rFonts w:cs="Arial"/>
        </w:rPr>
      </w:pPr>
      <w:r w:rsidRPr="00FB1CBD">
        <w:rPr>
          <w:rFonts w:cs="Arial"/>
        </w:rPr>
        <w:t xml:space="preserve">For example, if local managers and supervisors had periodically received a report identifying active clients who did not have </w:t>
      </w:r>
      <w:r w:rsidR="00DC745E">
        <w:rPr>
          <w:rFonts w:cs="Arial"/>
        </w:rPr>
        <w:t>an ADL assessment score of</w:t>
      </w:r>
      <w:r w:rsidRPr="00FB1CBD">
        <w:rPr>
          <w:rFonts w:cs="Arial"/>
        </w:rPr>
        <w:t xml:space="preserve"> 3 or higher, </w:t>
      </w:r>
      <w:r w:rsidR="00106E4A">
        <w:rPr>
          <w:rFonts w:cs="Arial"/>
        </w:rPr>
        <w:br/>
      </w:r>
      <w:r w:rsidR="00106E4A">
        <w:rPr>
          <w:rFonts w:cs="Arial"/>
        </w:rPr>
        <w:br w:type="page"/>
      </w:r>
    </w:p>
    <w:p w:rsidR="00893F75" w:rsidRPr="00FB1CBD" w:rsidRDefault="00893F75" w:rsidP="00F84A56">
      <w:pPr>
        <w:tabs>
          <w:tab w:val="left" w:pos="720"/>
        </w:tabs>
        <w:spacing w:line="300" w:lineRule="auto"/>
        <w:ind w:left="504"/>
        <w:jc w:val="both"/>
        <w:rPr>
          <w:rFonts w:cs="Arial"/>
        </w:rPr>
      </w:pPr>
      <w:r w:rsidRPr="00FB1CBD">
        <w:rPr>
          <w:rFonts w:cs="Arial"/>
        </w:rPr>
        <w:lastRenderedPageBreak/>
        <w:t xml:space="preserve">as noted in </w:t>
      </w:r>
      <w:r w:rsidR="008C43CC">
        <w:rPr>
          <w:rFonts w:cs="Arial"/>
        </w:rPr>
        <w:t>F</w:t>
      </w:r>
      <w:r w:rsidRPr="00FB1CBD">
        <w:rPr>
          <w:rFonts w:cs="Arial"/>
        </w:rPr>
        <w:t xml:space="preserve">inding 3 of this report, and </w:t>
      </w:r>
      <w:r w:rsidR="008C43CC">
        <w:rPr>
          <w:rFonts w:cs="Arial"/>
        </w:rPr>
        <w:t xml:space="preserve">had </w:t>
      </w:r>
      <w:r w:rsidRPr="00FB1CBD">
        <w:rPr>
          <w:rFonts w:cs="Arial"/>
        </w:rPr>
        <w:t xml:space="preserve">timely directed the applicable ASWs to </w:t>
      </w:r>
      <w:r w:rsidR="00DE7C7C" w:rsidRPr="00FB1CBD">
        <w:rPr>
          <w:rFonts w:cs="Arial"/>
        </w:rPr>
        <w:t>reassess the clients</w:t>
      </w:r>
      <w:r w:rsidR="00F305E9">
        <w:rPr>
          <w:rFonts w:cs="Arial"/>
        </w:rPr>
        <w:t>'</w:t>
      </w:r>
      <w:r w:rsidR="008C43CC">
        <w:rPr>
          <w:rFonts w:cs="Arial"/>
        </w:rPr>
        <w:t xml:space="preserve"> current ADL score</w:t>
      </w:r>
      <w:r w:rsidR="00DE7C7C" w:rsidRPr="00FB1CBD">
        <w:rPr>
          <w:rFonts w:cs="Arial"/>
        </w:rPr>
        <w:t xml:space="preserve"> or </w:t>
      </w:r>
      <w:r w:rsidRPr="00FB1CBD">
        <w:rPr>
          <w:rFonts w:cs="Arial"/>
        </w:rPr>
        <w:t>remove the individuals from the program, DHS could have prevented an estimated $3.3 million in improper pay</w:t>
      </w:r>
      <w:r w:rsidR="0084480E" w:rsidRPr="00FB1CBD">
        <w:rPr>
          <w:rFonts w:cs="Arial"/>
        </w:rPr>
        <w:t xml:space="preserve">ments.  </w:t>
      </w:r>
      <w:r w:rsidRPr="00FB1CBD">
        <w:rPr>
          <w:rFonts w:cs="Arial"/>
        </w:rPr>
        <w:t xml:space="preserve">Also, if local managers and supervisors had received timely reports identifying the large number of service logs that providers failed to submit to DHS, as noted in </w:t>
      </w:r>
      <w:r w:rsidR="00A128F2">
        <w:rPr>
          <w:rFonts w:cs="Arial"/>
        </w:rPr>
        <w:t>F</w:t>
      </w:r>
      <w:r w:rsidRPr="00FB1CBD">
        <w:rPr>
          <w:rFonts w:cs="Arial"/>
        </w:rPr>
        <w:t>inding 1 of this report, the managers and supervisors could have worked to mitigate the issue, which resulted in undocumented expenditures of up to $1</w:t>
      </w:r>
      <w:r w:rsidR="00703317">
        <w:rPr>
          <w:rFonts w:cs="Arial"/>
        </w:rPr>
        <w:t>2</w:t>
      </w:r>
      <w:r w:rsidR="008B0253">
        <w:rPr>
          <w:rFonts w:cs="Arial"/>
        </w:rPr>
        <w:t>7.3</w:t>
      </w:r>
      <w:r w:rsidRPr="00FB1CBD">
        <w:rPr>
          <w:rFonts w:cs="Arial"/>
        </w:rPr>
        <w:t xml:space="preserve"> million.</w:t>
      </w:r>
    </w:p>
    <w:p w:rsidR="00893F75" w:rsidRPr="00FB1CBD" w:rsidRDefault="00893F75" w:rsidP="00F84A56">
      <w:pPr>
        <w:tabs>
          <w:tab w:val="left" w:pos="720"/>
        </w:tabs>
        <w:spacing w:line="300" w:lineRule="auto"/>
        <w:ind w:left="504"/>
        <w:jc w:val="both"/>
        <w:rPr>
          <w:rFonts w:cs="Arial"/>
        </w:rPr>
      </w:pPr>
    </w:p>
    <w:p w:rsidR="00893F75" w:rsidRPr="00FB1CBD" w:rsidRDefault="00893F75" w:rsidP="00F84A56">
      <w:pPr>
        <w:tabs>
          <w:tab w:val="left" w:pos="720"/>
        </w:tabs>
        <w:spacing w:line="300" w:lineRule="auto"/>
        <w:ind w:left="504"/>
        <w:jc w:val="both"/>
        <w:rPr>
          <w:rFonts w:cs="Arial"/>
        </w:rPr>
      </w:pPr>
      <w:r w:rsidRPr="00FB1CBD">
        <w:rPr>
          <w:rFonts w:cs="Arial"/>
        </w:rPr>
        <w:t>Data reporting is an integral part of an organization</w:t>
      </w:r>
      <w:r w:rsidR="00F305E9">
        <w:rPr>
          <w:rFonts w:cs="Arial"/>
        </w:rPr>
        <w:t>'</w:t>
      </w:r>
      <w:r w:rsidRPr="00FB1CBD">
        <w:rPr>
          <w:rFonts w:cs="Arial"/>
        </w:rPr>
        <w:t>s overall internal control that reports key elements of an organization</w:t>
      </w:r>
      <w:r w:rsidR="00F305E9">
        <w:rPr>
          <w:rFonts w:cs="Arial"/>
        </w:rPr>
        <w:t>'</w:t>
      </w:r>
      <w:r w:rsidRPr="00FB1CBD">
        <w:rPr>
          <w:rFonts w:cs="Arial"/>
        </w:rPr>
        <w:t>s performance.  Monitoring of data provides managers and supervisors with valuable information for identifying such things as noncompliance with policies, procedures, rules</w:t>
      </w:r>
      <w:r w:rsidR="00A128F2">
        <w:rPr>
          <w:rFonts w:cs="Arial"/>
        </w:rPr>
        <w:t>,</w:t>
      </w:r>
      <w:r w:rsidRPr="00FB1CBD">
        <w:rPr>
          <w:rFonts w:cs="Arial"/>
        </w:rPr>
        <w:t xml:space="preserve"> and regulations and ineffective or inefficient operations. </w:t>
      </w:r>
    </w:p>
    <w:p w:rsidR="00893F75" w:rsidRPr="00FB1CBD" w:rsidRDefault="00893F75" w:rsidP="00F84A56">
      <w:pPr>
        <w:tabs>
          <w:tab w:val="left" w:pos="720"/>
        </w:tabs>
        <w:spacing w:line="300" w:lineRule="auto"/>
        <w:ind w:left="504"/>
        <w:jc w:val="both"/>
        <w:rPr>
          <w:rFonts w:cs="Arial"/>
        </w:rPr>
      </w:pPr>
    </w:p>
    <w:p w:rsidR="00893F75" w:rsidRPr="00FB1CBD" w:rsidRDefault="00893F75" w:rsidP="00F84A56">
      <w:pPr>
        <w:tabs>
          <w:tab w:val="left" w:pos="720"/>
        </w:tabs>
        <w:spacing w:line="300" w:lineRule="auto"/>
        <w:ind w:left="504"/>
        <w:jc w:val="both"/>
        <w:rPr>
          <w:rFonts w:cs="Arial"/>
        </w:rPr>
      </w:pPr>
      <w:r w:rsidRPr="00FB1CBD">
        <w:rPr>
          <w:rFonts w:cs="Arial"/>
        </w:rPr>
        <w:t xml:space="preserve">DHS informed us that ASCAP, the primary electronic repository of </w:t>
      </w:r>
      <w:r w:rsidR="00A707F8">
        <w:rPr>
          <w:rFonts w:cs="Arial"/>
        </w:rPr>
        <w:t>HHP</w:t>
      </w:r>
      <w:r w:rsidR="00A128F2">
        <w:rPr>
          <w:rFonts w:cs="Arial"/>
        </w:rPr>
        <w:t xml:space="preserve"> </w:t>
      </w:r>
      <w:r w:rsidR="00DE7C7C" w:rsidRPr="00FB1CBD">
        <w:rPr>
          <w:rFonts w:cs="Arial"/>
        </w:rPr>
        <w:t>clients</w:t>
      </w:r>
      <w:r w:rsidR="00F305E9">
        <w:rPr>
          <w:rFonts w:cs="Arial"/>
        </w:rPr>
        <w:t>'</w:t>
      </w:r>
      <w:r w:rsidR="00DE7C7C" w:rsidRPr="00FB1CBD">
        <w:rPr>
          <w:rFonts w:cs="Arial"/>
        </w:rPr>
        <w:t xml:space="preserve"> most current </w:t>
      </w:r>
      <w:r w:rsidRPr="00FB1CBD">
        <w:rPr>
          <w:rFonts w:cs="Arial"/>
        </w:rPr>
        <w:t xml:space="preserve">information, lost most of its reporting capabilities in early 2010 with the implementation of a new payment system. </w:t>
      </w:r>
      <w:r w:rsidR="0084480E" w:rsidRPr="00FB1CBD">
        <w:rPr>
          <w:rFonts w:cs="Arial"/>
        </w:rPr>
        <w:t xml:space="preserve"> </w:t>
      </w:r>
      <w:r w:rsidR="00DE7C7C" w:rsidRPr="00FB1CBD">
        <w:rPr>
          <w:rFonts w:cs="Arial"/>
        </w:rPr>
        <w:t xml:space="preserve">This included the loss of reports to track client redeterminations and provider </w:t>
      </w:r>
      <w:r w:rsidR="00A128F2">
        <w:rPr>
          <w:rFonts w:cs="Arial"/>
        </w:rPr>
        <w:t>service logs, among other reports</w:t>
      </w:r>
      <w:r w:rsidR="00DE7C7C" w:rsidRPr="00FB1CBD">
        <w:rPr>
          <w:rFonts w:cs="Arial"/>
        </w:rPr>
        <w:t xml:space="preserve">. </w:t>
      </w:r>
      <w:r w:rsidRPr="00FB1CBD">
        <w:rPr>
          <w:rFonts w:cs="Arial"/>
        </w:rPr>
        <w:t xml:space="preserve"> Also, DHS informed us </w:t>
      </w:r>
      <w:r w:rsidR="00A128F2">
        <w:rPr>
          <w:rFonts w:cs="Arial"/>
        </w:rPr>
        <w:t xml:space="preserve">that </w:t>
      </w:r>
      <w:r w:rsidRPr="00FB1CBD">
        <w:rPr>
          <w:rFonts w:cs="Arial"/>
        </w:rPr>
        <w:t>it has been working with DTMB since the loss of this functionality to develop an alternate method to generate needed reports.  However, DHS stated that other priorities have significantly slowed this development.  Nevertheless, DHS stated that it is expecting to implement a new reporting system that will allow users with the technical know</w:t>
      </w:r>
      <w:r w:rsidR="00FA2731">
        <w:rPr>
          <w:rFonts w:cs="Arial"/>
        </w:rPr>
        <w:t>ledge</w:t>
      </w:r>
      <w:r w:rsidRPr="00FB1CBD">
        <w:rPr>
          <w:rFonts w:cs="Arial"/>
        </w:rPr>
        <w:t xml:space="preserve"> to create their own ad hoc reports</w:t>
      </w:r>
      <w:r w:rsidR="00DE7C7C" w:rsidRPr="00FB1CBD">
        <w:rPr>
          <w:rFonts w:cs="Arial"/>
        </w:rPr>
        <w:t xml:space="preserve"> and, eventually, will include some standard reports as well</w:t>
      </w:r>
      <w:r w:rsidRPr="00FB1CBD">
        <w:rPr>
          <w:rFonts w:cs="Arial"/>
        </w:rPr>
        <w:t xml:space="preserve">.  DHS did not have a </w:t>
      </w:r>
      <w:r w:rsidR="00AE3121" w:rsidRPr="00FB1CBD">
        <w:rPr>
          <w:rFonts w:cs="Arial"/>
        </w:rPr>
        <w:t>firm date for completion of this system.  In addition to these activities, DHS</w:t>
      </w:r>
      <w:r w:rsidR="00106E4A">
        <w:rPr>
          <w:rFonts w:cs="Arial"/>
        </w:rPr>
        <w:t xml:space="preserve"> </w:t>
      </w:r>
      <w:r w:rsidRPr="00FB1CBD">
        <w:rPr>
          <w:rFonts w:cs="Arial"/>
        </w:rPr>
        <w:t xml:space="preserve">informed us that it was in the early stages of updating the entire ASCAP and its related reporting capabilities.  </w:t>
      </w:r>
    </w:p>
    <w:p w:rsidR="00893F75" w:rsidRPr="00FB1CBD" w:rsidRDefault="00893F75" w:rsidP="00F84A56">
      <w:pPr>
        <w:tabs>
          <w:tab w:val="left" w:pos="720"/>
        </w:tabs>
        <w:spacing w:line="300" w:lineRule="auto"/>
        <w:ind w:left="504"/>
        <w:jc w:val="both"/>
        <w:rPr>
          <w:rFonts w:cs="Arial"/>
        </w:rPr>
      </w:pPr>
    </w:p>
    <w:p w:rsidR="00893F75" w:rsidRPr="00FB1CBD" w:rsidRDefault="002F6C9C" w:rsidP="00F84A56">
      <w:pPr>
        <w:tabs>
          <w:tab w:val="left" w:pos="720"/>
        </w:tabs>
        <w:spacing w:line="300" w:lineRule="auto"/>
        <w:jc w:val="both"/>
        <w:rPr>
          <w:rFonts w:cs="Arial"/>
          <w:b/>
          <w:smallCaps/>
          <w:sz w:val="28"/>
          <w:u w:val="single"/>
        </w:rPr>
      </w:pPr>
      <w:r w:rsidRPr="00FB1CBD">
        <w:rPr>
          <w:rFonts w:cs="Arial"/>
          <w:b/>
          <w:smallCaps/>
          <w:sz w:val="28"/>
          <w:u w:val="single"/>
        </w:rPr>
        <w:t>Recommendation</w:t>
      </w:r>
    </w:p>
    <w:p w:rsidR="00893F75" w:rsidRDefault="00893F75" w:rsidP="00F84A56">
      <w:pPr>
        <w:tabs>
          <w:tab w:val="left" w:pos="720"/>
        </w:tabs>
        <w:spacing w:line="300" w:lineRule="auto"/>
        <w:ind w:left="504"/>
        <w:jc w:val="both"/>
        <w:rPr>
          <w:rFonts w:cs="Arial"/>
        </w:rPr>
      </w:pPr>
      <w:r w:rsidRPr="00FB1CBD">
        <w:rPr>
          <w:rFonts w:cs="Arial"/>
        </w:rPr>
        <w:t>We recommend that DHS ensure the development of an adequate data reporting system for</w:t>
      </w:r>
      <w:r w:rsidR="00366398">
        <w:rPr>
          <w:rFonts w:cs="Arial"/>
        </w:rPr>
        <w:t xml:space="preserve"> </w:t>
      </w:r>
      <w:r w:rsidR="00A707F8">
        <w:rPr>
          <w:rFonts w:cs="Arial"/>
        </w:rPr>
        <w:t>HHP</w:t>
      </w:r>
      <w:r w:rsidRPr="00FB1CBD">
        <w:rPr>
          <w:rFonts w:cs="Arial"/>
        </w:rPr>
        <w:t>.</w:t>
      </w:r>
      <w:r w:rsidR="00366398">
        <w:rPr>
          <w:rFonts w:cs="Arial"/>
        </w:rPr>
        <w:t xml:space="preserve">  </w:t>
      </w:r>
    </w:p>
    <w:p w:rsidR="00106E4A" w:rsidRDefault="00106E4A">
      <w:pPr>
        <w:overflowPunct/>
        <w:autoSpaceDE/>
        <w:autoSpaceDN/>
        <w:adjustRightInd/>
        <w:textAlignment w:val="auto"/>
        <w:rPr>
          <w:rFonts w:cs="Arial"/>
        </w:rPr>
      </w:pPr>
    </w:p>
    <w:p w:rsidR="007508DF" w:rsidRPr="00FB1CBD" w:rsidRDefault="007508DF" w:rsidP="00F75E5D">
      <w:pPr>
        <w:pStyle w:val="A2-ExcelFileNoteGlossaryTerms"/>
        <w:keepNext w:val="0"/>
        <w:sectPr w:rsidR="007508DF" w:rsidRPr="00FB1CBD" w:rsidSect="00F65787">
          <w:footerReference w:type="even" r:id="rId9"/>
          <w:footerReference w:type="default" r:id="rId10"/>
          <w:pgSz w:w="12240" w:h="15840" w:code="1"/>
          <w:pgMar w:top="1440" w:right="1440" w:bottom="720" w:left="1440" w:header="720" w:footer="720" w:gutter="0"/>
          <w:paperSrc w:first="15" w:other="15"/>
          <w:pgNumType w:start="4"/>
          <w:cols w:space="720"/>
          <w:docGrid w:linePitch="326"/>
        </w:sectPr>
      </w:pPr>
    </w:p>
    <w:p w:rsidR="00B602CD" w:rsidRPr="009C39A0" w:rsidRDefault="00B602CD" w:rsidP="00B602CD">
      <w:pPr>
        <w:tabs>
          <w:tab w:val="left" w:pos="0"/>
        </w:tabs>
        <w:spacing w:line="300" w:lineRule="auto"/>
        <w:jc w:val="both"/>
        <w:rPr>
          <w:rFonts w:cs="Arial"/>
          <w:b/>
          <w:smallCaps/>
          <w:color w:val="000000"/>
          <w:sz w:val="28"/>
          <w:u w:val="single"/>
        </w:rPr>
      </w:pPr>
      <w:r w:rsidRPr="009C39A0">
        <w:rPr>
          <w:rFonts w:cs="Arial"/>
          <w:b/>
          <w:smallCaps/>
          <w:color w:val="000000"/>
          <w:sz w:val="28"/>
          <w:u w:val="single"/>
        </w:rPr>
        <w:lastRenderedPageBreak/>
        <w:t>Agency Preliminary Response</w:t>
      </w:r>
    </w:p>
    <w:p w:rsidR="00B602CD" w:rsidRPr="00D6707C" w:rsidRDefault="00B602CD" w:rsidP="00B602CD">
      <w:pPr>
        <w:tabs>
          <w:tab w:val="left" w:pos="720"/>
        </w:tabs>
        <w:spacing w:line="300" w:lineRule="auto"/>
        <w:ind w:left="504"/>
        <w:jc w:val="both"/>
        <w:rPr>
          <w:rFonts w:cs="Arial"/>
        </w:rPr>
      </w:pPr>
      <w:r w:rsidRPr="00D6707C">
        <w:rPr>
          <w:rFonts w:cs="Arial"/>
        </w:rPr>
        <w:t>DHS agrees that during the audit period adequate reporting capabilities were not available.</w:t>
      </w:r>
    </w:p>
    <w:p w:rsidR="00B602CD" w:rsidRPr="00D6707C" w:rsidRDefault="00B602CD" w:rsidP="00B602CD">
      <w:pPr>
        <w:tabs>
          <w:tab w:val="left" w:pos="720"/>
        </w:tabs>
        <w:spacing w:line="300" w:lineRule="auto"/>
        <w:ind w:left="504"/>
        <w:jc w:val="both"/>
        <w:rPr>
          <w:rFonts w:cs="Arial"/>
        </w:rPr>
      </w:pPr>
    </w:p>
    <w:p w:rsidR="00B602CD" w:rsidRPr="00D6707C" w:rsidRDefault="00B602CD" w:rsidP="00B602CD">
      <w:pPr>
        <w:tabs>
          <w:tab w:val="left" w:pos="720"/>
        </w:tabs>
        <w:spacing w:line="300" w:lineRule="auto"/>
        <w:ind w:left="504"/>
        <w:jc w:val="both"/>
        <w:rPr>
          <w:rFonts w:cs="Arial"/>
        </w:rPr>
      </w:pPr>
      <w:r w:rsidRPr="00D6707C">
        <w:rPr>
          <w:rFonts w:cs="Arial"/>
        </w:rPr>
        <w:t>In December 2013, DHS obtained access to the data warehouse via its query software to generate case management data reports.  DHS</w:t>
      </w:r>
      <w:r>
        <w:rPr>
          <w:rFonts w:cs="Arial"/>
        </w:rPr>
        <w:t xml:space="preserve"> indicated that it</w:t>
      </w:r>
      <w:r w:rsidRPr="00D6707C">
        <w:rPr>
          <w:rFonts w:cs="Arial"/>
        </w:rPr>
        <w:t xml:space="preserve"> is working with DTMB to develop standardized reports to assist in managing and monitoring the Home Help Program at DHS central and county/district offices. </w:t>
      </w:r>
    </w:p>
    <w:p w:rsidR="00B602CD" w:rsidRPr="00D6707C" w:rsidRDefault="00B602CD" w:rsidP="00B602CD">
      <w:pPr>
        <w:tabs>
          <w:tab w:val="left" w:pos="720"/>
        </w:tabs>
        <w:spacing w:line="300" w:lineRule="auto"/>
        <w:ind w:left="504"/>
        <w:jc w:val="both"/>
        <w:rPr>
          <w:rFonts w:cs="Arial"/>
        </w:rPr>
      </w:pPr>
    </w:p>
    <w:p w:rsidR="00B602CD" w:rsidRPr="00D6707C" w:rsidRDefault="00B602CD" w:rsidP="00B602CD">
      <w:pPr>
        <w:tabs>
          <w:tab w:val="left" w:pos="720"/>
        </w:tabs>
        <w:spacing w:line="300" w:lineRule="auto"/>
        <w:ind w:left="504"/>
        <w:jc w:val="both"/>
        <w:rPr>
          <w:rFonts w:cs="Arial"/>
        </w:rPr>
      </w:pPr>
      <w:r w:rsidRPr="00D6707C">
        <w:rPr>
          <w:rFonts w:cs="Arial"/>
        </w:rPr>
        <w:t>DCH and DHS in partnership with DTMB are pursuing an enhancement to, or the replacement of, the home help case management system and will explore the possibility of adding more robust and flexible reporting capabilities.</w:t>
      </w:r>
    </w:p>
    <w:p w:rsidR="00B602CD" w:rsidRDefault="00B602CD" w:rsidP="00B602CD">
      <w:pPr>
        <w:tabs>
          <w:tab w:val="left" w:pos="720"/>
        </w:tabs>
        <w:spacing w:line="300" w:lineRule="auto"/>
        <w:ind w:left="504"/>
        <w:jc w:val="both"/>
        <w:rPr>
          <w:rFonts w:cs="Arial"/>
        </w:rPr>
      </w:pPr>
    </w:p>
    <w:p w:rsidR="00B602CD" w:rsidRPr="006A2478" w:rsidRDefault="00B602CD" w:rsidP="00B602CD">
      <w:pPr>
        <w:spacing w:line="300" w:lineRule="auto"/>
        <w:rPr>
          <w:sz w:val="10"/>
          <w:szCs w:val="10"/>
        </w:rPr>
      </w:pPr>
      <w:bookmarkStart w:id="25" w:name="_GoBack"/>
      <w:bookmarkEnd w:id="25"/>
    </w:p>
    <w:sectPr w:rsidR="00B602CD" w:rsidRPr="006A2478" w:rsidSect="00F84A56">
      <w:footerReference w:type="default" r:id="rId11"/>
      <w:pgSz w:w="12240" w:h="15840" w:code="1"/>
      <w:pgMar w:top="1440" w:right="1440" w:bottom="72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4F" w:rsidRDefault="0014364F">
      <w:r>
        <w:separator/>
      </w:r>
    </w:p>
  </w:endnote>
  <w:endnote w:type="continuationSeparator" w:id="0">
    <w:p w:rsidR="0014364F" w:rsidRDefault="0014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4F" w:rsidRDefault="00143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64F" w:rsidRDefault="001436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4F" w:rsidRDefault="0014364F">
    <w:pPr>
      <w:pStyle w:val="Footer"/>
      <w:ind w:right="360"/>
      <w:rPr>
        <w:rFonts w:cs="Arial"/>
      </w:rPr>
    </w:pPr>
  </w:p>
  <w:p w:rsidR="0014364F" w:rsidRDefault="0014364F">
    <w:pPr>
      <w:pStyle w:val="Footer"/>
      <w:jc w:val="center"/>
      <w:rPr>
        <w:rFonts w:cs="Arial"/>
      </w:rPr>
    </w:pPr>
  </w:p>
  <w:p w:rsidR="0014364F" w:rsidRDefault="0014364F">
    <w:pPr>
      <w:pStyle w:val="Foo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4F" w:rsidRDefault="0014364F">
    <w:pPr>
      <w:pStyle w:val="Footer"/>
      <w:ind w:right="360"/>
      <w:rPr>
        <w:rFonts w:cs="Arial"/>
      </w:rPr>
    </w:pPr>
  </w:p>
  <w:p w:rsidR="0014364F" w:rsidRDefault="0014364F">
    <w:pPr>
      <w:pStyle w:val="Footer"/>
      <w:jc w:val="center"/>
      <w:rPr>
        <w:rStyle w:val="PageNumber"/>
        <w:rFonts w:cs="Arial"/>
      </w:rPr>
    </w:pPr>
  </w:p>
  <w:p w:rsidR="0014364F" w:rsidRDefault="0014364F">
    <w:pPr>
      <w:pStyle w:val="Footer"/>
      <w:jc w:val="center"/>
      <w:rPr>
        <w:rFonts w:cs="Arial"/>
      </w:rPr>
    </w:pPr>
  </w:p>
  <w:p w:rsidR="0014364F" w:rsidRDefault="0014364F">
    <w:pPr>
      <w:pStyle w:val="Footer"/>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4F" w:rsidRDefault="0014364F">
      <w:r>
        <w:separator/>
      </w:r>
    </w:p>
  </w:footnote>
  <w:footnote w:type="continuationSeparator" w:id="0">
    <w:p w:rsidR="0014364F" w:rsidRDefault="00143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ACE9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6CF3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3071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90A87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2434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FDE95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843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46E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A2A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44AE1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434F5"/>
    <w:multiLevelType w:val="hybridMultilevel"/>
    <w:tmpl w:val="97D6614A"/>
    <w:lvl w:ilvl="0" w:tplc="E0D630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2974A4"/>
    <w:multiLevelType w:val="hybridMultilevel"/>
    <w:tmpl w:val="75E2BBD2"/>
    <w:lvl w:ilvl="0" w:tplc="D6D420C0">
      <w:start w:val="1"/>
      <w:numFmt w:val="decimal"/>
      <w:pStyle w:val="A4-Finding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FC2001"/>
    <w:multiLevelType w:val="hybridMultilevel"/>
    <w:tmpl w:val="94CCC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64698"/>
    <w:multiLevelType w:val="hybridMultilevel"/>
    <w:tmpl w:val="E07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37A17"/>
    <w:multiLevelType w:val="hybridMultilevel"/>
    <w:tmpl w:val="C56C4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0437A"/>
    <w:multiLevelType w:val="hybridMultilevel"/>
    <w:tmpl w:val="579A284C"/>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34915093"/>
    <w:multiLevelType w:val="hybridMultilevel"/>
    <w:tmpl w:val="39247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240E4"/>
    <w:multiLevelType w:val="hybridMultilevel"/>
    <w:tmpl w:val="5B6A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A11A9"/>
    <w:multiLevelType w:val="hybridMultilevel"/>
    <w:tmpl w:val="A50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5030"/>
    <w:multiLevelType w:val="hybridMultilevel"/>
    <w:tmpl w:val="495A869C"/>
    <w:lvl w:ilvl="0" w:tplc="B952337E">
      <w:start w:val="1"/>
      <w:numFmt w:val="low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51B1B"/>
    <w:multiLevelType w:val="hybridMultilevel"/>
    <w:tmpl w:val="3808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816890"/>
    <w:multiLevelType w:val="hybridMultilevel"/>
    <w:tmpl w:val="AA6EA9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F741DB4"/>
    <w:multiLevelType w:val="hybridMultilevel"/>
    <w:tmpl w:val="6D50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A00B7"/>
    <w:multiLevelType w:val="hybridMultilevel"/>
    <w:tmpl w:val="B7D2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C6D88"/>
    <w:multiLevelType w:val="hybridMultilevel"/>
    <w:tmpl w:val="1ECCF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231A7"/>
    <w:multiLevelType w:val="hybridMultilevel"/>
    <w:tmpl w:val="18200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65927"/>
    <w:multiLevelType w:val="hybridMultilevel"/>
    <w:tmpl w:val="444C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65804"/>
    <w:multiLevelType w:val="hybridMultilevel"/>
    <w:tmpl w:val="B8F28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4"/>
  </w:num>
  <w:num w:numId="14">
    <w:abstractNumId w:val="19"/>
  </w:num>
  <w:num w:numId="15">
    <w:abstractNumId w:val="16"/>
  </w:num>
  <w:num w:numId="16">
    <w:abstractNumId w:val="23"/>
  </w:num>
  <w:num w:numId="17">
    <w:abstractNumId w:val="10"/>
  </w:num>
  <w:num w:numId="18">
    <w:abstractNumId w:val="14"/>
  </w:num>
  <w:num w:numId="19">
    <w:abstractNumId w:val="12"/>
  </w:num>
  <w:num w:numId="20">
    <w:abstractNumId w:val="25"/>
  </w:num>
  <w:num w:numId="21">
    <w:abstractNumId w:val="15"/>
  </w:num>
  <w:num w:numId="22">
    <w:abstractNumId w:val="27"/>
  </w:num>
  <w:num w:numId="23">
    <w:abstractNumId w:val="17"/>
  </w:num>
  <w:num w:numId="24">
    <w:abstractNumId w:val="21"/>
  </w:num>
  <w:num w:numId="25">
    <w:abstractNumId w:val="22"/>
  </w:num>
  <w:num w:numId="26">
    <w:abstractNumId w:val="20"/>
  </w:num>
  <w:num w:numId="27">
    <w:abstractNumId w:val="26"/>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00"/>
  <w:drawingGridVerticalSpacing w:val="65"/>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AC"/>
    <w:rsid w:val="00015447"/>
    <w:rsid w:val="00016D79"/>
    <w:rsid w:val="00027935"/>
    <w:rsid w:val="00052AA9"/>
    <w:rsid w:val="00061F40"/>
    <w:rsid w:val="00070387"/>
    <w:rsid w:val="0007215F"/>
    <w:rsid w:val="000723C3"/>
    <w:rsid w:val="00090DEE"/>
    <w:rsid w:val="000A1E23"/>
    <w:rsid w:val="000A3908"/>
    <w:rsid w:val="000A76CB"/>
    <w:rsid w:val="000B1DAE"/>
    <w:rsid w:val="000B22AC"/>
    <w:rsid w:val="000B61B0"/>
    <w:rsid w:val="000C2D7F"/>
    <w:rsid w:val="000C44A4"/>
    <w:rsid w:val="000C726D"/>
    <w:rsid w:val="000D37C1"/>
    <w:rsid w:val="000E7789"/>
    <w:rsid w:val="00103A2A"/>
    <w:rsid w:val="00105E45"/>
    <w:rsid w:val="00106E4A"/>
    <w:rsid w:val="001109BF"/>
    <w:rsid w:val="0011618A"/>
    <w:rsid w:val="001247FC"/>
    <w:rsid w:val="00124AB5"/>
    <w:rsid w:val="00124B71"/>
    <w:rsid w:val="00130FC9"/>
    <w:rsid w:val="00136C88"/>
    <w:rsid w:val="001430F2"/>
    <w:rsid w:val="0014364F"/>
    <w:rsid w:val="00147135"/>
    <w:rsid w:val="00157AE3"/>
    <w:rsid w:val="001601B9"/>
    <w:rsid w:val="00161993"/>
    <w:rsid w:val="00162B46"/>
    <w:rsid w:val="00164F3B"/>
    <w:rsid w:val="001776BC"/>
    <w:rsid w:val="00180E03"/>
    <w:rsid w:val="00182EE4"/>
    <w:rsid w:val="00184D5B"/>
    <w:rsid w:val="00191C6E"/>
    <w:rsid w:val="001944D6"/>
    <w:rsid w:val="001A05F5"/>
    <w:rsid w:val="001B5672"/>
    <w:rsid w:val="001C3ABF"/>
    <w:rsid w:val="001C78D3"/>
    <w:rsid w:val="00200752"/>
    <w:rsid w:val="00232B31"/>
    <w:rsid w:val="00246A82"/>
    <w:rsid w:val="00262076"/>
    <w:rsid w:val="00267822"/>
    <w:rsid w:val="00273A2C"/>
    <w:rsid w:val="00277CCB"/>
    <w:rsid w:val="00280FB0"/>
    <w:rsid w:val="00282DC6"/>
    <w:rsid w:val="00287A8D"/>
    <w:rsid w:val="00287EBC"/>
    <w:rsid w:val="00295ADD"/>
    <w:rsid w:val="0029663A"/>
    <w:rsid w:val="00296B2E"/>
    <w:rsid w:val="00297673"/>
    <w:rsid w:val="002A4949"/>
    <w:rsid w:val="002A6A71"/>
    <w:rsid w:val="002A7730"/>
    <w:rsid w:val="002B20C5"/>
    <w:rsid w:val="002B698B"/>
    <w:rsid w:val="002B6F52"/>
    <w:rsid w:val="002C0655"/>
    <w:rsid w:val="002E0DFA"/>
    <w:rsid w:val="002E12AF"/>
    <w:rsid w:val="002F1CD7"/>
    <w:rsid w:val="002F27B2"/>
    <w:rsid w:val="002F2A5F"/>
    <w:rsid w:val="002F6C9C"/>
    <w:rsid w:val="00302507"/>
    <w:rsid w:val="003101A6"/>
    <w:rsid w:val="00310C97"/>
    <w:rsid w:val="003159D5"/>
    <w:rsid w:val="003270D7"/>
    <w:rsid w:val="003349EF"/>
    <w:rsid w:val="00337C7C"/>
    <w:rsid w:val="00342333"/>
    <w:rsid w:val="0034462D"/>
    <w:rsid w:val="00345ED1"/>
    <w:rsid w:val="003473A8"/>
    <w:rsid w:val="003558CE"/>
    <w:rsid w:val="00360B67"/>
    <w:rsid w:val="00365785"/>
    <w:rsid w:val="00366398"/>
    <w:rsid w:val="003675B3"/>
    <w:rsid w:val="00370ED4"/>
    <w:rsid w:val="003746BB"/>
    <w:rsid w:val="00376055"/>
    <w:rsid w:val="003809AA"/>
    <w:rsid w:val="00383D02"/>
    <w:rsid w:val="003853A9"/>
    <w:rsid w:val="00390402"/>
    <w:rsid w:val="0039184D"/>
    <w:rsid w:val="00393928"/>
    <w:rsid w:val="003939C9"/>
    <w:rsid w:val="003A1160"/>
    <w:rsid w:val="003A17BF"/>
    <w:rsid w:val="003A3182"/>
    <w:rsid w:val="003A7F58"/>
    <w:rsid w:val="003C231E"/>
    <w:rsid w:val="003C3372"/>
    <w:rsid w:val="003D13D4"/>
    <w:rsid w:val="003D6AA0"/>
    <w:rsid w:val="003E0D0A"/>
    <w:rsid w:val="00401AF7"/>
    <w:rsid w:val="00402239"/>
    <w:rsid w:val="004044FF"/>
    <w:rsid w:val="00413831"/>
    <w:rsid w:val="00413EB7"/>
    <w:rsid w:val="004236CB"/>
    <w:rsid w:val="00432D9D"/>
    <w:rsid w:val="00433848"/>
    <w:rsid w:val="00436E61"/>
    <w:rsid w:val="0044772B"/>
    <w:rsid w:val="004564C1"/>
    <w:rsid w:val="004628F8"/>
    <w:rsid w:val="00466ED7"/>
    <w:rsid w:val="0047344F"/>
    <w:rsid w:val="0047357D"/>
    <w:rsid w:val="00475AD8"/>
    <w:rsid w:val="00485BCC"/>
    <w:rsid w:val="0049781B"/>
    <w:rsid w:val="004A02D1"/>
    <w:rsid w:val="004A3631"/>
    <w:rsid w:val="004A7F3C"/>
    <w:rsid w:val="004B2D9C"/>
    <w:rsid w:val="004C1FE4"/>
    <w:rsid w:val="004C7957"/>
    <w:rsid w:val="004D2C88"/>
    <w:rsid w:val="004D560F"/>
    <w:rsid w:val="004E6A97"/>
    <w:rsid w:val="004F48B7"/>
    <w:rsid w:val="005001B7"/>
    <w:rsid w:val="0050119E"/>
    <w:rsid w:val="00522C46"/>
    <w:rsid w:val="0052430A"/>
    <w:rsid w:val="00527CCA"/>
    <w:rsid w:val="0054196B"/>
    <w:rsid w:val="00542006"/>
    <w:rsid w:val="0055275C"/>
    <w:rsid w:val="00560964"/>
    <w:rsid w:val="00561EE7"/>
    <w:rsid w:val="00566A85"/>
    <w:rsid w:val="00570A67"/>
    <w:rsid w:val="00576DDC"/>
    <w:rsid w:val="00577ECD"/>
    <w:rsid w:val="00580708"/>
    <w:rsid w:val="005841B2"/>
    <w:rsid w:val="00591604"/>
    <w:rsid w:val="00591B93"/>
    <w:rsid w:val="00592DCD"/>
    <w:rsid w:val="005A2E06"/>
    <w:rsid w:val="005A64B1"/>
    <w:rsid w:val="005E2D67"/>
    <w:rsid w:val="005F0616"/>
    <w:rsid w:val="005F5C43"/>
    <w:rsid w:val="005F6C31"/>
    <w:rsid w:val="005F7B65"/>
    <w:rsid w:val="0065331C"/>
    <w:rsid w:val="00662B13"/>
    <w:rsid w:val="00681889"/>
    <w:rsid w:val="00683D23"/>
    <w:rsid w:val="00685C39"/>
    <w:rsid w:val="00686376"/>
    <w:rsid w:val="00687A82"/>
    <w:rsid w:val="00693822"/>
    <w:rsid w:val="00694466"/>
    <w:rsid w:val="0069552A"/>
    <w:rsid w:val="006A2478"/>
    <w:rsid w:val="006A43A4"/>
    <w:rsid w:val="006A7AE3"/>
    <w:rsid w:val="006B40C9"/>
    <w:rsid w:val="006B43CF"/>
    <w:rsid w:val="006B4474"/>
    <w:rsid w:val="006C3174"/>
    <w:rsid w:val="006E6524"/>
    <w:rsid w:val="006F4D5B"/>
    <w:rsid w:val="007016AE"/>
    <w:rsid w:val="00703317"/>
    <w:rsid w:val="00703CEB"/>
    <w:rsid w:val="0071553D"/>
    <w:rsid w:val="00720FEF"/>
    <w:rsid w:val="0073025D"/>
    <w:rsid w:val="00730932"/>
    <w:rsid w:val="007312E7"/>
    <w:rsid w:val="00736303"/>
    <w:rsid w:val="00737A4C"/>
    <w:rsid w:val="007407CD"/>
    <w:rsid w:val="00746C1C"/>
    <w:rsid w:val="00747DB0"/>
    <w:rsid w:val="00747F70"/>
    <w:rsid w:val="007505CD"/>
    <w:rsid w:val="007508DF"/>
    <w:rsid w:val="00757AE1"/>
    <w:rsid w:val="00761880"/>
    <w:rsid w:val="00762D8A"/>
    <w:rsid w:val="007635B6"/>
    <w:rsid w:val="00766AA7"/>
    <w:rsid w:val="0077027B"/>
    <w:rsid w:val="00773ABB"/>
    <w:rsid w:val="00780CA6"/>
    <w:rsid w:val="00781E19"/>
    <w:rsid w:val="00790139"/>
    <w:rsid w:val="00791750"/>
    <w:rsid w:val="0079233E"/>
    <w:rsid w:val="00795E70"/>
    <w:rsid w:val="007A1B90"/>
    <w:rsid w:val="007A3883"/>
    <w:rsid w:val="007A6286"/>
    <w:rsid w:val="007A7D31"/>
    <w:rsid w:val="007B3000"/>
    <w:rsid w:val="007B48F3"/>
    <w:rsid w:val="007B5C98"/>
    <w:rsid w:val="007C44DD"/>
    <w:rsid w:val="007D1E34"/>
    <w:rsid w:val="007D217E"/>
    <w:rsid w:val="007D4DCA"/>
    <w:rsid w:val="007D6B02"/>
    <w:rsid w:val="007E2E9E"/>
    <w:rsid w:val="007F09BF"/>
    <w:rsid w:val="007F1A37"/>
    <w:rsid w:val="008004FE"/>
    <w:rsid w:val="00800827"/>
    <w:rsid w:val="00801729"/>
    <w:rsid w:val="00812401"/>
    <w:rsid w:val="008141E7"/>
    <w:rsid w:val="008167AB"/>
    <w:rsid w:val="00820207"/>
    <w:rsid w:val="00825490"/>
    <w:rsid w:val="0084388F"/>
    <w:rsid w:val="0084480E"/>
    <w:rsid w:val="008634C0"/>
    <w:rsid w:val="00865529"/>
    <w:rsid w:val="008679A6"/>
    <w:rsid w:val="008759FD"/>
    <w:rsid w:val="00887886"/>
    <w:rsid w:val="00891366"/>
    <w:rsid w:val="00893F75"/>
    <w:rsid w:val="008A4B80"/>
    <w:rsid w:val="008A7092"/>
    <w:rsid w:val="008B0253"/>
    <w:rsid w:val="008B2479"/>
    <w:rsid w:val="008B2FC6"/>
    <w:rsid w:val="008B4F0F"/>
    <w:rsid w:val="008C43CC"/>
    <w:rsid w:val="008C5425"/>
    <w:rsid w:val="008C6F3B"/>
    <w:rsid w:val="008C74C9"/>
    <w:rsid w:val="008D168E"/>
    <w:rsid w:val="008D29DF"/>
    <w:rsid w:val="008D4EF1"/>
    <w:rsid w:val="008E67AE"/>
    <w:rsid w:val="008F1C61"/>
    <w:rsid w:val="009079B1"/>
    <w:rsid w:val="00913468"/>
    <w:rsid w:val="00917590"/>
    <w:rsid w:val="00922901"/>
    <w:rsid w:val="0093445C"/>
    <w:rsid w:val="009426CD"/>
    <w:rsid w:val="00956BBC"/>
    <w:rsid w:val="009665F6"/>
    <w:rsid w:val="00974164"/>
    <w:rsid w:val="0097689D"/>
    <w:rsid w:val="00980099"/>
    <w:rsid w:val="009812BD"/>
    <w:rsid w:val="0098587F"/>
    <w:rsid w:val="00991305"/>
    <w:rsid w:val="009942D9"/>
    <w:rsid w:val="00995C99"/>
    <w:rsid w:val="009B7A0A"/>
    <w:rsid w:val="009C39A0"/>
    <w:rsid w:val="009C7225"/>
    <w:rsid w:val="009E4712"/>
    <w:rsid w:val="009E6B83"/>
    <w:rsid w:val="009F17B4"/>
    <w:rsid w:val="009F62E7"/>
    <w:rsid w:val="00A026FF"/>
    <w:rsid w:val="00A0632B"/>
    <w:rsid w:val="00A070C8"/>
    <w:rsid w:val="00A11E4F"/>
    <w:rsid w:val="00A128F2"/>
    <w:rsid w:val="00A240C1"/>
    <w:rsid w:val="00A30CCB"/>
    <w:rsid w:val="00A30E51"/>
    <w:rsid w:val="00A37210"/>
    <w:rsid w:val="00A51845"/>
    <w:rsid w:val="00A525D6"/>
    <w:rsid w:val="00A60FBA"/>
    <w:rsid w:val="00A61231"/>
    <w:rsid w:val="00A61EDE"/>
    <w:rsid w:val="00A707F8"/>
    <w:rsid w:val="00A71F67"/>
    <w:rsid w:val="00A75B91"/>
    <w:rsid w:val="00A85436"/>
    <w:rsid w:val="00AA08CB"/>
    <w:rsid w:val="00AA0D3B"/>
    <w:rsid w:val="00AB3F37"/>
    <w:rsid w:val="00AC2304"/>
    <w:rsid w:val="00AC2F7E"/>
    <w:rsid w:val="00AD522B"/>
    <w:rsid w:val="00AE3121"/>
    <w:rsid w:val="00AE79CA"/>
    <w:rsid w:val="00AF66C2"/>
    <w:rsid w:val="00B12F11"/>
    <w:rsid w:val="00B15F12"/>
    <w:rsid w:val="00B21A79"/>
    <w:rsid w:val="00B2347E"/>
    <w:rsid w:val="00B240CD"/>
    <w:rsid w:val="00B25879"/>
    <w:rsid w:val="00B258B0"/>
    <w:rsid w:val="00B25A9E"/>
    <w:rsid w:val="00B266E8"/>
    <w:rsid w:val="00B3677B"/>
    <w:rsid w:val="00B37349"/>
    <w:rsid w:val="00B602CD"/>
    <w:rsid w:val="00B60A21"/>
    <w:rsid w:val="00B62440"/>
    <w:rsid w:val="00B62A47"/>
    <w:rsid w:val="00B64353"/>
    <w:rsid w:val="00B76D3B"/>
    <w:rsid w:val="00B819BE"/>
    <w:rsid w:val="00B82C7E"/>
    <w:rsid w:val="00B86987"/>
    <w:rsid w:val="00B926D1"/>
    <w:rsid w:val="00B9665D"/>
    <w:rsid w:val="00BA0963"/>
    <w:rsid w:val="00BA1148"/>
    <w:rsid w:val="00BA69BC"/>
    <w:rsid w:val="00BB521D"/>
    <w:rsid w:val="00BB63FE"/>
    <w:rsid w:val="00BD278F"/>
    <w:rsid w:val="00BD709D"/>
    <w:rsid w:val="00BE1D16"/>
    <w:rsid w:val="00BE3D9D"/>
    <w:rsid w:val="00BE49E2"/>
    <w:rsid w:val="00BF4CBD"/>
    <w:rsid w:val="00C10D1C"/>
    <w:rsid w:val="00C145ED"/>
    <w:rsid w:val="00C159BF"/>
    <w:rsid w:val="00C15CC5"/>
    <w:rsid w:val="00C1798F"/>
    <w:rsid w:val="00C24ADE"/>
    <w:rsid w:val="00C43A1A"/>
    <w:rsid w:val="00C52CD1"/>
    <w:rsid w:val="00C53E19"/>
    <w:rsid w:val="00C553F6"/>
    <w:rsid w:val="00C60D8A"/>
    <w:rsid w:val="00C72251"/>
    <w:rsid w:val="00C81769"/>
    <w:rsid w:val="00C84931"/>
    <w:rsid w:val="00C87A26"/>
    <w:rsid w:val="00C90F70"/>
    <w:rsid w:val="00C93645"/>
    <w:rsid w:val="00CC1744"/>
    <w:rsid w:val="00CC48A3"/>
    <w:rsid w:val="00CC49D7"/>
    <w:rsid w:val="00CC4C9C"/>
    <w:rsid w:val="00CC4E5F"/>
    <w:rsid w:val="00CC64DF"/>
    <w:rsid w:val="00CD27E5"/>
    <w:rsid w:val="00CD2B32"/>
    <w:rsid w:val="00CD2D7A"/>
    <w:rsid w:val="00CE34EB"/>
    <w:rsid w:val="00CE634E"/>
    <w:rsid w:val="00CE6C95"/>
    <w:rsid w:val="00CE715A"/>
    <w:rsid w:val="00D00611"/>
    <w:rsid w:val="00D0291D"/>
    <w:rsid w:val="00D03267"/>
    <w:rsid w:val="00D076AD"/>
    <w:rsid w:val="00D11DC6"/>
    <w:rsid w:val="00D161F3"/>
    <w:rsid w:val="00D21083"/>
    <w:rsid w:val="00D213C4"/>
    <w:rsid w:val="00D23B19"/>
    <w:rsid w:val="00D2428F"/>
    <w:rsid w:val="00D3096B"/>
    <w:rsid w:val="00D3598F"/>
    <w:rsid w:val="00D42CA3"/>
    <w:rsid w:val="00D45983"/>
    <w:rsid w:val="00D46783"/>
    <w:rsid w:val="00D50B37"/>
    <w:rsid w:val="00D50CA3"/>
    <w:rsid w:val="00D5131B"/>
    <w:rsid w:val="00D637E8"/>
    <w:rsid w:val="00D661F7"/>
    <w:rsid w:val="00D71397"/>
    <w:rsid w:val="00D74D9C"/>
    <w:rsid w:val="00D751A6"/>
    <w:rsid w:val="00D97568"/>
    <w:rsid w:val="00DA646C"/>
    <w:rsid w:val="00DC0406"/>
    <w:rsid w:val="00DC745E"/>
    <w:rsid w:val="00DD12C4"/>
    <w:rsid w:val="00DD4B60"/>
    <w:rsid w:val="00DD79E6"/>
    <w:rsid w:val="00DE1B4B"/>
    <w:rsid w:val="00DE2A27"/>
    <w:rsid w:val="00DE64D3"/>
    <w:rsid w:val="00DE6C9A"/>
    <w:rsid w:val="00DE7C7C"/>
    <w:rsid w:val="00DF1ED3"/>
    <w:rsid w:val="00DF51E0"/>
    <w:rsid w:val="00DF58F6"/>
    <w:rsid w:val="00E07C29"/>
    <w:rsid w:val="00E14647"/>
    <w:rsid w:val="00E2475D"/>
    <w:rsid w:val="00E27FC5"/>
    <w:rsid w:val="00E517DE"/>
    <w:rsid w:val="00E5511B"/>
    <w:rsid w:val="00E553BC"/>
    <w:rsid w:val="00E55F36"/>
    <w:rsid w:val="00E6466B"/>
    <w:rsid w:val="00E65435"/>
    <w:rsid w:val="00E66FBB"/>
    <w:rsid w:val="00E907F0"/>
    <w:rsid w:val="00EA0466"/>
    <w:rsid w:val="00EA11D3"/>
    <w:rsid w:val="00EA7E57"/>
    <w:rsid w:val="00EC193A"/>
    <w:rsid w:val="00EC64C6"/>
    <w:rsid w:val="00ED622F"/>
    <w:rsid w:val="00ED7639"/>
    <w:rsid w:val="00EE4B54"/>
    <w:rsid w:val="00EE5E43"/>
    <w:rsid w:val="00EF059A"/>
    <w:rsid w:val="00EF141B"/>
    <w:rsid w:val="00EF1AEA"/>
    <w:rsid w:val="00EF736C"/>
    <w:rsid w:val="00F0309A"/>
    <w:rsid w:val="00F0526D"/>
    <w:rsid w:val="00F14B5A"/>
    <w:rsid w:val="00F26775"/>
    <w:rsid w:val="00F305E9"/>
    <w:rsid w:val="00F430BD"/>
    <w:rsid w:val="00F45530"/>
    <w:rsid w:val="00F47EB9"/>
    <w:rsid w:val="00F55887"/>
    <w:rsid w:val="00F614EA"/>
    <w:rsid w:val="00F628C9"/>
    <w:rsid w:val="00F65787"/>
    <w:rsid w:val="00F675C1"/>
    <w:rsid w:val="00F756EC"/>
    <w:rsid w:val="00F75E5D"/>
    <w:rsid w:val="00F820EF"/>
    <w:rsid w:val="00F83C22"/>
    <w:rsid w:val="00F83E69"/>
    <w:rsid w:val="00F84A56"/>
    <w:rsid w:val="00F852B7"/>
    <w:rsid w:val="00FA2731"/>
    <w:rsid w:val="00FB0728"/>
    <w:rsid w:val="00FB1CBD"/>
    <w:rsid w:val="00FD205F"/>
    <w:rsid w:val="00FE2032"/>
    <w:rsid w:val="00FF5C0D"/>
    <w:rsid w:val="00FF6033"/>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1"/>
    <w:lsdException w:name="toc 2" w:uiPriority="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D97568"/>
    <w:pPr>
      <w:overflowPunct w:val="0"/>
      <w:autoSpaceDE w:val="0"/>
      <w:autoSpaceDN w:val="0"/>
      <w:adjustRightInd w:val="0"/>
      <w:textAlignment w:val="baseline"/>
    </w:pPr>
  </w:style>
  <w:style w:type="paragraph" w:styleId="Heading1">
    <w:name w:val="heading 1"/>
    <w:basedOn w:val="Normal"/>
    <w:next w:val="Normal"/>
    <w:rsid w:val="00D50B37"/>
    <w:pPr>
      <w:keepNext/>
      <w:tabs>
        <w:tab w:val="left" w:pos="274"/>
        <w:tab w:val="left" w:pos="778"/>
        <w:tab w:val="left" w:pos="1282"/>
        <w:tab w:val="left" w:pos="8712"/>
      </w:tabs>
      <w:spacing w:line="360" w:lineRule="auto"/>
      <w:jc w:val="center"/>
      <w:outlineLvl w:val="0"/>
    </w:pPr>
    <w:rPr>
      <w:rFonts w:cs="Arial"/>
      <w:b/>
      <w:u w:val="single"/>
    </w:rPr>
  </w:style>
  <w:style w:type="paragraph" w:styleId="Heading2">
    <w:name w:val="heading 2"/>
    <w:basedOn w:val="Normal"/>
    <w:next w:val="Normal"/>
    <w:rsid w:val="00D50B37"/>
    <w:pPr>
      <w:keepNext/>
      <w:tabs>
        <w:tab w:val="left" w:pos="274"/>
        <w:tab w:val="left" w:pos="778"/>
        <w:tab w:val="left" w:pos="1282"/>
        <w:tab w:val="left" w:pos="8712"/>
      </w:tabs>
      <w:spacing w:line="300" w:lineRule="auto"/>
      <w:jc w:val="center"/>
      <w:outlineLvl w:val="1"/>
    </w:pPr>
    <w:rPr>
      <w:rFonts w:ascii="Arial Narrow" w:hAnsi="Arial Narrow" w:cs="Arial"/>
      <w:b/>
    </w:rPr>
  </w:style>
  <w:style w:type="paragraph" w:styleId="Heading3">
    <w:name w:val="heading 3"/>
    <w:basedOn w:val="Normal"/>
    <w:next w:val="Normal"/>
    <w:link w:val="Heading3Char"/>
    <w:rsid w:val="00D50B37"/>
    <w:pPr>
      <w:keepNext/>
      <w:keepLines/>
      <w:spacing w:line="360" w:lineRule="auto"/>
      <w:jc w:val="center"/>
      <w:outlineLvl w:val="2"/>
    </w:pPr>
    <w:rPr>
      <w:rFonts w:eastAsiaTheme="majorEastAsia" w:cstheme="majorBidi"/>
      <w:bCs/>
      <w:sz w:val="40"/>
    </w:rPr>
  </w:style>
  <w:style w:type="paragraph" w:styleId="Heading4">
    <w:name w:val="heading 4"/>
    <w:basedOn w:val="Normal"/>
    <w:next w:val="Normal"/>
    <w:link w:val="Heading4Char"/>
    <w:rsid w:val="008A4B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A4B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A4B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A4B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A4B8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A4B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6CD"/>
    <w:pPr>
      <w:tabs>
        <w:tab w:val="center" w:pos="4320"/>
        <w:tab w:val="right" w:pos="8640"/>
      </w:tabs>
    </w:pPr>
  </w:style>
  <w:style w:type="paragraph" w:styleId="Footer">
    <w:name w:val="footer"/>
    <w:basedOn w:val="Normal"/>
    <w:rsid w:val="009426CD"/>
    <w:pPr>
      <w:tabs>
        <w:tab w:val="center" w:pos="4320"/>
        <w:tab w:val="right" w:pos="8640"/>
      </w:tabs>
    </w:pPr>
  </w:style>
  <w:style w:type="character" w:styleId="PageNumber">
    <w:name w:val="page number"/>
    <w:basedOn w:val="DefaultParagraphFont"/>
    <w:rsid w:val="009426CD"/>
  </w:style>
  <w:style w:type="paragraph" w:styleId="Title">
    <w:name w:val="Title"/>
    <w:basedOn w:val="Normal"/>
    <w:link w:val="TitleChar"/>
    <w:rsid w:val="009426CD"/>
    <w:pPr>
      <w:spacing w:line="360" w:lineRule="auto"/>
      <w:jc w:val="center"/>
    </w:pPr>
    <w:rPr>
      <w:b/>
      <w:u w:val="single"/>
    </w:rPr>
  </w:style>
  <w:style w:type="character" w:customStyle="1" w:styleId="TitleChar">
    <w:name w:val="Title Char"/>
    <w:basedOn w:val="DefaultParagraphFont"/>
    <w:link w:val="Title"/>
    <w:rsid w:val="008141E7"/>
    <w:rPr>
      <w:rFonts w:ascii="Arial" w:hAnsi="Arial"/>
      <w:b/>
      <w:sz w:val="24"/>
      <w:u w:val="single"/>
    </w:rPr>
  </w:style>
  <w:style w:type="character" w:styleId="LineNumber">
    <w:name w:val="line number"/>
    <w:basedOn w:val="DefaultParagraphFont"/>
    <w:rsid w:val="007F1A37"/>
  </w:style>
  <w:style w:type="paragraph" w:styleId="BalloonText">
    <w:name w:val="Balloon Text"/>
    <w:basedOn w:val="Normal"/>
    <w:link w:val="BalloonTextChar"/>
    <w:rsid w:val="008A4B80"/>
    <w:rPr>
      <w:rFonts w:ascii="Tahoma" w:hAnsi="Tahoma" w:cs="Tahoma"/>
      <w:sz w:val="16"/>
      <w:szCs w:val="16"/>
    </w:rPr>
  </w:style>
  <w:style w:type="character" w:customStyle="1" w:styleId="BalloonTextChar">
    <w:name w:val="Balloon Text Char"/>
    <w:basedOn w:val="DefaultParagraphFont"/>
    <w:link w:val="BalloonText"/>
    <w:rsid w:val="008A4B80"/>
    <w:rPr>
      <w:rFonts w:ascii="Tahoma" w:hAnsi="Tahoma" w:cs="Tahoma"/>
      <w:sz w:val="16"/>
      <w:szCs w:val="16"/>
    </w:rPr>
  </w:style>
  <w:style w:type="paragraph" w:styleId="Bibliography">
    <w:name w:val="Bibliography"/>
    <w:basedOn w:val="Normal"/>
    <w:next w:val="Normal"/>
    <w:uiPriority w:val="37"/>
    <w:semiHidden/>
    <w:unhideWhenUsed/>
    <w:rsid w:val="008A4B80"/>
  </w:style>
  <w:style w:type="paragraph" w:styleId="BlockText">
    <w:name w:val="Block Text"/>
    <w:basedOn w:val="Normal"/>
    <w:rsid w:val="008A4B8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A4B80"/>
    <w:pPr>
      <w:spacing w:after="120"/>
    </w:pPr>
  </w:style>
  <w:style w:type="character" w:customStyle="1" w:styleId="BodyTextChar">
    <w:name w:val="Body Text Char"/>
    <w:basedOn w:val="DefaultParagraphFont"/>
    <w:link w:val="BodyText"/>
    <w:rsid w:val="008A4B80"/>
  </w:style>
  <w:style w:type="paragraph" w:styleId="BodyText2">
    <w:name w:val="Body Text 2"/>
    <w:basedOn w:val="Normal"/>
    <w:link w:val="BodyText2Char"/>
    <w:rsid w:val="008A4B80"/>
    <w:pPr>
      <w:spacing w:after="120" w:line="480" w:lineRule="auto"/>
    </w:pPr>
  </w:style>
  <w:style w:type="character" w:customStyle="1" w:styleId="BodyText2Char">
    <w:name w:val="Body Text 2 Char"/>
    <w:basedOn w:val="DefaultParagraphFont"/>
    <w:link w:val="BodyText2"/>
    <w:rsid w:val="008A4B80"/>
  </w:style>
  <w:style w:type="paragraph" w:styleId="BodyText3">
    <w:name w:val="Body Text 3"/>
    <w:basedOn w:val="Normal"/>
    <w:link w:val="BodyText3Char"/>
    <w:rsid w:val="008A4B80"/>
    <w:pPr>
      <w:spacing w:after="120"/>
    </w:pPr>
    <w:rPr>
      <w:sz w:val="16"/>
      <w:szCs w:val="16"/>
    </w:rPr>
  </w:style>
  <w:style w:type="character" w:customStyle="1" w:styleId="BodyText3Char">
    <w:name w:val="Body Text 3 Char"/>
    <w:basedOn w:val="DefaultParagraphFont"/>
    <w:link w:val="BodyText3"/>
    <w:rsid w:val="008A4B80"/>
    <w:rPr>
      <w:sz w:val="16"/>
      <w:szCs w:val="16"/>
    </w:rPr>
  </w:style>
  <w:style w:type="paragraph" w:styleId="BodyTextFirstIndent">
    <w:name w:val="Body Text First Indent"/>
    <w:basedOn w:val="BodyText"/>
    <w:link w:val="BodyTextFirstIndentChar"/>
    <w:rsid w:val="008A4B80"/>
    <w:pPr>
      <w:spacing w:after="0"/>
      <w:ind w:firstLine="360"/>
    </w:pPr>
  </w:style>
  <w:style w:type="character" w:customStyle="1" w:styleId="BodyTextFirstIndentChar">
    <w:name w:val="Body Text First Indent Char"/>
    <w:basedOn w:val="BodyTextChar"/>
    <w:link w:val="BodyTextFirstIndent"/>
    <w:rsid w:val="008A4B80"/>
  </w:style>
  <w:style w:type="paragraph" w:styleId="BodyTextIndent">
    <w:name w:val="Body Text Indent"/>
    <w:basedOn w:val="Normal"/>
    <w:link w:val="BodyTextIndentChar"/>
    <w:rsid w:val="008A4B80"/>
    <w:pPr>
      <w:spacing w:after="120"/>
      <w:ind w:left="360"/>
    </w:pPr>
  </w:style>
  <w:style w:type="character" w:customStyle="1" w:styleId="BodyTextIndentChar">
    <w:name w:val="Body Text Indent Char"/>
    <w:basedOn w:val="DefaultParagraphFont"/>
    <w:link w:val="BodyTextIndent"/>
    <w:rsid w:val="008A4B80"/>
  </w:style>
  <w:style w:type="paragraph" w:styleId="BodyTextFirstIndent2">
    <w:name w:val="Body Text First Indent 2"/>
    <w:basedOn w:val="BodyTextIndent"/>
    <w:link w:val="BodyTextFirstIndent2Char"/>
    <w:rsid w:val="008A4B80"/>
    <w:pPr>
      <w:spacing w:after="0"/>
      <w:ind w:firstLine="360"/>
    </w:pPr>
  </w:style>
  <w:style w:type="character" w:customStyle="1" w:styleId="BodyTextFirstIndent2Char">
    <w:name w:val="Body Text First Indent 2 Char"/>
    <w:basedOn w:val="BodyTextIndentChar"/>
    <w:link w:val="BodyTextFirstIndent2"/>
    <w:rsid w:val="008A4B80"/>
  </w:style>
  <w:style w:type="paragraph" w:styleId="BodyTextIndent2">
    <w:name w:val="Body Text Indent 2"/>
    <w:basedOn w:val="Normal"/>
    <w:link w:val="BodyTextIndent2Char"/>
    <w:rsid w:val="008A4B80"/>
    <w:pPr>
      <w:spacing w:after="120" w:line="480" w:lineRule="auto"/>
      <w:ind w:left="360"/>
    </w:pPr>
  </w:style>
  <w:style w:type="character" w:customStyle="1" w:styleId="BodyTextIndent2Char">
    <w:name w:val="Body Text Indent 2 Char"/>
    <w:basedOn w:val="DefaultParagraphFont"/>
    <w:link w:val="BodyTextIndent2"/>
    <w:rsid w:val="008A4B80"/>
  </w:style>
  <w:style w:type="paragraph" w:styleId="BodyTextIndent3">
    <w:name w:val="Body Text Indent 3"/>
    <w:basedOn w:val="Normal"/>
    <w:link w:val="BodyTextIndent3Char"/>
    <w:rsid w:val="008A4B80"/>
    <w:pPr>
      <w:spacing w:after="120"/>
      <w:ind w:left="360"/>
    </w:pPr>
    <w:rPr>
      <w:sz w:val="16"/>
      <w:szCs w:val="16"/>
    </w:rPr>
  </w:style>
  <w:style w:type="character" w:customStyle="1" w:styleId="BodyTextIndent3Char">
    <w:name w:val="Body Text Indent 3 Char"/>
    <w:basedOn w:val="DefaultParagraphFont"/>
    <w:link w:val="BodyTextIndent3"/>
    <w:rsid w:val="008A4B80"/>
    <w:rPr>
      <w:sz w:val="16"/>
      <w:szCs w:val="16"/>
    </w:rPr>
  </w:style>
  <w:style w:type="paragraph" w:styleId="Caption">
    <w:name w:val="caption"/>
    <w:basedOn w:val="Normal"/>
    <w:next w:val="Normal"/>
    <w:semiHidden/>
    <w:unhideWhenUsed/>
    <w:qFormat/>
    <w:rsid w:val="008A4B80"/>
    <w:pPr>
      <w:spacing w:after="200"/>
    </w:pPr>
    <w:rPr>
      <w:b/>
      <w:bCs/>
      <w:color w:val="4F81BD" w:themeColor="accent1"/>
      <w:sz w:val="18"/>
      <w:szCs w:val="18"/>
    </w:rPr>
  </w:style>
  <w:style w:type="paragraph" w:styleId="Closing">
    <w:name w:val="Closing"/>
    <w:basedOn w:val="Normal"/>
    <w:link w:val="ClosingChar"/>
    <w:rsid w:val="008A4B80"/>
    <w:pPr>
      <w:ind w:left="4320"/>
    </w:pPr>
  </w:style>
  <w:style w:type="character" w:customStyle="1" w:styleId="ClosingChar">
    <w:name w:val="Closing Char"/>
    <w:basedOn w:val="DefaultParagraphFont"/>
    <w:link w:val="Closing"/>
    <w:rsid w:val="008A4B80"/>
  </w:style>
  <w:style w:type="paragraph" w:styleId="CommentText">
    <w:name w:val="annotation text"/>
    <w:basedOn w:val="Normal"/>
    <w:link w:val="CommentTextChar"/>
    <w:rsid w:val="008A4B80"/>
  </w:style>
  <w:style w:type="character" w:customStyle="1" w:styleId="CommentTextChar">
    <w:name w:val="Comment Text Char"/>
    <w:basedOn w:val="DefaultParagraphFont"/>
    <w:link w:val="CommentText"/>
    <w:rsid w:val="008A4B80"/>
  </w:style>
  <w:style w:type="paragraph" w:styleId="CommentSubject">
    <w:name w:val="annotation subject"/>
    <w:basedOn w:val="CommentText"/>
    <w:next w:val="CommentText"/>
    <w:link w:val="CommentSubjectChar"/>
    <w:rsid w:val="008A4B80"/>
    <w:rPr>
      <w:b/>
      <w:bCs/>
    </w:rPr>
  </w:style>
  <w:style w:type="character" w:customStyle="1" w:styleId="CommentSubjectChar">
    <w:name w:val="Comment Subject Char"/>
    <w:basedOn w:val="CommentTextChar"/>
    <w:link w:val="CommentSubject"/>
    <w:rsid w:val="008A4B80"/>
    <w:rPr>
      <w:b/>
      <w:bCs/>
    </w:rPr>
  </w:style>
  <w:style w:type="paragraph" w:styleId="Date">
    <w:name w:val="Date"/>
    <w:basedOn w:val="Normal"/>
    <w:next w:val="Normal"/>
    <w:link w:val="DateChar"/>
    <w:rsid w:val="008A4B80"/>
  </w:style>
  <w:style w:type="character" w:customStyle="1" w:styleId="DateChar">
    <w:name w:val="Date Char"/>
    <w:basedOn w:val="DefaultParagraphFont"/>
    <w:link w:val="Date"/>
    <w:rsid w:val="008A4B80"/>
  </w:style>
  <w:style w:type="paragraph" w:styleId="DocumentMap">
    <w:name w:val="Document Map"/>
    <w:basedOn w:val="Normal"/>
    <w:link w:val="DocumentMapChar"/>
    <w:rsid w:val="008A4B80"/>
    <w:rPr>
      <w:rFonts w:ascii="Tahoma" w:hAnsi="Tahoma" w:cs="Tahoma"/>
      <w:sz w:val="16"/>
      <w:szCs w:val="16"/>
    </w:rPr>
  </w:style>
  <w:style w:type="character" w:customStyle="1" w:styleId="DocumentMapChar">
    <w:name w:val="Document Map Char"/>
    <w:basedOn w:val="DefaultParagraphFont"/>
    <w:link w:val="DocumentMap"/>
    <w:rsid w:val="008A4B80"/>
    <w:rPr>
      <w:rFonts w:ascii="Tahoma" w:hAnsi="Tahoma" w:cs="Tahoma"/>
      <w:sz w:val="16"/>
      <w:szCs w:val="16"/>
    </w:rPr>
  </w:style>
  <w:style w:type="paragraph" w:styleId="E-mailSignature">
    <w:name w:val="E-mail Signature"/>
    <w:basedOn w:val="Normal"/>
    <w:link w:val="E-mailSignatureChar"/>
    <w:rsid w:val="008A4B80"/>
  </w:style>
  <w:style w:type="character" w:customStyle="1" w:styleId="E-mailSignatureChar">
    <w:name w:val="E-mail Signature Char"/>
    <w:basedOn w:val="DefaultParagraphFont"/>
    <w:link w:val="E-mailSignature"/>
    <w:rsid w:val="008A4B80"/>
  </w:style>
  <w:style w:type="paragraph" w:styleId="EndnoteText">
    <w:name w:val="endnote text"/>
    <w:basedOn w:val="Normal"/>
    <w:link w:val="EndnoteTextChar"/>
    <w:rsid w:val="008A4B80"/>
  </w:style>
  <w:style w:type="character" w:customStyle="1" w:styleId="EndnoteTextChar">
    <w:name w:val="Endnote Text Char"/>
    <w:basedOn w:val="DefaultParagraphFont"/>
    <w:link w:val="EndnoteText"/>
    <w:rsid w:val="008A4B80"/>
  </w:style>
  <w:style w:type="paragraph" w:styleId="EnvelopeAddress">
    <w:name w:val="envelope address"/>
    <w:basedOn w:val="Normal"/>
    <w:rsid w:val="008A4B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A4B80"/>
    <w:rPr>
      <w:rFonts w:asciiTheme="majorHAnsi" w:eastAsiaTheme="majorEastAsia" w:hAnsiTheme="majorHAnsi" w:cstheme="majorBidi"/>
    </w:rPr>
  </w:style>
  <w:style w:type="paragraph" w:styleId="FootnoteText">
    <w:name w:val="footnote text"/>
    <w:basedOn w:val="Normal"/>
    <w:link w:val="FootnoteTextChar"/>
    <w:rsid w:val="008A4B80"/>
  </w:style>
  <w:style w:type="character" w:customStyle="1" w:styleId="FootnoteTextChar">
    <w:name w:val="Footnote Text Char"/>
    <w:basedOn w:val="DefaultParagraphFont"/>
    <w:link w:val="FootnoteText"/>
    <w:rsid w:val="008A4B80"/>
  </w:style>
  <w:style w:type="character" w:customStyle="1" w:styleId="Heading3Char">
    <w:name w:val="Heading 3 Char"/>
    <w:basedOn w:val="DefaultParagraphFont"/>
    <w:link w:val="Heading3"/>
    <w:rsid w:val="00D50B37"/>
    <w:rPr>
      <w:rFonts w:eastAsiaTheme="majorEastAsia" w:cstheme="majorBidi"/>
      <w:bCs/>
      <w:sz w:val="40"/>
    </w:rPr>
  </w:style>
  <w:style w:type="character" w:customStyle="1" w:styleId="Heading4Char">
    <w:name w:val="Heading 4 Char"/>
    <w:basedOn w:val="DefaultParagraphFont"/>
    <w:link w:val="Heading4"/>
    <w:rsid w:val="00B926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926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2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92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926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926D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A4B80"/>
    <w:rPr>
      <w:i/>
      <w:iCs/>
    </w:rPr>
  </w:style>
  <w:style w:type="character" w:customStyle="1" w:styleId="HTMLAddressChar">
    <w:name w:val="HTML Address Char"/>
    <w:basedOn w:val="DefaultParagraphFont"/>
    <w:link w:val="HTMLAddress"/>
    <w:rsid w:val="008A4B80"/>
    <w:rPr>
      <w:i/>
      <w:iCs/>
    </w:rPr>
  </w:style>
  <w:style w:type="paragraph" w:styleId="HTMLPreformatted">
    <w:name w:val="HTML Preformatted"/>
    <w:basedOn w:val="Normal"/>
    <w:link w:val="HTMLPreformattedChar"/>
    <w:rsid w:val="008A4B80"/>
    <w:rPr>
      <w:rFonts w:ascii="Consolas" w:hAnsi="Consolas" w:cs="Consolas"/>
    </w:rPr>
  </w:style>
  <w:style w:type="character" w:customStyle="1" w:styleId="HTMLPreformattedChar">
    <w:name w:val="HTML Preformatted Char"/>
    <w:basedOn w:val="DefaultParagraphFont"/>
    <w:link w:val="HTMLPreformatted"/>
    <w:rsid w:val="008A4B80"/>
    <w:rPr>
      <w:rFonts w:ascii="Consolas" w:hAnsi="Consolas" w:cs="Consolas"/>
    </w:rPr>
  </w:style>
  <w:style w:type="paragraph" w:styleId="Index1">
    <w:name w:val="index 1"/>
    <w:basedOn w:val="Normal"/>
    <w:next w:val="Normal"/>
    <w:autoRedefine/>
    <w:rsid w:val="008A4B80"/>
    <w:pPr>
      <w:ind w:left="200" w:hanging="200"/>
    </w:pPr>
  </w:style>
  <w:style w:type="paragraph" w:styleId="Index2">
    <w:name w:val="index 2"/>
    <w:basedOn w:val="Normal"/>
    <w:next w:val="Normal"/>
    <w:autoRedefine/>
    <w:rsid w:val="008A4B80"/>
    <w:pPr>
      <w:ind w:left="400" w:hanging="200"/>
    </w:pPr>
  </w:style>
  <w:style w:type="paragraph" w:styleId="Index3">
    <w:name w:val="index 3"/>
    <w:basedOn w:val="Normal"/>
    <w:next w:val="Normal"/>
    <w:autoRedefine/>
    <w:rsid w:val="008A4B80"/>
    <w:pPr>
      <w:ind w:left="600" w:hanging="200"/>
    </w:pPr>
  </w:style>
  <w:style w:type="paragraph" w:styleId="Index4">
    <w:name w:val="index 4"/>
    <w:basedOn w:val="Normal"/>
    <w:next w:val="Normal"/>
    <w:autoRedefine/>
    <w:rsid w:val="008A4B80"/>
    <w:pPr>
      <w:ind w:left="800" w:hanging="200"/>
    </w:pPr>
  </w:style>
  <w:style w:type="paragraph" w:styleId="Index5">
    <w:name w:val="index 5"/>
    <w:basedOn w:val="Normal"/>
    <w:next w:val="Normal"/>
    <w:autoRedefine/>
    <w:rsid w:val="008A4B80"/>
    <w:pPr>
      <w:ind w:left="1000" w:hanging="200"/>
    </w:pPr>
  </w:style>
  <w:style w:type="paragraph" w:styleId="Index6">
    <w:name w:val="index 6"/>
    <w:basedOn w:val="Normal"/>
    <w:next w:val="Normal"/>
    <w:autoRedefine/>
    <w:rsid w:val="008A4B80"/>
    <w:pPr>
      <w:ind w:left="1200" w:hanging="200"/>
    </w:pPr>
  </w:style>
  <w:style w:type="paragraph" w:styleId="Index7">
    <w:name w:val="index 7"/>
    <w:basedOn w:val="Normal"/>
    <w:next w:val="Normal"/>
    <w:autoRedefine/>
    <w:rsid w:val="008A4B80"/>
    <w:pPr>
      <w:ind w:left="1400" w:hanging="200"/>
    </w:pPr>
  </w:style>
  <w:style w:type="paragraph" w:styleId="Index8">
    <w:name w:val="index 8"/>
    <w:basedOn w:val="Normal"/>
    <w:next w:val="Normal"/>
    <w:autoRedefine/>
    <w:rsid w:val="008A4B80"/>
    <w:pPr>
      <w:ind w:left="1600" w:hanging="200"/>
    </w:pPr>
  </w:style>
  <w:style w:type="paragraph" w:styleId="Index9">
    <w:name w:val="index 9"/>
    <w:basedOn w:val="Normal"/>
    <w:next w:val="Normal"/>
    <w:autoRedefine/>
    <w:rsid w:val="008A4B80"/>
    <w:pPr>
      <w:ind w:left="1800" w:hanging="200"/>
    </w:pPr>
  </w:style>
  <w:style w:type="paragraph" w:styleId="IndexHeading">
    <w:name w:val="index heading"/>
    <w:basedOn w:val="Normal"/>
    <w:next w:val="Index1"/>
    <w:rsid w:val="008A4B8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A4B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4B80"/>
    <w:rPr>
      <w:b/>
      <w:bCs/>
      <w:i/>
      <w:iCs/>
      <w:color w:val="4F81BD" w:themeColor="accent1"/>
    </w:rPr>
  </w:style>
  <w:style w:type="paragraph" w:styleId="List">
    <w:name w:val="List"/>
    <w:basedOn w:val="Normal"/>
    <w:rsid w:val="008A4B80"/>
    <w:pPr>
      <w:ind w:left="360" w:hanging="360"/>
      <w:contextualSpacing/>
    </w:pPr>
  </w:style>
  <w:style w:type="paragraph" w:styleId="List2">
    <w:name w:val="List 2"/>
    <w:basedOn w:val="Normal"/>
    <w:rsid w:val="008A4B80"/>
    <w:pPr>
      <w:ind w:left="720" w:hanging="360"/>
      <w:contextualSpacing/>
    </w:pPr>
  </w:style>
  <w:style w:type="paragraph" w:styleId="List3">
    <w:name w:val="List 3"/>
    <w:basedOn w:val="Normal"/>
    <w:rsid w:val="008A4B80"/>
    <w:pPr>
      <w:ind w:left="1080" w:hanging="360"/>
      <w:contextualSpacing/>
    </w:pPr>
  </w:style>
  <w:style w:type="paragraph" w:styleId="List4">
    <w:name w:val="List 4"/>
    <w:basedOn w:val="Normal"/>
    <w:rsid w:val="008A4B80"/>
    <w:pPr>
      <w:ind w:left="1440" w:hanging="360"/>
      <w:contextualSpacing/>
    </w:pPr>
  </w:style>
  <w:style w:type="paragraph" w:styleId="List5">
    <w:name w:val="List 5"/>
    <w:basedOn w:val="Normal"/>
    <w:rsid w:val="008A4B80"/>
    <w:pPr>
      <w:ind w:left="1800" w:hanging="360"/>
      <w:contextualSpacing/>
    </w:pPr>
  </w:style>
  <w:style w:type="paragraph" w:styleId="ListBullet">
    <w:name w:val="List Bullet"/>
    <w:basedOn w:val="Normal"/>
    <w:rsid w:val="008A4B80"/>
    <w:pPr>
      <w:numPr>
        <w:numId w:val="1"/>
      </w:numPr>
      <w:contextualSpacing/>
    </w:pPr>
  </w:style>
  <w:style w:type="paragraph" w:styleId="ListBullet2">
    <w:name w:val="List Bullet 2"/>
    <w:basedOn w:val="Normal"/>
    <w:rsid w:val="008A4B80"/>
    <w:pPr>
      <w:numPr>
        <w:numId w:val="2"/>
      </w:numPr>
      <w:contextualSpacing/>
    </w:pPr>
  </w:style>
  <w:style w:type="paragraph" w:styleId="ListBullet3">
    <w:name w:val="List Bullet 3"/>
    <w:basedOn w:val="Normal"/>
    <w:rsid w:val="008A4B80"/>
    <w:pPr>
      <w:numPr>
        <w:numId w:val="3"/>
      </w:numPr>
      <w:contextualSpacing/>
    </w:pPr>
  </w:style>
  <w:style w:type="paragraph" w:styleId="ListBullet4">
    <w:name w:val="List Bullet 4"/>
    <w:basedOn w:val="Normal"/>
    <w:rsid w:val="008A4B80"/>
    <w:pPr>
      <w:numPr>
        <w:numId w:val="4"/>
      </w:numPr>
      <w:contextualSpacing/>
    </w:pPr>
  </w:style>
  <w:style w:type="paragraph" w:styleId="ListBullet5">
    <w:name w:val="List Bullet 5"/>
    <w:basedOn w:val="Normal"/>
    <w:rsid w:val="008A4B80"/>
    <w:pPr>
      <w:numPr>
        <w:numId w:val="5"/>
      </w:numPr>
      <w:contextualSpacing/>
    </w:pPr>
  </w:style>
  <w:style w:type="paragraph" w:styleId="ListContinue">
    <w:name w:val="List Continue"/>
    <w:basedOn w:val="Normal"/>
    <w:rsid w:val="008A4B80"/>
    <w:pPr>
      <w:spacing w:after="120"/>
      <w:ind w:left="360"/>
      <w:contextualSpacing/>
    </w:pPr>
  </w:style>
  <w:style w:type="paragraph" w:styleId="ListContinue2">
    <w:name w:val="List Continue 2"/>
    <w:basedOn w:val="Normal"/>
    <w:rsid w:val="008A4B80"/>
    <w:pPr>
      <w:spacing w:after="120"/>
      <w:ind w:left="720"/>
      <w:contextualSpacing/>
    </w:pPr>
  </w:style>
  <w:style w:type="paragraph" w:styleId="ListContinue3">
    <w:name w:val="List Continue 3"/>
    <w:basedOn w:val="Normal"/>
    <w:rsid w:val="008A4B80"/>
    <w:pPr>
      <w:spacing w:after="120"/>
      <w:ind w:left="1080"/>
      <w:contextualSpacing/>
    </w:pPr>
  </w:style>
  <w:style w:type="paragraph" w:styleId="ListContinue4">
    <w:name w:val="List Continue 4"/>
    <w:basedOn w:val="Normal"/>
    <w:rsid w:val="008A4B80"/>
    <w:pPr>
      <w:spacing w:after="120"/>
      <w:ind w:left="1440"/>
      <w:contextualSpacing/>
    </w:pPr>
  </w:style>
  <w:style w:type="paragraph" w:styleId="ListContinue5">
    <w:name w:val="List Continue 5"/>
    <w:basedOn w:val="Normal"/>
    <w:rsid w:val="008A4B80"/>
    <w:pPr>
      <w:spacing w:after="120"/>
      <w:ind w:left="1800"/>
      <w:contextualSpacing/>
    </w:pPr>
  </w:style>
  <w:style w:type="paragraph" w:styleId="ListNumber">
    <w:name w:val="List Number"/>
    <w:basedOn w:val="Normal"/>
    <w:rsid w:val="008A4B80"/>
    <w:pPr>
      <w:numPr>
        <w:numId w:val="6"/>
      </w:numPr>
      <w:contextualSpacing/>
    </w:pPr>
  </w:style>
  <w:style w:type="paragraph" w:styleId="ListNumber2">
    <w:name w:val="List Number 2"/>
    <w:basedOn w:val="Normal"/>
    <w:rsid w:val="008A4B80"/>
    <w:pPr>
      <w:numPr>
        <w:numId w:val="7"/>
      </w:numPr>
      <w:contextualSpacing/>
    </w:pPr>
  </w:style>
  <w:style w:type="paragraph" w:styleId="ListNumber3">
    <w:name w:val="List Number 3"/>
    <w:basedOn w:val="Normal"/>
    <w:rsid w:val="008A4B80"/>
    <w:pPr>
      <w:numPr>
        <w:numId w:val="8"/>
      </w:numPr>
      <w:contextualSpacing/>
    </w:pPr>
  </w:style>
  <w:style w:type="paragraph" w:styleId="ListNumber4">
    <w:name w:val="List Number 4"/>
    <w:basedOn w:val="Normal"/>
    <w:rsid w:val="008A4B80"/>
    <w:pPr>
      <w:numPr>
        <w:numId w:val="9"/>
      </w:numPr>
      <w:contextualSpacing/>
    </w:pPr>
  </w:style>
  <w:style w:type="paragraph" w:styleId="ListNumber5">
    <w:name w:val="List Number 5"/>
    <w:basedOn w:val="Normal"/>
    <w:rsid w:val="008A4B80"/>
    <w:pPr>
      <w:numPr>
        <w:numId w:val="10"/>
      </w:numPr>
      <w:contextualSpacing/>
    </w:pPr>
  </w:style>
  <w:style w:type="paragraph" w:styleId="ListParagraph">
    <w:name w:val="List Paragraph"/>
    <w:basedOn w:val="Normal"/>
    <w:uiPriority w:val="34"/>
    <w:qFormat/>
    <w:rsid w:val="008A4B80"/>
    <w:pPr>
      <w:ind w:left="720"/>
      <w:contextualSpacing/>
    </w:pPr>
  </w:style>
  <w:style w:type="paragraph" w:styleId="MacroText">
    <w:name w:val="macro"/>
    <w:link w:val="MacroTextChar"/>
    <w:rsid w:val="008A4B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basedOn w:val="DefaultParagraphFont"/>
    <w:link w:val="MacroText"/>
    <w:rsid w:val="008A4B80"/>
    <w:rPr>
      <w:rFonts w:ascii="Consolas" w:hAnsi="Consolas" w:cs="Consolas"/>
    </w:rPr>
  </w:style>
  <w:style w:type="paragraph" w:styleId="MessageHeader">
    <w:name w:val="Message Header"/>
    <w:basedOn w:val="Normal"/>
    <w:link w:val="MessageHeaderChar"/>
    <w:rsid w:val="008A4B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A4B80"/>
    <w:rPr>
      <w:rFonts w:asciiTheme="majorHAnsi" w:eastAsiaTheme="majorEastAsia" w:hAnsiTheme="majorHAnsi" w:cstheme="majorBidi"/>
      <w:sz w:val="24"/>
      <w:szCs w:val="24"/>
      <w:shd w:val="pct20" w:color="auto" w:fill="auto"/>
    </w:rPr>
  </w:style>
  <w:style w:type="paragraph" w:styleId="NoSpacing">
    <w:name w:val="No Spacing"/>
    <w:uiPriority w:val="1"/>
    <w:rsid w:val="008A4B80"/>
    <w:pPr>
      <w:overflowPunct w:val="0"/>
      <w:autoSpaceDE w:val="0"/>
      <w:autoSpaceDN w:val="0"/>
      <w:adjustRightInd w:val="0"/>
      <w:textAlignment w:val="baseline"/>
    </w:pPr>
  </w:style>
  <w:style w:type="paragraph" w:styleId="NormalWeb">
    <w:name w:val="Normal (Web)"/>
    <w:basedOn w:val="Normal"/>
    <w:rsid w:val="008A4B80"/>
  </w:style>
  <w:style w:type="paragraph" w:styleId="NormalIndent">
    <w:name w:val="Normal Indent"/>
    <w:basedOn w:val="Normal"/>
    <w:rsid w:val="008A4B80"/>
    <w:pPr>
      <w:ind w:left="720"/>
    </w:pPr>
  </w:style>
  <w:style w:type="paragraph" w:styleId="NoteHeading">
    <w:name w:val="Note Heading"/>
    <w:basedOn w:val="Normal"/>
    <w:next w:val="Normal"/>
    <w:link w:val="NoteHeadingChar"/>
    <w:rsid w:val="00E65435"/>
    <w:pPr>
      <w:spacing w:line="300" w:lineRule="auto"/>
      <w:jc w:val="center"/>
    </w:pPr>
    <w:rPr>
      <w:rFonts w:ascii="Arial Narrow" w:hAnsi="Arial Narrow"/>
      <w:b/>
    </w:rPr>
  </w:style>
  <w:style w:type="character" w:customStyle="1" w:styleId="NoteHeadingChar">
    <w:name w:val="Note Heading Char"/>
    <w:basedOn w:val="DefaultParagraphFont"/>
    <w:link w:val="NoteHeading"/>
    <w:rsid w:val="00E65435"/>
    <w:rPr>
      <w:rFonts w:ascii="Arial Narrow" w:hAnsi="Arial Narrow"/>
      <w:b/>
    </w:rPr>
  </w:style>
  <w:style w:type="paragraph" w:styleId="PlainText">
    <w:name w:val="Plain Text"/>
    <w:basedOn w:val="Normal"/>
    <w:link w:val="PlainTextChar"/>
    <w:rsid w:val="008A4B80"/>
    <w:rPr>
      <w:rFonts w:ascii="Consolas" w:hAnsi="Consolas" w:cs="Consolas"/>
      <w:sz w:val="21"/>
      <w:szCs w:val="21"/>
    </w:rPr>
  </w:style>
  <w:style w:type="character" w:customStyle="1" w:styleId="PlainTextChar">
    <w:name w:val="Plain Text Char"/>
    <w:basedOn w:val="DefaultParagraphFont"/>
    <w:link w:val="PlainText"/>
    <w:rsid w:val="008A4B80"/>
    <w:rPr>
      <w:rFonts w:ascii="Consolas" w:hAnsi="Consolas" w:cs="Consolas"/>
      <w:sz w:val="21"/>
      <w:szCs w:val="21"/>
    </w:rPr>
  </w:style>
  <w:style w:type="paragraph" w:styleId="Quote">
    <w:name w:val="Quote"/>
    <w:basedOn w:val="Normal"/>
    <w:next w:val="Normal"/>
    <w:link w:val="QuoteChar"/>
    <w:uiPriority w:val="29"/>
    <w:rsid w:val="008A4B80"/>
    <w:rPr>
      <w:i/>
      <w:iCs/>
      <w:color w:val="000000" w:themeColor="text1"/>
    </w:rPr>
  </w:style>
  <w:style w:type="character" w:customStyle="1" w:styleId="QuoteChar">
    <w:name w:val="Quote Char"/>
    <w:basedOn w:val="DefaultParagraphFont"/>
    <w:link w:val="Quote"/>
    <w:uiPriority w:val="29"/>
    <w:rsid w:val="008A4B80"/>
    <w:rPr>
      <w:i/>
      <w:iCs/>
      <w:color w:val="000000" w:themeColor="text1"/>
    </w:rPr>
  </w:style>
  <w:style w:type="paragraph" w:styleId="Salutation">
    <w:name w:val="Salutation"/>
    <w:basedOn w:val="Normal"/>
    <w:next w:val="Normal"/>
    <w:link w:val="SalutationChar"/>
    <w:rsid w:val="008A4B80"/>
  </w:style>
  <w:style w:type="character" w:customStyle="1" w:styleId="SalutationChar">
    <w:name w:val="Salutation Char"/>
    <w:basedOn w:val="DefaultParagraphFont"/>
    <w:link w:val="Salutation"/>
    <w:rsid w:val="008A4B80"/>
  </w:style>
  <w:style w:type="paragraph" w:styleId="Signature">
    <w:name w:val="Signature"/>
    <w:basedOn w:val="Normal"/>
    <w:link w:val="SignatureChar"/>
    <w:rsid w:val="008A4B80"/>
    <w:pPr>
      <w:ind w:left="4320"/>
    </w:pPr>
  </w:style>
  <w:style w:type="character" w:customStyle="1" w:styleId="SignatureChar">
    <w:name w:val="Signature Char"/>
    <w:basedOn w:val="DefaultParagraphFont"/>
    <w:link w:val="Signature"/>
    <w:rsid w:val="008A4B80"/>
  </w:style>
  <w:style w:type="paragraph" w:styleId="Subtitle">
    <w:name w:val="Subtitle"/>
    <w:basedOn w:val="Normal"/>
    <w:next w:val="Normal"/>
    <w:link w:val="SubtitleChar"/>
    <w:rsid w:val="008A4B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A4B8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A4B80"/>
    <w:pPr>
      <w:ind w:left="200" w:hanging="200"/>
    </w:pPr>
  </w:style>
  <w:style w:type="paragraph" w:styleId="TableofFigures">
    <w:name w:val="table of figures"/>
    <w:basedOn w:val="Normal"/>
    <w:next w:val="Normal"/>
    <w:rsid w:val="008A4B80"/>
  </w:style>
  <w:style w:type="paragraph" w:styleId="TOAHeading">
    <w:name w:val="toa heading"/>
    <w:basedOn w:val="Normal"/>
    <w:next w:val="Normal"/>
    <w:rsid w:val="008A4B80"/>
    <w:pPr>
      <w:spacing w:before="120"/>
    </w:pPr>
    <w:rPr>
      <w:rFonts w:asciiTheme="majorHAnsi" w:eastAsiaTheme="majorEastAsia" w:hAnsiTheme="majorHAnsi" w:cstheme="majorBidi"/>
      <w:b/>
      <w:bCs/>
    </w:rPr>
  </w:style>
  <w:style w:type="paragraph" w:styleId="TOC1">
    <w:name w:val="toc 1"/>
    <w:basedOn w:val="Normal"/>
    <w:next w:val="Normal"/>
    <w:uiPriority w:val="2"/>
    <w:rsid w:val="00B15F12"/>
    <w:pPr>
      <w:spacing w:line="300" w:lineRule="auto"/>
      <w:jc w:val="center"/>
    </w:pPr>
    <w:rPr>
      <w:b/>
      <w:sz w:val="28"/>
    </w:rPr>
  </w:style>
  <w:style w:type="paragraph" w:styleId="TOC2">
    <w:name w:val="toc 2"/>
    <w:basedOn w:val="Normal"/>
    <w:next w:val="Normal"/>
    <w:uiPriority w:val="3"/>
    <w:rsid w:val="007B5C98"/>
    <w:pPr>
      <w:spacing w:line="300" w:lineRule="auto"/>
      <w:ind w:left="504" w:hanging="504"/>
    </w:pPr>
    <w:rPr>
      <w:rFonts w:ascii="Arial Narrow" w:hAnsi="Arial Narrow"/>
      <w:b/>
      <w:u w:val="single"/>
    </w:rPr>
  </w:style>
  <w:style w:type="paragraph" w:styleId="TOC3">
    <w:name w:val="toc 3"/>
    <w:basedOn w:val="Normal"/>
    <w:next w:val="Normal"/>
    <w:autoRedefine/>
    <w:rsid w:val="008A4B80"/>
    <w:pPr>
      <w:spacing w:after="100"/>
      <w:ind w:left="400"/>
    </w:pPr>
  </w:style>
  <w:style w:type="paragraph" w:styleId="TOC4">
    <w:name w:val="toc 4"/>
    <w:basedOn w:val="Normal"/>
    <w:next w:val="Normal"/>
    <w:autoRedefine/>
    <w:rsid w:val="008A4B80"/>
    <w:pPr>
      <w:spacing w:after="100"/>
      <w:ind w:left="600"/>
    </w:pPr>
  </w:style>
  <w:style w:type="paragraph" w:styleId="TOC5">
    <w:name w:val="toc 5"/>
    <w:basedOn w:val="Normal"/>
    <w:next w:val="Normal"/>
    <w:autoRedefine/>
    <w:rsid w:val="008A4B80"/>
    <w:pPr>
      <w:spacing w:after="100"/>
      <w:ind w:left="800"/>
    </w:pPr>
  </w:style>
  <w:style w:type="paragraph" w:styleId="TOC6">
    <w:name w:val="toc 6"/>
    <w:basedOn w:val="Normal"/>
    <w:next w:val="Normal"/>
    <w:autoRedefine/>
    <w:rsid w:val="008A4B80"/>
    <w:pPr>
      <w:spacing w:after="100"/>
      <w:ind w:left="1000"/>
    </w:pPr>
  </w:style>
  <w:style w:type="paragraph" w:styleId="TOC7">
    <w:name w:val="toc 7"/>
    <w:basedOn w:val="Normal"/>
    <w:next w:val="Normal"/>
    <w:autoRedefine/>
    <w:rsid w:val="008A4B80"/>
    <w:pPr>
      <w:spacing w:after="100"/>
      <w:ind w:left="1200"/>
    </w:pPr>
  </w:style>
  <w:style w:type="paragraph" w:styleId="TOC8">
    <w:name w:val="toc 8"/>
    <w:basedOn w:val="Normal"/>
    <w:next w:val="Normal"/>
    <w:autoRedefine/>
    <w:rsid w:val="008A4B80"/>
    <w:pPr>
      <w:spacing w:after="100"/>
      <w:ind w:left="1400"/>
    </w:pPr>
  </w:style>
  <w:style w:type="paragraph" w:styleId="TOC9">
    <w:name w:val="toc 9"/>
    <w:basedOn w:val="Normal"/>
    <w:next w:val="Normal"/>
    <w:autoRedefine/>
    <w:rsid w:val="008A4B80"/>
    <w:pPr>
      <w:spacing w:after="100"/>
      <w:ind w:left="1600"/>
    </w:pPr>
  </w:style>
  <w:style w:type="paragraph" w:styleId="TOCHeading">
    <w:name w:val="TOC Heading"/>
    <w:basedOn w:val="Heading1"/>
    <w:next w:val="Normal"/>
    <w:uiPriority w:val="1"/>
    <w:rsid w:val="00E65435"/>
    <w:pPr>
      <w:keepLines/>
      <w:tabs>
        <w:tab w:val="clear" w:pos="274"/>
        <w:tab w:val="clear" w:pos="778"/>
        <w:tab w:val="clear" w:pos="1282"/>
        <w:tab w:val="clear" w:pos="8712"/>
      </w:tabs>
      <w:outlineLvl w:val="9"/>
    </w:pPr>
    <w:rPr>
      <w:rFonts w:eastAsiaTheme="majorEastAsia" w:cstheme="majorBidi"/>
      <w:b w:val="0"/>
      <w:bCs/>
      <w:sz w:val="40"/>
      <w:szCs w:val="28"/>
      <w:u w:val="none"/>
    </w:rPr>
  </w:style>
  <w:style w:type="paragraph" w:customStyle="1" w:styleId="StyleHeading3Before0ptLinespacing15lines">
    <w:name w:val="Style Heading 3 + Before:  0 pt Line spacing:  1.5 lines"/>
    <w:basedOn w:val="Heading3"/>
    <w:rsid w:val="00B926D1"/>
    <w:rPr>
      <w:rFonts w:eastAsia="Times New Roman" w:cs="Times New Roman"/>
      <w:bCs w:val="0"/>
      <w:szCs w:val="20"/>
    </w:rPr>
  </w:style>
  <w:style w:type="paragraph" w:customStyle="1" w:styleId="StyleHeading3Before0ptLinespacing15lines1">
    <w:name w:val="Style Heading 3 + Before:  0 pt Line spacing:  1.5 lines1"/>
    <w:basedOn w:val="Heading3"/>
    <w:next w:val="Heading3"/>
    <w:rsid w:val="00B926D1"/>
    <w:rPr>
      <w:rFonts w:eastAsia="Times New Roman" w:cs="Times New Roman"/>
      <w:bCs w:val="0"/>
      <w:szCs w:val="20"/>
    </w:rPr>
  </w:style>
  <w:style w:type="character" w:styleId="FollowedHyperlink">
    <w:name w:val="FollowedHyperlink"/>
    <w:basedOn w:val="DefaultParagraphFont"/>
    <w:rsid w:val="00BE3D9D"/>
    <w:rPr>
      <w:color w:val="800080" w:themeColor="followedHyperlink"/>
      <w:u w:val="single"/>
    </w:rPr>
  </w:style>
  <w:style w:type="paragraph" w:customStyle="1" w:styleId="A1-TableofContents">
    <w:name w:val="A1 - Table of Contents"/>
    <w:basedOn w:val="Heading1"/>
    <w:qFormat/>
    <w:rsid w:val="00DE1B4B"/>
    <w:rPr>
      <w:szCs w:val="20"/>
    </w:rPr>
  </w:style>
  <w:style w:type="paragraph" w:customStyle="1" w:styleId="A2-ExcelFileNoteGlossaryTerms">
    <w:name w:val="A2 - Excel File Note &amp;  Glossary Terms"/>
    <w:basedOn w:val="Heading2"/>
    <w:next w:val="Heading2"/>
    <w:qFormat/>
    <w:rsid w:val="00D97568"/>
    <w:pPr>
      <w:jc w:val="left"/>
    </w:pPr>
    <w:rPr>
      <w:szCs w:val="20"/>
    </w:rPr>
  </w:style>
  <w:style w:type="paragraph" w:customStyle="1" w:styleId="A10-ManagementsDiscussionandAnalysis">
    <w:name w:val="A10 - Management's Discussion and Analysis"/>
    <w:basedOn w:val="Heading2"/>
    <w:next w:val="Heading2"/>
    <w:autoRedefine/>
    <w:qFormat/>
    <w:rsid w:val="00AB3F37"/>
    <w:rPr>
      <w:szCs w:val="20"/>
    </w:rPr>
  </w:style>
  <w:style w:type="paragraph" w:customStyle="1" w:styleId="A4-FindingTitle">
    <w:name w:val="A4 - Finding Title"/>
    <w:basedOn w:val="Heading3"/>
    <w:autoRedefine/>
    <w:uiPriority w:val="2"/>
    <w:qFormat/>
    <w:rsid w:val="00746C1C"/>
    <w:pPr>
      <w:numPr>
        <w:numId w:val="11"/>
      </w:numPr>
      <w:spacing w:line="300" w:lineRule="auto"/>
      <w:ind w:left="504" w:hanging="504"/>
      <w:jc w:val="left"/>
    </w:pPr>
    <w:rPr>
      <w:rFonts w:ascii="Arial Narrow" w:hAnsi="Arial Narrow"/>
      <w:b/>
      <w:sz w:val="24"/>
      <w:szCs w:val="20"/>
      <w:u w:val="single"/>
    </w:rPr>
  </w:style>
  <w:style w:type="paragraph" w:customStyle="1" w:styleId="A5-IAReportLetters">
    <w:name w:val="A5 - IA Report Letters"/>
    <w:basedOn w:val="Heading2"/>
    <w:next w:val="Heading2"/>
    <w:autoRedefine/>
    <w:uiPriority w:val="1"/>
    <w:qFormat/>
    <w:rsid w:val="00A51845"/>
    <w:pPr>
      <w:spacing w:line="240" w:lineRule="auto"/>
    </w:pPr>
    <w:rPr>
      <w:rFonts w:ascii="Arial" w:hAnsi="Arial"/>
      <w:b w:val="0"/>
      <w:color w:val="000000"/>
      <w:sz w:val="20"/>
      <w:szCs w:val="20"/>
    </w:rPr>
  </w:style>
  <w:style w:type="paragraph" w:customStyle="1" w:styleId="A6-Single-Comment">
    <w:name w:val="A6 - Single - Comment"/>
    <w:basedOn w:val="Heading2"/>
    <w:autoRedefine/>
    <w:uiPriority w:val="1"/>
    <w:qFormat/>
    <w:rsid w:val="00A51845"/>
    <w:pPr>
      <w:spacing w:line="360" w:lineRule="auto"/>
      <w:jc w:val="left"/>
    </w:pPr>
    <w:rPr>
      <w:rFonts w:ascii="Arial" w:hAnsi="Arial"/>
      <w:sz w:val="28"/>
      <w:szCs w:val="20"/>
    </w:rPr>
  </w:style>
  <w:style w:type="paragraph" w:customStyle="1" w:styleId="A7-Single-PriorAuditandCAP">
    <w:name w:val="A7 - Single - Prior Audit and CAP"/>
    <w:basedOn w:val="Heading2"/>
    <w:next w:val="Heading2"/>
    <w:autoRedefine/>
    <w:uiPriority w:val="1"/>
    <w:qFormat/>
    <w:rsid w:val="00A51845"/>
    <w:rPr>
      <w:rFonts w:ascii="Arial" w:hAnsi="Arial"/>
      <w:b w:val="0"/>
      <w:szCs w:val="20"/>
    </w:rPr>
  </w:style>
  <w:style w:type="paragraph" w:customStyle="1" w:styleId="A8-TitlePages">
    <w:name w:val="A8 - Title Pages"/>
    <w:basedOn w:val="Title"/>
    <w:qFormat/>
    <w:rsid w:val="00A51845"/>
    <w:rPr>
      <w:b w:val="0"/>
      <w:sz w:val="40"/>
      <w:szCs w:val="40"/>
      <w:u w:val="none"/>
    </w:rPr>
  </w:style>
  <w:style w:type="paragraph" w:customStyle="1" w:styleId="A9-PERFORMANCE-COMMENT">
    <w:name w:val="A9 - PERFORMANCE - COMMENT"/>
    <w:basedOn w:val="Heading2"/>
    <w:next w:val="Heading2"/>
    <w:qFormat/>
    <w:rsid w:val="00DE1B4B"/>
    <w:rPr>
      <w:rFonts w:ascii="Arial" w:hAnsi="Arial"/>
      <w:sz w:val="28"/>
    </w:rPr>
  </w:style>
  <w:style w:type="paragraph" w:customStyle="1" w:styleId="A3-DescriptionandObjectives">
    <w:name w:val="A3 - Description and Objectives"/>
    <w:basedOn w:val="Normal"/>
    <w:qFormat/>
    <w:rsid w:val="00AB3F37"/>
    <w:pPr>
      <w:overflowPunct/>
      <w:autoSpaceDE/>
      <w:autoSpaceDN/>
      <w:adjustRightInd/>
      <w:spacing w:line="300" w:lineRule="auto"/>
      <w:jc w:val="center"/>
      <w:textAlignment w:val="auto"/>
    </w:pPr>
    <w:rPr>
      <w:rFonts w:ascii="Arial Narrow" w:hAnsi="Arial Narrow"/>
      <w:b/>
      <w:szCs w:val="20"/>
    </w:rPr>
  </w:style>
  <w:style w:type="paragraph" w:customStyle="1" w:styleId="A11-Notes">
    <w:name w:val="A11 - Notes"/>
    <w:basedOn w:val="Heading2"/>
    <w:next w:val="Heading2"/>
    <w:autoRedefine/>
    <w:qFormat/>
    <w:rsid w:val="00AB3F37"/>
    <w:rPr>
      <w:szCs w:val="20"/>
    </w:rPr>
  </w:style>
  <w:style w:type="character" w:customStyle="1" w:styleId="A0">
    <w:name w:val="A0"/>
    <w:uiPriority w:val="99"/>
    <w:rsid w:val="000B22AC"/>
    <w:rPr>
      <w:color w:val="211D1E"/>
      <w:sz w:val="28"/>
      <w:szCs w:val="28"/>
    </w:rPr>
  </w:style>
  <w:style w:type="paragraph" w:customStyle="1" w:styleId="Pa2">
    <w:name w:val="Pa2"/>
    <w:basedOn w:val="Normal"/>
    <w:next w:val="Normal"/>
    <w:uiPriority w:val="99"/>
    <w:rsid w:val="000B22AC"/>
    <w:pPr>
      <w:overflowPunct/>
      <w:spacing w:line="241" w:lineRule="atLeast"/>
      <w:textAlignment w:val="auto"/>
    </w:pPr>
    <w:rPr>
      <w:rFonts w:eastAsiaTheme="minorHAnsi" w:cs="Arial"/>
    </w:rPr>
  </w:style>
  <w:style w:type="character" w:styleId="CommentReference">
    <w:name w:val="annotation reference"/>
    <w:basedOn w:val="DefaultParagraphFont"/>
    <w:rsid w:val="00273A2C"/>
    <w:rPr>
      <w:sz w:val="16"/>
      <w:szCs w:val="16"/>
    </w:rPr>
  </w:style>
  <w:style w:type="table" w:styleId="TableGrid">
    <w:name w:val="Table Grid"/>
    <w:basedOn w:val="TableNormal"/>
    <w:rsid w:val="007D2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1"/>
    <w:lsdException w:name="toc 2" w:uiPriority="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D97568"/>
    <w:pPr>
      <w:overflowPunct w:val="0"/>
      <w:autoSpaceDE w:val="0"/>
      <w:autoSpaceDN w:val="0"/>
      <w:adjustRightInd w:val="0"/>
      <w:textAlignment w:val="baseline"/>
    </w:pPr>
  </w:style>
  <w:style w:type="paragraph" w:styleId="Heading1">
    <w:name w:val="heading 1"/>
    <w:basedOn w:val="Normal"/>
    <w:next w:val="Normal"/>
    <w:rsid w:val="00D50B37"/>
    <w:pPr>
      <w:keepNext/>
      <w:tabs>
        <w:tab w:val="left" w:pos="274"/>
        <w:tab w:val="left" w:pos="778"/>
        <w:tab w:val="left" w:pos="1282"/>
        <w:tab w:val="left" w:pos="8712"/>
      </w:tabs>
      <w:spacing w:line="360" w:lineRule="auto"/>
      <w:jc w:val="center"/>
      <w:outlineLvl w:val="0"/>
    </w:pPr>
    <w:rPr>
      <w:rFonts w:cs="Arial"/>
      <w:b/>
      <w:u w:val="single"/>
    </w:rPr>
  </w:style>
  <w:style w:type="paragraph" w:styleId="Heading2">
    <w:name w:val="heading 2"/>
    <w:basedOn w:val="Normal"/>
    <w:next w:val="Normal"/>
    <w:rsid w:val="00D50B37"/>
    <w:pPr>
      <w:keepNext/>
      <w:tabs>
        <w:tab w:val="left" w:pos="274"/>
        <w:tab w:val="left" w:pos="778"/>
        <w:tab w:val="left" w:pos="1282"/>
        <w:tab w:val="left" w:pos="8712"/>
      </w:tabs>
      <w:spacing w:line="300" w:lineRule="auto"/>
      <w:jc w:val="center"/>
      <w:outlineLvl w:val="1"/>
    </w:pPr>
    <w:rPr>
      <w:rFonts w:ascii="Arial Narrow" w:hAnsi="Arial Narrow" w:cs="Arial"/>
      <w:b/>
    </w:rPr>
  </w:style>
  <w:style w:type="paragraph" w:styleId="Heading3">
    <w:name w:val="heading 3"/>
    <w:basedOn w:val="Normal"/>
    <w:next w:val="Normal"/>
    <w:link w:val="Heading3Char"/>
    <w:rsid w:val="00D50B37"/>
    <w:pPr>
      <w:keepNext/>
      <w:keepLines/>
      <w:spacing w:line="360" w:lineRule="auto"/>
      <w:jc w:val="center"/>
      <w:outlineLvl w:val="2"/>
    </w:pPr>
    <w:rPr>
      <w:rFonts w:eastAsiaTheme="majorEastAsia" w:cstheme="majorBidi"/>
      <w:bCs/>
      <w:sz w:val="40"/>
    </w:rPr>
  </w:style>
  <w:style w:type="paragraph" w:styleId="Heading4">
    <w:name w:val="heading 4"/>
    <w:basedOn w:val="Normal"/>
    <w:next w:val="Normal"/>
    <w:link w:val="Heading4Char"/>
    <w:rsid w:val="008A4B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8A4B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8A4B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8A4B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8A4B8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8A4B8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6CD"/>
    <w:pPr>
      <w:tabs>
        <w:tab w:val="center" w:pos="4320"/>
        <w:tab w:val="right" w:pos="8640"/>
      </w:tabs>
    </w:pPr>
  </w:style>
  <w:style w:type="paragraph" w:styleId="Footer">
    <w:name w:val="footer"/>
    <w:basedOn w:val="Normal"/>
    <w:rsid w:val="009426CD"/>
    <w:pPr>
      <w:tabs>
        <w:tab w:val="center" w:pos="4320"/>
        <w:tab w:val="right" w:pos="8640"/>
      </w:tabs>
    </w:pPr>
  </w:style>
  <w:style w:type="character" w:styleId="PageNumber">
    <w:name w:val="page number"/>
    <w:basedOn w:val="DefaultParagraphFont"/>
    <w:rsid w:val="009426CD"/>
  </w:style>
  <w:style w:type="paragraph" w:styleId="Title">
    <w:name w:val="Title"/>
    <w:basedOn w:val="Normal"/>
    <w:link w:val="TitleChar"/>
    <w:rsid w:val="009426CD"/>
    <w:pPr>
      <w:spacing w:line="360" w:lineRule="auto"/>
      <w:jc w:val="center"/>
    </w:pPr>
    <w:rPr>
      <w:b/>
      <w:u w:val="single"/>
    </w:rPr>
  </w:style>
  <w:style w:type="character" w:customStyle="1" w:styleId="TitleChar">
    <w:name w:val="Title Char"/>
    <w:basedOn w:val="DefaultParagraphFont"/>
    <w:link w:val="Title"/>
    <w:rsid w:val="008141E7"/>
    <w:rPr>
      <w:rFonts w:ascii="Arial" w:hAnsi="Arial"/>
      <w:b/>
      <w:sz w:val="24"/>
      <w:u w:val="single"/>
    </w:rPr>
  </w:style>
  <w:style w:type="character" w:styleId="LineNumber">
    <w:name w:val="line number"/>
    <w:basedOn w:val="DefaultParagraphFont"/>
    <w:rsid w:val="007F1A37"/>
  </w:style>
  <w:style w:type="paragraph" w:styleId="BalloonText">
    <w:name w:val="Balloon Text"/>
    <w:basedOn w:val="Normal"/>
    <w:link w:val="BalloonTextChar"/>
    <w:rsid w:val="008A4B80"/>
    <w:rPr>
      <w:rFonts w:ascii="Tahoma" w:hAnsi="Tahoma" w:cs="Tahoma"/>
      <w:sz w:val="16"/>
      <w:szCs w:val="16"/>
    </w:rPr>
  </w:style>
  <w:style w:type="character" w:customStyle="1" w:styleId="BalloonTextChar">
    <w:name w:val="Balloon Text Char"/>
    <w:basedOn w:val="DefaultParagraphFont"/>
    <w:link w:val="BalloonText"/>
    <w:rsid w:val="008A4B80"/>
    <w:rPr>
      <w:rFonts w:ascii="Tahoma" w:hAnsi="Tahoma" w:cs="Tahoma"/>
      <w:sz w:val="16"/>
      <w:szCs w:val="16"/>
    </w:rPr>
  </w:style>
  <w:style w:type="paragraph" w:styleId="Bibliography">
    <w:name w:val="Bibliography"/>
    <w:basedOn w:val="Normal"/>
    <w:next w:val="Normal"/>
    <w:uiPriority w:val="37"/>
    <w:semiHidden/>
    <w:unhideWhenUsed/>
    <w:rsid w:val="008A4B80"/>
  </w:style>
  <w:style w:type="paragraph" w:styleId="BlockText">
    <w:name w:val="Block Text"/>
    <w:basedOn w:val="Normal"/>
    <w:rsid w:val="008A4B8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8A4B80"/>
    <w:pPr>
      <w:spacing w:after="120"/>
    </w:pPr>
  </w:style>
  <w:style w:type="character" w:customStyle="1" w:styleId="BodyTextChar">
    <w:name w:val="Body Text Char"/>
    <w:basedOn w:val="DefaultParagraphFont"/>
    <w:link w:val="BodyText"/>
    <w:rsid w:val="008A4B80"/>
  </w:style>
  <w:style w:type="paragraph" w:styleId="BodyText2">
    <w:name w:val="Body Text 2"/>
    <w:basedOn w:val="Normal"/>
    <w:link w:val="BodyText2Char"/>
    <w:rsid w:val="008A4B80"/>
    <w:pPr>
      <w:spacing w:after="120" w:line="480" w:lineRule="auto"/>
    </w:pPr>
  </w:style>
  <w:style w:type="character" w:customStyle="1" w:styleId="BodyText2Char">
    <w:name w:val="Body Text 2 Char"/>
    <w:basedOn w:val="DefaultParagraphFont"/>
    <w:link w:val="BodyText2"/>
    <w:rsid w:val="008A4B80"/>
  </w:style>
  <w:style w:type="paragraph" w:styleId="BodyText3">
    <w:name w:val="Body Text 3"/>
    <w:basedOn w:val="Normal"/>
    <w:link w:val="BodyText3Char"/>
    <w:rsid w:val="008A4B80"/>
    <w:pPr>
      <w:spacing w:after="120"/>
    </w:pPr>
    <w:rPr>
      <w:sz w:val="16"/>
      <w:szCs w:val="16"/>
    </w:rPr>
  </w:style>
  <w:style w:type="character" w:customStyle="1" w:styleId="BodyText3Char">
    <w:name w:val="Body Text 3 Char"/>
    <w:basedOn w:val="DefaultParagraphFont"/>
    <w:link w:val="BodyText3"/>
    <w:rsid w:val="008A4B80"/>
    <w:rPr>
      <w:sz w:val="16"/>
      <w:szCs w:val="16"/>
    </w:rPr>
  </w:style>
  <w:style w:type="paragraph" w:styleId="BodyTextFirstIndent">
    <w:name w:val="Body Text First Indent"/>
    <w:basedOn w:val="BodyText"/>
    <w:link w:val="BodyTextFirstIndentChar"/>
    <w:rsid w:val="008A4B80"/>
    <w:pPr>
      <w:spacing w:after="0"/>
      <w:ind w:firstLine="360"/>
    </w:pPr>
  </w:style>
  <w:style w:type="character" w:customStyle="1" w:styleId="BodyTextFirstIndentChar">
    <w:name w:val="Body Text First Indent Char"/>
    <w:basedOn w:val="BodyTextChar"/>
    <w:link w:val="BodyTextFirstIndent"/>
    <w:rsid w:val="008A4B80"/>
  </w:style>
  <w:style w:type="paragraph" w:styleId="BodyTextIndent">
    <w:name w:val="Body Text Indent"/>
    <w:basedOn w:val="Normal"/>
    <w:link w:val="BodyTextIndentChar"/>
    <w:rsid w:val="008A4B80"/>
    <w:pPr>
      <w:spacing w:after="120"/>
      <w:ind w:left="360"/>
    </w:pPr>
  </w:style>
  <w:style w:type="character" w:customStyle="1" w:styleId="BodyTextIndentChar">
    <w:name w:val="Body Text Indent Char"/>
    <w:basedOn w:val="DefaultParagraphFont"/>
    <w:link w:val="BodyTextIndent"/>
    <w:rsid w:val="008A4B80"/>
  </w:style>
  <w:style w:type="paragraph" w:styleId="BodyTextFirstIndent2">
    <w:name w:val="Body Text First Indent 2"/>
    <w:basedOn w:val="BodyTextIndent"/>
    <w:link w:val="BodyTextFirstIndent2Char"/>
    <w:rsid w:val="008A4B80"/>
    <w:pPr>
      <w:spacing w:after="0"/>
      <w:ind w:firstLine="360"/>
    </w:pPr>
  </w:style>
  <w:style w:type="character" w:customStyle="1" w:styleId="BodyTextFirstIndent2Char">
    <w:name w:val="Body Text First Indent 2 Char"/>
    <w:basedOn w:val="BodyTextIndentChar"/>
    <w:link w:val="BodyTextFirstIndent2"/>
    <w:rsid w:val="008A4B80"/>
  </w:style>
  <w:style w:type="paragraph" w:styleId="BodyTextIndent2">
    <w:name w:val="Body Text Indent 2"/>
    <w:basedOn w:val="Normal"/>
    <w:link w:val="BodyTextIndent2Char"/>
    <w:rsid w:val="008A4B80"/>
    <w:pPr>
      <w:spacing w:after="120" w:line="480" w:lineRule="auto"/>
      <w:ind w:left="360"/>
    </w:pPr>
  </w:style>
  <w:style w:type="character" w:customStyle="1" w:styleId="BodyTextIndent2Char">
    <w:name w:val="Body Text Indent 2 Char"/>
    <w:basedOn w:val="DefaultParagraphFont"/>
    <w:link w:val="BodyTextIndent2"/>
    <w:rsid w:val="008A4B80"/>
  </w:style>
  <w:style w:type="paragraph" w:styleId="BodyTextIndent3">
    <w:name w:val="Body Text Indent 3"/>
    <w:basedOn w:val="Normal"/>
    <w:link w:val="BodyTextIndent3Char"/>
    <w:rsid w:val="008A4B80"/>
    <w:pPr>
      <w:spacing w:after="120"/>
      <w:ind w:left="360"/>
    </w:pPr>
    <w:rPr>
      <w:sz w:val="16"/>
      <w:szCs w:val="16"/>
    </w:rPr>
  </w:style>
  <w:style w:type="character" w:customStyle="1" w:styleId="BodyTextIndent3Char">
    <w:name w:val="Body Text Indent 3 Char"/>
    <w:basedOn w:val="DefaultParagraphFont"/>
    <w:link w:val="BodyTextIndent3"/>
    <w:rsid w:val="008A4B80"/>
    <w:rPr>
      <w:sz w:val="16"/>
      <w:szCs w:val="16"/>
    </w:rPr>
  </w:style>
  <w:style w:type="paragraph" w:styleId="Caption">
    <w:name w:val="caption"/>
    <w:basedOn w:val="Normal"/>
    <w:next w:val="Normal"/>
    <w:semiHidden/>
    <w:unhideWhenUsed/>
    <w:qFormat/>
    <w:rsid w:val="008A4B80"/>
    <w:pPr>
      <w:spacing w:after="200"/>
    </w:pPr>
    <w:rPr>
      <w:b/>
      <w:bCs/>
      <w:color w:val="4F81BD" w:themeColor="accent1"/>
      <w:sz w:val="18"/>
      <w:szCs w:val="18"/>
    </w:rPr>
  </w:style>
  <w:style w:type="paragraph" w:styleId="Closing">
    <w:name w:val="Closing"/>
    <w:basedOn w:val="Normal"/>
    <w:link w:val="ClosingChar"/>
    <w:rsid w:val="008A4B80"/>
    <w:pPr>
      <w:ind w:left="4320"/>
    </w:pPr>
  </w:style>
  <w:style w:type="character" w:customStyle="1" w:styleId="ClosingChar">
    <w:name w:val="Closing Char"/>
    <w:basedOn w:val="DefaultParagraphFont"/>
    <w:link w:val="Closing"/>
    <w:rsid w:val="008A4B80"/>
  </w:style>
  <w:style w:type="paragraph" w:styleId="CommentText">
    <w:name w:val="annotation text"/>
    <w:basedOn w:val="Normal"/>
    <w:link w:val="CommentTextChar"/>
    <w:rsid w:val="008A4B80"/>
  </w:style>
  <w:style w:type="character" w:customStyle="1" w:styleId="CommentTextChar">
    <w:name w:val="Comment Text Char"/>
    <w:basedOn w:val="DefaultParagraphFont"/>
    <w:link w:val="CommentText"/>
    <w:rsid w:val="008A4B80"/>
  </w:style>
  <w:style w:type="paragraph" w:styleId="CommentSubject">
    <w:name w:val="annotation subject"/>
    <w:basedOn w:val="CommentText"/>
    <w:next w:val="CommentText"/>
    <w:link w:val="CommentSubjectChar"/>
    <w:rsid w:val="008A4B80"/>
    <w:rPr>
      <w:b/>
      <w:bCs/>
    </w:rPr>
  </w:style>
  <w:style w:type="character" w:customStyle="1" w:styleId="CommentSubjectChar">
    <w:name w:val="Comment Subject Char"/>
    <w:basedOn w:val="CommentTextChar"/>
    <w:link w:val="CommentSubject"/>
    <w:rsid w:val="008A4B80"/>
    <w:rPr>
      <w:b/>
      <w:bCs/>
    </w:rPr>
  </w:style>
  <w:style w:type="paragraph" w:styleId="Date">
    <w:name w:val="Date"/>
    <w:basedOn w:val="Normal"/>
    <w:next w:val="Normal"/>
    <w:link w:val="DateChar"/>
    <w:rsid w:val="008A4B80"/>
  </w:style>
  <w:style w:type="character" w:customStyle="1" w:styleId="DateChar">
    <w:name w:val="Date Char"/>
    <w:basedOn w:val="DefaultParagraphFont"/>
    <w:link w:val="Date"/>
    <w:rsid w:val="008A4B80"/>
  </w:style>
  <w:style w:type="paragraph" w:styleId="DocumentMap">
    <w:name w:val="Document Map"/>
    <w:basedOn w:val="Normal"/>
    <w:link w:val="DocumentMapChar"/>
    <w:rsid w:val="008A4B80"/>
    <w:rPr>
      <w:rFonts w:ascii="Tahoma" w:hAnsi="Tahoma" w:cs="Tahoma"/>
      <w:sz w:val="16"/>
      <w:szCs w:val="16"/>
    </w:rPr>
  </w:style>
  <w:style w:type="character" w:customStyle="1" w:styleId="DocumentMapChar">
    <w:name w:val="Document Map Char"/>
    <w:basedOn w:val="DefaultParagraphFont"/>
    <w:link w:val="DocumentMap"/>
    <w:rsid w:val="008A4B80"/>
    <w:rPr>
      <w:rFonts w:ascii="Tahoma" w:hAnsi="Tahoma" w:cs="Tahoma"/>
      <w:sz w:val="16"/>
      <w:szCs w:val="16"/>
    </w:rPr>
  </w:style>
  <w:style w:type="paragraph" w:styleId="E-mailSignature">
    <w:name w:val="E-mail Signature"/>
    <w:basedOn w:val="Normal"/>
    <w:link w:val="E-mailSignatureChar"/>
    <w:rsid w:val="008A4B80"/>
  </w:style>
  <w:style w:type="character" w:customStyle="1" w:styleId="E-mailSignatureChar">
    <w:name w:val="E-mail Signature Char"/>
    <w:basedOn w:val="DefaultParagraphFont"/>
    <w:link w:val="E-mailSignature"/>
    <w:rsid w:val="008A4B80"/>
  </w:style>
  <w:style w:type="paragraph" w:styleId="EndnoteText">
    <w:name w:val="endnote text"/>
    <w:basedOn w:val="Normal"/>
    <w:link w:val="EndnoteTextChar"/>
    <w:rsid w:val="008A4B80"/>
  </w:style>
  <w:style w:type="character" w:customStyle="1" w:styleId="EndnoteTextChar">
    <w:name w:val="Endnote Text Char"/>
    <w:basedOn w:val="DefaultParagraphFont"/>
    <w:link w:val="EndnoteText"/>
    <w:rsid w:val="008A4B80"/>
  </w:style>
  <w:style w:type="paragraph" w:styleId="EnvelopeAddress">
    <w:name w:val="envelope address"/>
    <w:basedOn w:val="Normal"/>
    <w:rsid w:val="008A4B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8A4B80"/>
    <w:rPr>
      <w:rFonts w:asciiTheme="majorHAnsi" w:eastAsiaTheme="majorEastAsia" w:hAnsiTheme="majorHAnsi" w:cstheme="majorBidi"/>
    </w:rPr>
  </w:style>
  <w:style w:type="paragraph" w:styleId="FootnoteText">
    <w:name w:val="footnote text"/>
    <w:basedOn w:val="Normal"/>
    <w:link w:val="FootnoteTextChar"/>
    <w:rsid w:val="008A4B80"/>
  </w:style>
  <w:style w:type="character" w:customStyle="1" w:styleId="FootnoteTextChar">
    <w:name w:val="Footnote Text Char"/>
    <w:basedOn w:val="DefaultParagraphFont"/>
    <w:link w:val="FootnoteText"/>
    <w:rsid w:val="008A4B80"/>
  </w:style>
  <w:style w:type="character" w:customStyle="1" w:styleId="Heading3Char">
    <w:name w:val="Heading 3 Char"/>
    <w:basedOn w:val="DefaultParagraphFont"/>
    <w:link w:val="Heading3"/>
    <w:rsid w:val="00D50B37"/>
    <w:rPr>
      <w:rFonts w:eastAsiaTheme="majorEastAsia" w:cstheme="majorBidi"/>
      <w:bCs/>
      <w:sz w:val="40"/>
    </w:rPr>
  </w:style>
  <w:style w:type="character" w:customStyle="1" w:styleId="Heading4Char">
    <w:name w:val="Heading 4 Char"/>
    <w:basedOn w:val="DefaultParagraphFont"/>
    <w:link w:val="Heading4"/>
    <w:rsid w:val="00B926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926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B926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B92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926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B926D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A4B80"/>
    <w:rPr>
      <w:i/>
      <w:iCs/>
    </w:rPr>
  </w:style>
  <w:style w:type="character" w:customStyle="1" w:styleId="HTMLAddressChar">
    <w:name w:val="HTML Address Char"/>
    <w:basedOn w:val="DefaultParagraphFont"/>
    <w:link w:val="HTMLAddress"/>
    <w:rsid w:val="008A4B80"/>
    <w:rPr>
      <w:i/>
      <w:iCs/>
    </w:rPr>
  </w:style>
  <w:style w:type="paragraph" w:styleId="HTMLPreformatted">
    <w:name w:val="HTML Preformatted"/>
    <w:basedOn w:val="Normal"/>
    <w:link w:val="HTMLPreformattedChar"/>
    <w:rsid w:val="008A4B80"/>
    <w:rPr>
      <w:rFonts w:ascii="Consolas" w:hAnsi="Consolas" w:cs="Consolas"/>
    </w:rPr>
  </w:style>
  <w:style w:type="character" w:customStyle="1" w:styleId="HTMLPreformattedChar">
    <w:name w:val="HTML Preformatted Char"/>
    <w:basedOn w:val="DefaultParagraphFont"/>
    <w:link w:val="HTMLPreformatted"/>
    <w:rsid w:val="008A4B80"/>
    <w:rPr>
      <w:rFonts w:ascii="Consolas" w:hAnsi="Consolas" w:cs="Consolas"/>
    </w:rPr>
  </w:style>
  <w:style w:type="paragraph" w:styleId="Index1">
    <w:name w:val="index 1"/>
    <w:basedOn w:val="Normal"/>
    <w:next w:val="Normal"/>
    <w:autoRedefine/>
    <w:rsid w:val="008A4B80"/>
    <w:pPr>
      <w:ind w:left="200" w:hanging="200"/>
    </w:pPr>
  </w:style>
  <w:style w:type="paragraph" w:styleId="Index2">
    <w:name w:val="index 2"/>
    <w:basedOn w:val="Normal"/>
    <w:next w:val="Normal"/>
    <w:autoRedefine/>
    <w:rsid w:val="008A4B80"/>
    <w:pPr>
      <w:ind w:left="400" w:hanging="200"/>
    </w:pPr>
  </w:style>
  <w:style w:type="paragraph" w:styleId="Index3">
    <w:name w:val="index 3"/>
    <w:basedOn w:val="Normal"/>
    <w:next w:val="Normal"/>
    <w:autoRedefine/>
    <w:rsid w:val="008A4B80"/>
    <w:pPr>
      <w:ind w:left="600" w:hanging="200"/>
    </w:pPr>
  </w:style>
  <w:style w:type="paragraph" w:styleId="Index4">
    <w:name w:val="index 4"/>
    <w:basedOn w:val="Normal"/>
    <w:next w:val="Normal"/>
    <w:autoRedefine/>
    <w:rsid w:val="008A4B80"/>
    <w:pPr>
      <w:ind w:left="800" w:hanging="200"/>
    </w:pPr>
  </w:style>
  <w:style w:type="paragraph" w:styleId="Index5">
    <w:name w:val="index 5"/>
    <w:basedOn w:val="Normal"/>
    <w:next w:val="Normal"/>
    <w:autoRedefine/>
    <w:rsid w:val="008A4B80"/>
    <w:pPr>
      <w:ind w:left="1000" w:hanging="200"/>
    </w:pPr>
  </w:style>
  <w:style w:type="paragraph" w:styleId="Index6">
    <w:name w:val="index 6"/>
    <w:basedOn w:val="Normal"/>
    <w:next w:val="Normal"/>
    <w:autoRedefine/>
    <w:rsid w:val="008A4B80"/>
    <w:pPr>
      <w:ind w:left="1200" w:hanging="200"/>
    </w:pPr>
  </w:style>
  <w:style w:type="paragraph" w:styleId="Index7">
    <w:name w:val="index 7"/>
    <w:basedOn w:val="Normal"/>
    <w:next w:val="Normal"/>
    <w:autoRedefine/>
    <w:rsid w:val="008A4B80"/>
    <w:pPr>
      <w:ind w:left="1400" w:hanging="200"/>
    </w:pPr>
  </w:style>
  <w:style w:type="paragraph" w:styleId="Index8">
    <w:name w:val="index 8"/>
    <w:basedOn w:val="Normal"/>
    <w:next w:val="Normal"/>
    <w:autoRedefine/>
    <w:rsid w:val="008A4B80"/>
    <w:pPr>
      <w:ind w:left="1600" w:hanging="200"/>
    </w:pPr>
  </w:style>
  <w:style w:type="paragraph" w:styleId="Index9">
    <w:name w:val="index 9"/>
    <w:basedOn w:val="Normal"/>
    <w:next w:val="Normal"/>
    <w:autoRedefine/>
    <w:rsid w:val="008A4B80"/>
    <w:pPr>
      <w:ind w:left="1800" w:hanging="200"/>
    </w:pPr>
  </w:style>
  <w:style w:type="paragraph" w:styleId="IndexHeading">
    <w:name w:val="index heading"/>
    <w:basedOn w:val="Normal"/>
    <w:next w:val="Index1"/>
    <w:rsid w:val="008A4B8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A4B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A4B80"/>
    <w:rPr>
      <w:b/>
      <w:bCs/>
      <w:i/>
      <w:iCs/>
      <w:color w:val="4F81BD" w:themeColor="accent1"/>
    </w:rPr>
  </w:style>
  <w:style w:type="paragraph" w:styleId="List">
    <w:name w:val="List"/>
    <w:basedOn w:val="Normal"/>
    <w:rsid w:val="008A4B80"/>
    <w:pPr>
      <w:ind w:left="360" w:hanging="360"/>
      <w:contextualSpacing/>
    </w:pPr>
  </w:style>
  <w:style w:type="paragraph" w:styleId="List2">
    <w:name w:val="List 2"/>
    <w:basedOn w:val="Normal"/>
    <w:rsid w:val="008A4B80"/>
    <w:pPr>
      <w:ind w:left="720" w:hanging="360"/>
      <w:contextualSpacing/>
    </w:pPr>
  </w:style>
  <w:style w:type="paragraph" w:styleId="List3">
    <w:name w:val="List 3"/>
    <w:basedOn w:val="Normal"/>
    <w:rsid w:val="008A4B80"/>
    <w:pPr>
      <w:ind w:left="1080" w:hanging="360"/>
      <w:contextualSpacing/>
    </w:pPr>
  </w:style>
  <w:style w:type="paragraph" w:styleId="List4">
    <w:name w:val="List 4"/>
    <w:basedOn w:val="Normal"/>
    <w:rsid w:val="008A4B80"/>
    <w:pPr>
      <w:ind w:left="1440" w:hanging="360"/>
      <w:contextualSpacing/>
    </w:pPr>
  </w:style>
  <w:style w:type="paragraph" w:styleId="List5">
    <w:name w:val="List 5"/>
    <w:basedOn w:val="Normal"/>
    <w:rsid w:val="008A4B80"/>
    <w:pPr>
      <w:ind w:left="1800" w:hanging="360"/>
      <w:contextualSpacing/>
    </w:pPr>
  </w:style>
  <w:style w:type="paragraph" w:styleId="ListBullet">
    <w:name w:val="List Bullet"/>
    <w:basedOn w:val="Normal"/>
    <w:rsid w:val="008A4B80"/>
    <w:pPr>
      <w:numPr>
        <w:numId w:val="1"/>
      </w:numPr>
      <w:contextualSpacing/>
    </w:pPr>
  </w:style>
  <w:style w:type="paragraph" w:styleId="ListBullet2">
    <w:name w:val="List Bullet 2"/>
    <w:basedOn w:val="Normal"/>
    <w:rsid w:val="008A4B80"/>
    <w:pPr>
      <w:numPr>
        <w:numId w:val="2"/>
      </w:numPr>
      <w:contextualSpacing/>
    </w:pPr>
  </w:style>
  <w:style w:type="paragraph" w:styleId="ListBullet3">
    <w:name w:val="List Bullet 3"/>
    <w:basedOn w:val="Normal"/>
    <w:rsid w:val="008A4B80"/>
    <w:pPr>
      <w:numPr>
        <w:numId w:val="3"/>
      </w:numPr>
      <w:contextualSpacing/>
    </w:pPr>
  </w:style>
  <w:style w:type="paragraph" w:styleId="ListBullet4">
    <w:name w:val="List Bullet 4"/>
    <w:basedOn w:val="Normal"/>
    <w:rsid w:val="008A4B80"/>
    <w:pPr>
      <w:numPr>
        <w:numId w:val="4"/>
      </w:numPr>
      <w:contextualSpacing/>
    </w:pPr>
  </w:style>
  <w:style w:type="paragraph" w:styleId="ListBullet5">
    <w:name w:val="List Bullet 5"/>
    <w:basedOn w:val="Normal"/>
    <w:rsid w:val="008A4B80"/>
    <w:pPr>
      <w:numPr>
        <w:numId w:val="5"/>
      </w:numPr>
      <w:contextualSpacing/>
    </w:pPr>
  </w:style>
  <w:style w:type="paragraph" w:styleId="ListContinue">
    <w:name w:val="List Continue"/>
    <w:basedOn w:val="Normal"/>
    <w:rsid w:val="008A4B80"/>
    <w:pPr>
      <w:spacing w:after="120"/>
      <w:ind w:left="360"/>
      <w:contextualSpacing/>
    </w:pPr>
  </w:style>
  <w:style w:type="paragraph" w:styleId="ListContinue2">
    <w:name w:val="List Continue 2"/>
    <w:basedOn w:val="Normal"/>
    <w:rsid w:val="008A4B80"/>
    <w:pPr>
      <w:spacing w:after="120"/>
      <w:ind w:left="720"/>
      <w:contextualSpacing/>
    </w:pPr>
  </w:style>
  <w:style w:type="paragraph" w:styleId="ListContinue3">
    <w:name w:val="List Continue 3"/>
    <w:basedOn w:val="Normal"/>
    <w:rsid w:val="008A4B80"/>
    <w:pPr>
      <w:spacing w:after="120"/>
      <w:ind w:left="1080"/>
      <w:contextualSpacing/>
    </w:pPr>
  </w:style>
  <w:style w:type="paragraph" w:styleId="ListContinue4">
    <w:name w:val="List Continue 4"/>
    <w:basedOn w:val="Normal"/>
    <w:rsid w:val="008A4B80"/>
    <w:pPr>
      <w:spacing w:after="120"/>
      <w:ind w:left="1440"/>
      <w:contextualSpacing/>
    </w:pPr>
  </w:style>
  <w:style w:type="paragraph" w:styleId="ListContinue5">
    <w:name w:val="List Continue 5"/>
    <w:basedOn w:val="Normal"/>
    <w:rsid w:val="008A4B80"/>
    <w:pPr>
      <w:spacing w:after="120"/>
      <w:ind w:left="1800"/>
      <w:contextualSpacing/>
    </w:pPr>
  </w:style>
  <w:style w:type="paragraph" w:styleId="ListNumber">
    <w:name w:val="List Number"/>
    <w:basedOn w:val="Normal"/>
    <w:rsid w:val="008A4B80"/>
    <w:pPr>
      <w:numPr>
        <w:numId w:val="6"/>
      </w:numPr>
      <w:contextualSpacing/>
    </w:pPr>
  </w:style>
  <w:style w:type="paragraph" w:styleId="ListNumber2">
    <w:name w:val="List Number 2"/>
    <w:basedOn w:val="Normal"/>
    <w:rsid w:val="008A4B80"/>
    <w:pPr>
      <w:numPr>
        <w:numId w:val="7"/>
      </w:numPr>
      <w:contextualSpacing/>
    </w:pPr>
  </w:style>
  <w:style w:type="paragraph" w:styleId="ListNumber3">
    <w:name w:val="List Number 3"/>
    <w:basedOn w:val="Normal"/>
    <w:rsid w:val="008A4B80"/>
    <w:pPr>
      <w:numPr>
        <w:numId w:val="8"/>
      </w:numPr>
      <w:contextualSpacing/>
    </w:pPr>
  </w:style>
  <w:style w:type="paragraph" w:styleId="ListNumber4">
    <w:name w:val="List Number 4"/>
    <w:basedOn w:val="Normal"/>
    <w:rsid w:val="008A4B80"/>
    <w:pPr>
      <w:numPr>
        <w:numId w:val="9"/>
      </w:numPr>
      <w:contextualSpacing/>
    </w:pPr>
  </w:style>
  <w:style w:type="paragraph" w:styleId="ListNumber5">
    <w:name w:val="List Number 5"/>
    <w:basedOn w:val="Normal"/>
    <w:rsid w:val="008A4B80"/>
    <w:pPr>
      <w:numPr>
        <w:numId w:val="10"/>
      </w:numPr>
      <w:contextualSpacing/>
    </w:pPr>
  </w:style>
  <w:style w:type="paragraph" w:styleId="ListParagraph">
    <w:name w:val="List Paragraph"/>
    <w:basedOn w:val="Normal"/>
    <w:uiPriority w:val="34"/>
    <w:qFormat/>
    <w:rsid w:val="008A4B80"/>
    <w:pPr>
      <w:ind w:left="720"/>
      <w:contextualSpacing/>
    </w:pPr>
  </w:style>
  <w:style w:type="paragraph" w:styleId="MacroText">
    <w:name w:val="macro"/>
    <w:link w:val="MacroTextChar"/>
    <w:rsid w:val="008A4B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cs="Consolas"/>
    </w:rPr>
  </w:style>
  <w:style w:type="character" w:customStyle="1" w:styleId="MacroTextChar">
    <w:name w:val="Macro Text Char"/>
    <w:basedOn w:val="DefaultParagraphFont"/>
    <w:link w:val="MacroText"/>
    <w:rsid w:val="008A4B80"/>
    <w:rPr>
      <w:rFonts w:ascii="Consolas" w:hAnsi="Consolas" w:cs="Consolas"/>
    </w:rPr>
  </w:style>
  <w:style w:type="paragraph" w:styleId="MessageHeader">
    <w:name w:val="Message Header"/>
    <w:basedOn w:val="Normal"/>
    <w:link w:val="MessageHeaderChar"/>
    <w:rsid w:val="008A4B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A4B80"/>
    <w:rPr>
      <w:rFonts w:asciiTheme="majorHAnsi" w:eastAsiaTheme="majorEastAsia" w:hAnsiTheme="majorHAnsi" w:cstheme="majorBidi"/>
      <w:sz w:val="24"/>
      <w:szCs w:val="24"/>
      <w:shd w:val="pct20" w:color="auto" w:fill="auto"/>
    </w:rPr>
  </w:style>
  <w:style w:type="paragraph" w:styleId="NoSpacing">
    <w:name w:val="No Spacing"/>
    <w:uiPriority w:val="1"/>
    <w:rsid w:val="008A4B80"/>
    <w:pPr>
      <w:overflowPunct w:val="0"/>
      <w:autoSpaceDE w:val="0"/>
      <w:autoSpaceDN w:val="0"/>
      <w:adjustRightInd w:val="0"/>
      <w:textAlignment w:val="baseline"/>
    </w:pPr>
  </w:style>
  <w:style w:type="paragraph" w:styleId="NormalWeb">
    <w:name w:val="Normal (Web)"/>
    <w:basedOn w:val="Normal"/>
    <w:rsid w:val="008A4B80"/>
  </w:style>
  <w:style w:type="paragraph" w:styleId="NormalIndent">
    <w:name w:val="Normal Indent"/>
    <w:basedOn w:val="Normal"/>
    <w:rsid w:val="008A4B80"/>
    <w:pPr>
      <w:ind w:left="720"/>
    </w:pPr>
  </w:style>
  <w:style w:type="paragraph" w:styleId="NoteHeading">
    <w:name w:val="Note Heading"/>
    <w:basedOn w:val="Normal"/>
    <w:next w:val="Normal"/>
    <w:link w:val="NoteHeadingChar"/>
    <w:rsid w:val="00E65435"/>
    <w:pPr>
      <w:spacing w:line="300" w:lineRule="auto"/>
      <w:jc w:val="center"/>
    </w:pPr>
    <w:rPr>
      <w:rFonts w:ascii="Arial Narrow" w:hAnsi="Arial Narrow"/>
      <w:b/>
    </w:rPr>
  </w:style>
  <w:style w:type="character" w:customStyle="1" w:styleId="NoteHeadingChar">
    <w:name w:val="Note Heading Char"/>
    <w:basedOn w:val="DefaultParagraphFont"/>
    <w:link w:val="NoteHeading"/>
    <w:rsid w:val="00E65435"/>
    <w:rPr>
      <w:rFonts w:ascii="Arial Narrow" w:hAnsi="Arial Narrow"/>
      <w:b/>
    </w:rPr>
  </w:style>
  <w:style w:type="paragraph" w:styleId="PlainText">
    <w:name w:val="Plain Text"/>
    <w:basedOn w:val="Normal"/>
    <w:link w:val="PlainTextChar"/>
    <w:rsid w:val="008A4B80"/>
    <w:rPr>
      <w:rFonts w:ascii="Consolas" w:hAnsi="Consolas" w:cs="Consolas"/>
      <w:sz w:val="21"/>
      <w:szCs w:val="21"/>
    </w:rPr>
  </w:style>
  <w:style w:type="character" w:customStyle="1" w:styleId="PlainTextChar">
    <w:name w:val="Plain Text Char"/>
    <w:basedOn w:val="DefaultParagraphFont"/>
    <w:link w:val="PlainText"/>
    <w:rsid w:val="008A4B80"/>
    <w:rPr>
      <w:rFonts w:ascii="Consolas" w:hAnsi="Consolas" w:cs="Consolas"/>
      <w:sz w:val="21"/>
      <w:szCs w:val="21"/>
    </w:rPr>
  </w:style>
  <w:style w:type="paragraph" w:styleId="Quote">
    <w:name w:val="Quote"/>
    <w:basedOn w:val="Normal"/>
    <w:next w:val="Normal"/>
    <w:link w:val="QuoteChar"/>
    <w:uiPriority w:val="29"/>
    <w:rsid w:val="008A4B80"/>
    <w:rPr>
      <w:i/>
      <w:iCs/>
      <w:color w:val="000000" w:themeColor="text1"/>
    </w:rPr>
  </w:style>
  <w:style w:type="character" w:customStyle="1" w:styleId="QuoteChar">
    <w:name w:val="Quote Char"/>
    <w:basedOn w:val="DefaultParagraphFont"/>
    <w:link w:val="Quote"/>
    <w:uiPriority w:val="29"/>
    <w:rsid w:val="008A4B80"/>
    <w:rPr>
      <w:i/>
      <w:iCs/>
      <w:color w:val="000000" w:themeColor="text1"/>
    </w:rPr>
  </w:style>
  <w:style w:type="paragraph" w:styleId="Salutation">
    <w:name w:val="Salutation"/>
    <w:basedOn w:val="Normal"/>
    <w:next w:val="Normal"/>
    <w:link w:val="SalutationChar"/>
    <w:rsid w:val="008A4B80"/>
  </w:style>
  <w:style w:type="character" w:customStyle="1" w:styleId="SalutationChar">
    <w:name w:val="Salutation Char"/>
    <w:basedOn w:val="DefaultParagraphFont"/>
    <w:link w:val="Salutation"/>
    <w:rsid w:val="008A4B80"/>
  </w:style>
  <w:style w:type="paragraph" w:styleId="Signature">
    <w:name w:val="Signature"/>
    <w:basedOn w:val="Normal"/>
    <w:link w:val="SignatureChar"/>
    <w:rsid w:val="008A4B80"/>
    <w:pPr>
      <w:ind w:left="4320"/>
    </w:pPr>
  </w:style>
  <w:style w:type="character" w:customStyle="1" w:styleId="SignatureChar">
    <w:name w:val="Signature Char"/>
    <w:basedOn w:val="DefaultParagraphFont"/>
    <w:link w:val="Signature"/>
    <w:rsid w:val="008A4B80"/>
  </w:style>
  <w:style w:type="paragraph" w:styleId="Subtitle">
    <w:name w:val="Subtitle"/>
    <w:basedOn w:val="Normal"/>
    <w:next w:val="Normal"/>
    <w:link w:val="SubtitleChar"/>
    <w:rsid w:val="008A4B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A4B8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A4B80"/>
    <w:pPr>
      <w:ind w:left="200" w:hanging="200"/>
    </w:pPr>
  </w:style>
  <w:style w:type="paragraph" w:styleId="TableofFigures">
    <w:name w:val="table of figures"/>
    <w:basedOn w:val="Normal"/>
    <w:next w:val="Normal"/>
    <w:rsid w:val="008A4B80"/>
  </w:style>
  <w:style w:type="paragraph" w:styleId="TOAHeading">
    <w:name w:val="toa heading"/>
    <w:basedOn w:val="Normal"/>
    <w:next w:val="Normal"/>
    <w:rsid w:val="008A4B80"/>
    <w:pPr>
      <w:spacing w:before="120"/>
    </w:pPr>
    <w:rPr>
      <w:rFonts w:asciiTheme="majorHAnsi" w:eastAsiaTheme="majorEastAsia" w:hAnsiTheme="majorHAnsi" w:cstheme="majorBidi"/>
      <w:b/>
      <w:bCs/>
    </w:rPr>
  </w:style>
  <w:style w:type="paragraph" w:styleId="TOC1">
    <w:name w:val="toc 1"/>
    <w:basedOn w:val="Normal"/>
    <w:next w:val="Normal"/>
    <w:uiPriority w:val="2"/>
    <w:rsid w:val="00B15F12"/>
    <w:pPr>
      <w:spacing w:line="300" w:lineRule="auto"/>
      <w:jc w:val="center"/>
    </w:pPr>
    <w:rPr>
      <w:b/>
      <w:sz w:val="28"/>
    </w:rPr>
  </w:style>
  <w:style w:type="paragraph" w:styleId="TOC2">
    <w:name w:val="toc 2"/>
    <w:basedOn w:val="Normal"/>
    <w:next w:val="Normal"/>
    <w:uiPriority w:val="3"/>
    <w:rsid w:val="007B5C98"/>
    <w:pPr>
      <w:spacing w:line="300" w:lineRule="auto"/>
      <w:ind w:left="504" w:hanging="504"/>
    </w:pPr>
    <w:rPr>
      <w:rFonts w:ascii="Arial Narrow" w:hAnsi="Arial Narrow"/>
      <w:b/>
      <w:u w:val="single"/>
    </w:rPr>
  </w:style>
  <w:style w:type="paragraph" w:styleId="TOC3">
    <w:name w:val="toc 3"/>
    <w:basedOn w:val="Normal"/>
    <w:next w:val="Normal"/>
    <w:autoRedefine/>
    <w:rsid w:val="008A4B80"/>
    <w:pPr>
      <w:spacing w:after="100"/>
      <w:ind w:left="400"/>
    </w:pPr>
  </w:style>
  <w:style w:type="paragraph" w:styleId="TOC4">
    <w:name w:val="toc 4"/>
    <w:basedOn w:val="Normal"/>
    <w:next w:val="Normal"/>
    <w:autoRedefine/>
    <w:rsid w:val="008A4B80"/>
    <w:pPr>
      <w:spacing w:after="100"/>
      <w:ind w:left="600"/>
    </w:pPr>
  </w:style>
  <w:style w:type="paragraph" w:styleId="TOC5">
    <w:name w:val="toc 5"/>
    <w:basedOn w:val="Normal"/>
    <w:next w:val="Normal"/>
    <w:autoRedefine/>
    <w:rsid w:val="008A4B80"/>
    <w:pPr>
      <w:spacing w:after="100"/>
      <w:ind w:left="800"/>
    </w:pPr>
  </w:style>
  <w:style w:type="paragraph" w:styleId="TOC6">
    <w:name w:val="toc 6"/>
    <w:basedOn w:val="Normal"/>
    <w:next w:val="Normal"/>
    <w:autoRedefine/>
    <w:rsid w:val="008A4B80"/>
    <w:pPr>
      <w:spacing w:after="100"/>
      <w:ind w:left="1000"/>
    </w:pPr>
  </w:style>
  <w:style w:type="paragraph" w:styleId="TOC7">
    <w:name w:val="toc 7"/>
    <w:basedOn w:val="Normal"/>
    <w:next w:val="Normal"/>
    <w:autoRedefine/>
    <w:rsid w:val="008A4B80"/>
    <w:pPr>
      <w:spacing w:after="100"/>
      <w:ind w:left="1200"/>
    </w:pPr>
  </w:style>
  <w:style w:type="paragraph" w:styleId="TOC8">
    <w:name w:val="toc 8"/>
    <w:basedOn w:val="Normal"/>
    <w:next w:val="Normal"/>
    <w:autoRedefine/>
    <w:rsid w:val="008A4B80"/>
    <w:pPr>
      <w:spacing w:after="100"/>
      <w:ind w:left="1400"/>
    </w:pPr>
  </w:style>
  <w:style w:type="paragraph" w:styleId="TOC9">
    <w:name w:val="toc 9"/>
    <w:basedOn w:val="Normal"/>
    <w:next w:val="Normal"/>
    <w:autoRedefine/>
    <w:rsid w:val="008A4B80"/>
    <w:pPr>
      <w:spacing w:after="100"/>
      <w:ind w:left="1600"/>
    </w:pPr>
  </w:style>
  <w:style w:type="paragraph" w:styleId="TOCHeading">
    <w:name w:val="TOC Heading"/>
    <w:basedOn w:val="Heading1"/>
    <w:next w:val="Normal"/>
    <w:uiPriority w:val="1"/>
    <w:rsid w:val="00E65435"/>
    <w:pPr>
      <w:keepLines/>
      <w:tabs>
        <w:tab w:val="clear" w:pos="274"/>
        <w:tab w:val="clear" w:pos="778"/>
        <w:tab w:val="clear" w:pos="1282"/>
        <w:tab w:val="clear" w:pos="8712"/>
      </w:tabs>
      <w:outlineLvl w:val="9"/>
    </w:pPr>
    <w:rPr>
      <w:rFonts w:eastAsiaTheme="majorEastAsia" w:cstheme="majorBidi"/>
      <w:b w:val="0"/>
      <w:bCs/>
      <w:sz w:val="40"/>
      <w:szCs w:val="28"/>
      <w:u w:val="none"/>
    </w:rPr>
  </w:style>
  <w:style w:type="paragraph" w:customStyle="1" w:styleId="StyleHeading3Before0ptLinespacing15lines">
    <w:name w:val="Style Heading 3 + Before:  0 pt Line spacing:  1.5 lines"/>
    <w:basedOn w:val="Heading3"/>
    <w:rsid w:val="00B926D1"/>
    <w:rPr>
      <w:rFonts w:eastAsia="Times New Roman" w:cs="Times New Roman"/>
      <w:bCs w:val="0"/>
      <w:szCs w:val="20"/>
    </w:rPr>
  </w:style>
  <w:style w:type="paragraph" w:customStyle="1" w:styleId="StyleHeading3Before0ptLinespacing15lines1">
    <w:name w:val="Style Heading 3 + Before:  0 pt Line spacing:  1.5 lines1"/>
    <w:basedOn w:val="Heading3"/>
    <w:next w:val="Heading3"/>
    <w:rsid w:val="00B926D1"/>
    <w:rPr>
      <w:rFonts w:eastAsia="Times New Roman" w:cs="Times New Roman"/>
      <w:bCs w:val="0"/>
      <w:szCs w:val="20"/>
    </w:rPr>
  </w:style>
  <w:style w:type="character" w:styleId="FollowedHyperlink">
    <w:name w:val="FollowedHyperlink"/>
    <w:basedOn w:val="DefaultParagraphFont"/>
    <w:rsid w:val="00BE3D9D"/>
    <w:rPr>
      <w:color w:val="800080" w:themeColor="followedHyperlink"/>
      <w:u w:val="single"/>
    </w:rPr>
  </w:style>
  <w:style w:type="paragraph" w:customStyle="1" w:styleId="A1-TableofContents">
    <w:name w:val="A1 - Table of Contents"/>
    <w:basedOn w:val="Heading1"/>
    <w:qFormat/>
    <w:rsid w:val="00DE1B4B"/>
    <w:rPr>
      <w:szCs w:val="20"/>
    </w:rPr>
  </w:style>
  <w:style w:type="paragraph" w:customStyle="1" w:styleId="A2-ExcelFileNoteGlossaryTerms">
    <w:name w:val="A2 - Excel File Note &amp;  Glossary Terms"/>
    <w:basedOn w:val="Heading2"/>
    <w:next w:val="Heading2"/>
    <w:qFormat/>
    <w:rsid w:val="00D97568"/>
    <w:pPr>
      <w:jc w:val="left"/>
    </w:pPr>
    <w:rPr>
      <w:szCs w:val="20"/>
    </w:rPr>
  </w:style>
  <w:style w:type="paragraph" w:customStyle="1" w:styleId="A10-ManagementsDiscussionandAnalysis">
    <w:name w:val="A10 - Management's Discussion and Analysis"/>
    <w:basedOn w:val="Heading2"/>
    <w:next w:val="Heading2"/>
    <w:autoRedefine/>
    <w:qFormat/>
    <w:rsid w:val="00AB3F37"/>
    <w:rPr>
      <w:szCs w:val="20"/>
    </w:rPr>
  </w:style>
  <w:style w:type="paragraph" w:customStyle="1" w:styleId="A4-FindingTitle">
    <w:name w:val="A4 - Finding Title"/>
    <w:basedOn w:val="Heading3"/>
    <w:autoRedefine/>
    <w:uiPriority w:val="2"/>
    <w:qFormat/>
    <w:rsid w:val="00746C1C"/>
    <w:pPr>
      <w:numPr>
        <w:numId w:val="11"/>
      </w:numPr>
      <w:spacing w:line="300" w:lineRule="auto"/>
      <w:ind w:left="504" w:hanging="504"/>
      <w:jc w:val="left"/>
    </w:pPr>
    <w:rPr>
      <w:rFonts w:ascii="Arial Narrow" w:hAnsi="Arial Narrow"/>
      <w:b/>
      <w:sz w:val="24"/>
      <w:szCs w:val="20"/>
      <w:u w:val="single"/>
    </w:rPr>
  </w:style>
  <w:style w:type="paragraph" w:customStyle="1" w:styleId="A5-IAReportLetters">
    <w:name w:val="A5 - IA Report Letters"/>
    <w:basedOn w:val="Heading2"/>
    <w:next w:val="Heading2"/>
    <w:autoRedefine/>
    <w:uiPriority w:val="1"/>
    <w:qFormat/>
    <w:rsid w:val="00A51845"/>
    <w:pPr>
      <w:spacing w:line="240" w:lineRule="auto"/>
    </w:pPr>
    <w:rPr>
      <w:rFonts w:ascii="Arial" w:hAnsi="Arial"/>
      <w:b w:val="0"/>
      <w:color w:val="000000"/>
      <w:sz w:val="20"/>
      <w:szCs w:val="20"/>
    </w:rPr>
  </w:style>
  <w:style w:type="paragraph" w:customStyle="1" w:styleId="A6-Single-Comment">
    <w:name w:val="A6 - Single - Comment"/>
    <w:basedOn w:val="Heading2"/>
    <w:autoRedefine/>
    <w:uiPriority w:val="1"/>
    <w:qFormat/>
    <w:rsid w:val="00A51845"/>
    <w:pPr>
      <w:spacing w:line="360" w:lineRule="auto"/>
      <w:jc w:val="left"/>
    </w:pPr>
    <w:rPr>
      <w:rFonts w:ascii="Arial" w:hAnsi="Arial"/>
      <w:sz w:val="28"/>
      <w:szCs w:val="20"/>
    </w:rPr>
  </w:style>
  <w:style w:type="paragraph" w:customStyle="1" w:styleId="A7-Single-PriorAuditandCAP">
    <w:name w:val="A7 - Single - Prior Audit and CAP"/>
    <w:basedOn w:val="Heading2"/>
    <w:next w:val="Heading2"/>
    <w:autoRedefine/>
    <w:uiPriority w:val="1"/>
    <w:qFormat/>
    <w:rsid w:val="00A51845"/>
    <w:rPr>
      <w:rFonts w:ascii="Arial" w:hAnsi="Arial"/>
      <w:b w:val="0"/>
      <w:szCs w:val="20"/>
    </w:rPr>
  </w:style>
  <w:style w:type="paragraph" w:customStyle="1" w:styleId="A8-TitlePages">
    <w:name w:val="A8 - Title Pages"/>
    <w:basedOn w:val="Title"/>
    <w:qFormat/>
    <w:rsid w:val="00A51845"/>
    <w:rPr>
      <w:b w:val="0"/>
      <w:sz w:val="40"/>
      <w:szCs w:val="40"/>
      <w:u w:val="none"/>
    </w:rPr>
  </w:style>
  <w:style w:type="paragraph" w:customStyle="1" w:styleId="A9-PERFORMANCE-COMMENT">
    <w:name w:val="A9 - PERFORMANCE - COMMENT"/>
    <w:basedOn w:val="Heading2"/>
    <w:next w:val="Heading2"/>
    <w:qFormat/>
    <w:rsid w:val="00DE1B4B"/>
    <w:rPr>
      <w:rFonts w:ascii="Arial" w:hAnsi="Arial"/>
      <w:sz w:val="28"/>
    </w:rPr>
  </w:style>
  <w:style w:type="paragraph" w:customStyle="1" w:styleId="A3-DescriptionandObjectives">
    <w:name w:val="A3 - Description and Objectives"/>
    <w:basedOn w:val="Normal"/>
    <w:qFormat/>
    <w:rsid w:val="00AB3F37"/>
    <w:pPr>
      <w:overflowPunct/>
      <w:autoSpaceDE/>
      <w:autoSpaceDN/>
      <w:adjustRightInd/>
      <w:spacing w:line="300" w:lineRule="auto"/>
      <w:jc w:val="center"/>
      <w:textAlignment w:val="auto"/>
    </w:pPr>
    <w:rPr>
      <w:rFonts w:ascii="Arial Narrow" w:hAnsi="Arial Narrow"/>
      <w:b/>
      <w:szCs w:val="20"/>
    </w:rPr>
  </w:style>
  <w:style w:type="paragraph" w:customStyle="1" w:styleId="A11-Notes">
    <w:name w:val="A11 - Notes"/>
    <w:basedOn w:val="Heading2"/>
    <w:next w:val="Heading2"/>
    <w:autoRedefine/>
    <w:qFormat/>
    <w:rsid w:val="00AB3F37"/>
    <w:rPr>
      <w:szCs w:val="20"/>
    </w:rPr>
  </w:style>
  <w:style w:type="character" w:customStyle="1" w:styleId="A0">
    <w:name w:val="A0"/>
    <w:uiPriority w:val="99"/>
    <w:rsid w:val="000B22AC"/>
    <w:rPr>
      <w:color w:val="211D1E"/>
      <w:sz w:val="28"/>
      <w:szCs w:val="28"/>
    </w:rPr>
  </w:style>
  <w:style w:type="paragraph" w:customStyle="1" w:styleId="Pa2">
    <w:name w:val="Pa2"/>
    <w:basedOn w:val="Normal"/>
    <w:next w:val="Normal"/>
    <w:uiPriority w:val="99"/>
    <w:rsid w:val="000B22AC"/>
    <w:pPr>
      <w:overflowPunct/>
      <w:spacing w:line="241" w:lineRule="atLeast"/>
      <w:textAlignment w:val="auto"/>
    </w:pPr>
    <w:rPr>
      <w:rFonts w:eastAsiaTheme="minorHAnsi" w:cs="Arial"/>
    </w:rPr>
  </w:style>
  <w:style w:type="character" w:styleId="CommentReference">
    <w:name w:val="annotation reference"/>
    <w:basedOn w:val="DefaultParagraphFont"/>
    <w:rsid w:val="00273A2C"/>
    <w:rPr>
      <w:sz w:val="16"/>
      <w:szCs w:val="16"/>
    </w:rPr>
  </w:style>
  <w:style w:type="table" w:styleId="TableGrid">
    <w:name w:val="Table Grid"/>
    <w:basedOn w:val="TableNormal"/>
    <w:rsid w:val="007D2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1302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3F7E-F08F-45B7-A0EB-EC75EFC4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11989</Words>
  <Characters>65551</Characters>
  <Application>Microsoft Office Word</Application>
  <DocSecurity>0</DocSecurity>
  <Lines>1680</Lines>
  <Paragraphs>610</Paragraphs>
  <ScaleCrop>false</ScaleCrop>
  <HeadingPairs>
    <vt:vector size="2" baseType="variant">
      <vt:variant>
        <vt:lpstr>Title</vt:lpstr>
      </vt:variant>
      <vt:variant>
        <vt:i4>1</vt:i4>
      </vt:variant>
    </vt:vector>
  </HeadingPairs>
  <TitlesOfParts>
    <vt:vector size="1" baseType="lpstr">
      <vt:lpstr>TABLE OF CONTENTS</vt:lpstr>
    </vt:vector>
  </TitlesOfParts>
  <Company>Office of the Auditor General</Company>
  <LinksUpToDate>false</LinksUpToDate>
  <CharactersWithSpaces>76930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Auditor</dc:creator>
  <cp:lastModifiedBy>Auditor</cp:lastModifiedBy>
  <cp:revision>2</cp:revision>
  <cp:lastPrinted>2014-05-30T15:06:00Z</cp:lastPrinted>
  <dcterms:created xsi:type="dcterms:W3CDTF">2014-06-11T17:05:00Z</dcterms:created>
  <dcterms:modified xsi:type="dcterms:W3CDTF">2014-06-11T17:05:00Z</dcterms:modified>
</cp:coreProperties>
</file>