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Look w:val="01E0"/>
      </w:tblPr>
      <w:tblGrid>
        <w:gridCol w:w="2287"/>
        <w:gridCol w:w="8729"/>
      </w:tblGrid>
      <w:tr w:rsidR="006061DB" w:rsidTr="006061DB">
        <w:tc>
          <w:tcPr>
            <w:tcW w:w="2719" w:type="dxa"/>
            <w:shd w:val="clear" w:color="auto" w:fill="000000" w:themeFill="text1"/>
          </w:tcPr>
          <w:p w:rsidR="00467D0D" w:rsidRDefault="00467D0D" w:rsidP="00467D0D">
            <w:pPr>
              <w:pStyle w:val="BodyText"/>
            </w:pPr>
            <w:bookmarkStart w:id="0" w:name="_GoBack"/>
            <w:bookmarkEnd w:id="0"/>
          </w:p>
        </w:tc>
        <w:tc>
          <w:tcPr>
            <w:tcW w:w="8163" w:type="dxa"/>
            <w:shd w:val="clear" w:color="auto" w:fill="000000" w:themeFill="text1"/>
          </w:tcPr>
          <w:p w:rsidR="00467D0D" w:rsidRDefault="00467D0D" w:rsidP="00467D0D">
            <w:pPr>
              <w:pStyle w:val="BodyText"/>
            </w:pPr>
          </w:p>
        </w:tc>
      </w:tr>
      <w:tr w:rsidR="00467D0D">
        <w:trPr>
          <w:trHeight w:val="1440"/>
        </w:trPr>
        <w:tc>
          <w:tcPr>
            <w:tcW w:w="2719" w:type="dxa"/>
            <w:vAlign w:val="center"/>
          </w:tcPr>
          <w:p w:rsidR="00467D0D" w:rsidRDefault="008E1925" w:rsidP="00785129">
            <w:pPr>
              <w:pStyle w:val="NewsletterTitle"/>
            </w:pPr>
            <w:r>
              <w:rPr>
                <w:noProof/>
              </w:rPr>
              <w:drawing>
                <wp:inline distT="0" distB="0" distL="0" distR="0">
                  <wp:extent cx="1371600" cy="1371600"/>
                  <wp:effectExtent l="19050" t="0" r="0" b="0"/>
                  <wp:docPr id="4" name="Picture 4" descr="N:\MATAVectorLogo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TAVectorLogos copy.jpg"/>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8163" w:type="dxa"/>
            <w:vAlign w:val="center"/>
          </w:tcPr>
          <w:p w:rsidR="00916C4D" w:rsidRDefault="00084045" w:rsidP="00785129">
            <w:pPr>
              <w:pStyle w:val="NewsletterTitle"/>
              <w:rPr>
                <w:b/>
                <w:color w:val="auto"/>
                <w:sz w:val="72"/>
                <w:szCs w:val="72"/>
              </w:rPr>
            </w:pPr>
            <w:r>
              <w:rPr>
                <w:b/>
                <w:color w:val="auto"/>
                <w:sz w:val="72"/>
                <w:szCs w:val="72"/>
              </w:rPr>
              <w:t>SB 592</w:t>
            </w:r>
          </w:p>
          <w:p w:rsidR="005F7F05" w:rsidRDefault="005B35C6" w:rsidP="00785129">
            <w:pPr>
              <w:pStyle w:val="NewsletterTitle"/>
              <w:rPr>
                <w:b/>
                <w:color w:val="auto"/>
                <w:sz w:val="72"/>
                <w:szCs w:val="72"/>
              </w:rPr>
            </w:pPr>
            <w:r>
              <w:rPr>
                <w:b/>
                <w:color w:val="auto"/>
                <w:sz w:val="72"/>
                <w:szCs w:val="72"/>
              </w:rPr>
              <w:t xml:space="preserve"> </w:t>
            </w:r>
            <w:r w:rsidR="00F46CCE">
              <w:rPr>
                <w:b/>
                <w:color w:val="auto"/>
                <w:sz w:val="72"/>
                <w:szCs w:val="72"/>
              </w:rPr>
              <w:t>VOTE NO</w:t>
            </w:r>
          </w:p>
          <w:p w:rsidR="00467D0D" w:rsidRPr="00E457CA" w:rsidRDefault="00061114" w:rsidP="00785129">
            <w:pPr>
              <w:pStyle w:val="NewsletterTitle"/>
              <w:rPr>
                <w:b/>
                <w:color w:val="auto"/>
                <w:sz w:val="48"/>
                <w:szCs w:val="48"/>
              </w:rPr>
            </w:pPr>
            <w:r>
              <w:rPr>
                <w:b/>
                <w:color w:val="auto"/>
                <w:sz w:val="48"/>
                <w:szCs w:val="48"/>
              </w:rPr>
              <w:t>Protect Whistleblowers</w:t>
            </w:r>
          </w:p>
        </w:tc>
      </w:tr>
      <w:tr w:rsidR="006061DB" w:rsidTr="006061DB">
        <w:tc>
          <w:tcPr>
            <w:tcW w:w="2719" w:type="dxa"/>
            <w:shd w:val="clear" w:color="auto" w:fill="000000" w:themeFill="text1"/>
          </w:tcPr>
          <w:p w:rsidR="00467D0D" w:rsidRPr="00467D0D" w:rsidRDefault="00467D0D" w:rsidP="00467D0D">
            <w:pPr>
              <w:pStyle w:val="NewsletterDate"/>
            </w:pPr>
          </w:p>
        </w:tc>
        <w:tc>
          <w:tcPr>
            <w:tcW w:w="8163" w:type="dxa"/>
            <w:shd w:val="clear" w:color="auto" w:fill="000000" w:themeFill="text1"/>
          </w:tcPr>
          <w:p w:rsidR="00467D0D" w:rsidRDefault="006061DB" w:rsidP="006061DB">
            <w:pPr>
              <w:pStyle w:val="VolumeandIssue"/>
              <w:tabs>
                <w:tab w:val="left" w:pos="375"/>
              </w:tabs>
              <w:jc w:val="left"/>
            </w:pPr>
            <w:r>
              <w:tab/>
            </w:r>
          </w:p>
        </w:tc>
      </w:tr>
      <w:tr w:rsidR="006061DB" w:rsidTr="006061DB">
        <w:tc>
          <w:tcPr>
            <w:tcW w:w="2719" w:type="dxa"/>
            <w:shd w:val="clear" w:color="auto" w:fill="000000" w:themeFill="text1"/>
          </w:tcPr>
          <w:p w:rsidR="00DD3F44" w:rsidRDefault="00DD3F44" w:rsidP="00785129">
            <w:pPr>
              <w:pStyle w:val="LinksDescriptiveText"/>
            </w:pPr>
          </w:p>
          <w:p w:rsidR="0073669E" w:rsidRDefault="0073669E" w:rsidP="0073669E">
            <w:pPr>
              <w:pStyle w:val="LinksDescriptiveText"/>
              <w:shd w:val="clear" w:color="auto" w:fill="000000" w:themeFill="text1"/>
            </w:pPr>
          </w:p>
          <w:p w:rsidR="003F1649" w:rsidRPr="005F4F47" w:rsidRDefault="005F4F47" w:rsidP="005F4F47">
            <w:pPr>
              <w:pStyle w:val="SideBarHeading"/>
              <w:spacing w:before="0"/>
              <w:rPr>
                <w:i/>
                <w:color w:val="FFFFFF" w:themeColor="background1"/>
              </w:rPr>
            </w:pPr>
            <w:r w:rsidRPr="005F4F47">
              <w:rPr>
                <w:i/>
                <w:color w:val="FFFFFF" w:themeColor="background1"/>
              </w:rPr>
              <w:t>MO Constitution</w:t>
            </w:r>
          </w:p>
          <w:p w:rsidR="005F4F47" w:rsidRPr="005F4F47" w:rsidRDefault="005F4F47" w:rsidP="005F4F47">
            <w:pPr>
              <w:pStyle w:val="SideBarHeading"/>
              <w:spacing w:before="0"/>
              <w:rPr>
                <w:i/>
                <w:color w:val="FFFFFF" w:themeColor="background1"/>
              </w:rPr>
            </w:pPr>
            <w:r w:rsidRPr="005F4F47">
              <w:rPr>
                <w:i/>
                <w:color w:val="FFFFFF" w:themeColor="background1"/>
              </w:rPr>
              <w:t>Article I Sec. 14</w:t>
            </w:r>
          </w:p>
          <w:p w:rsidR="005F4F47" w:rsidRDefault="005F4F47" w:rsidP="005F4F47">
            <w:pPr>
              <w:pStyle w:val="SideBarHeading"/>
              <w:spacing w:before="240"/>
              <w:rPr>
                <w:color w:val="FFFFFF" w:themeColor="background1"/>
              </w:rPr>
            </w:pPr>
            <w:r>
              <w:rPr>
                <w:color w:val="FFFFFF" w:themeColor="background1"/>
              </w:rPr>
              <w:t>That the courts of justice shall be open to every person, and certain remedy afforded for every injury to person, property or character, and that right and justice shall be administered without sale, denial or delay.</w:t>
            </w:r>
          </w:p>
          <w:p w:rsidR="005F4F47" w:rsidRPr="005F4F47" w:rsidRDefault="005F4F47" w:rsidP="005F4F47">
            <w:pPr>
              <w:pStyle w:val="SideBarHeading"/>
              <w:rPr>
                <w:i/>
                <w:color w:val="FFFFFF" w:themeColor="background1"/>
              </w:rPr>
            </w:pPr>
            <w:r w:rsidRPr="005F4F47">
              <w:rPr>
                <w:i/>
                <w:color w:val="FFFFFF" w:themeColor="background1"/>
              </w:rPr>
              <w:t>US Constitution</w:t>
            </w:r>
          </w:p>
          <w:p w:rsidR="005F4F47" w:rsidRPr="005F4F47" w:rsidRDefault="005F4F47" w:rsidP="005F4F47">
            <w:pPr>
              <w:pStyle w:val="SideBarHeading"/>
              <w:spacing w:before="0"/>
              <w:rPr>
                <w:i/>
                <w:color w:val="FFFFFF" w:themeColor="background1"/>
              </w:rPr>
            </w:pPr>
            <w:r w:rsidRPr="005F4F47">
              <w:rPr>
                <w:i/>
                <w:color w:val="FFFFFF" w:themeColor="background1"/>
              </w:rPr>
              <w:t>7th Amendment</w:t>
            </w:r>
          </w:p>
          <w:p w:rsidR="005F4F47" w:rsidRDefault="005F4F47" w:rsidP="005F4F47">
            <w:pPr>
              <w:pStyle w:val="SideBarHeading"/>
              <w:spacing w:before="240"/>
              <w:rPr>
                <w:color w:val="FFFFFF" w:themeColor="background1"/>
              </w:rPr>
            </w:pPr>
            <w:r>
              <w:rPr>
                <w:color w:val="FFFFFF" w:themeColor="background1"/>
              </w:rPr>
              <w:t>In suits at common law where the value in controversy shall exceed twenty dollars, the right of trial by jury shall be preserved, and no fact tried by a jury shall be otherwise re-examined in any court of the United States, than according to the rules of common law.</w:t>
            </w:r>
          </w:p>
          <w:p w:rsidR="006520B3" w:rsidRPr="002D08DA" w:rsidRDefault="006520B3" w:rsidP="006520B3">
            <w:pPr>
              <w:pStyle w:val="Links"/>
              <w:rPr>
                <w:rStyle w:val="Hyperlink"/>
              </w:rPr>
            </w:pPr>
          </w:p>
        </w:tc>
        <w:tc>
          <w:tcPr>
            <w:tcW w:w="8163" w:type="dxa"/>
          </w:tcPr>
          <w:p w:rsidR="005C1164" w:rsidRDefault="005C1164" w:rsidP="005C1164">
            <w:pPr>
              <w:rPr>
                <w:rFonts w:ascii="Trebuchet MS" w:hAnsi="Trebuchet MS" w:cs="Arial"/>
                <w:b/>
                <w:kern w:val="32"/>
                <w:sz w:val="36"/>
                <w:szCs w:val="38"/>
              </w:rPr>
            </w:pPr>
          </w:p>
          <w:p w:rsidR="00061114" w:rsidRPr="005F4F47" w:rsidRDefault="00061114" w:rsidP="005F4F47">
            <w:pPr>
              <w:spacing w:after="120"/>
              <w:jc w:val="center"/>
              <w:rPr>
                <w:rFonts w:ascii="Trebuchet MS" w:hAnsi="Trebuchet MS" w:cs="Arial"/>
                <w:b/>
                <w:kern w:val="32"/>
                <w:sz w:val="22"/>
                <w:szCs w:val="22"/>
              </w:rPr>
            </w:pPr>
            <w:r w:rsidRPr="005F4F47">
              <w:rPr>
                <w:rFonts w:ascii="Trebuchet MS" w:hAnsi="Trebuchet MS" w:cs="Arial"/>
                <w:b/>
                <w:kern w:val="32"/>
                <w:sz w:val="22"/>
                <w:szCs w:val="22"/>
              </w:rPr>
              <w:t>What is a Whistleblower?</w:t>
            </w:r>
          </w:p>
          <w:p w:rsidR="00061114" w:rsidRPr="005F4F47" w:rsidRDefault="00061114" w:rsidP="005F4F47">
            <w:pPr>
              <w:ind w:left="360"/>
              <w:rPr>
                <w:rFonts w:ascii="Trebuchet MS" w:hAnsi="Trebuchet MS"/>
                <w:sz w:val="22"/>
                <w:szCs w:val="22"/>
              </w:rPr>
            </w:pPr>
            <w:r w:rsidRPr="005F4F47">
              <w:rPr>
                <w:rFonts w:ascii="Trebuchet MS" w:hAnsi="Trebuchet MS"/>
                <w:sz w:val="22"/>
                <w:szCs w:val="22"/>
              </w:rPr>
              <w:t>Whistleblowers are employees who</w:t>
            </w:r>
            <w:r w:rsidR="005F4F47" w:rsidRPr="005F4F47">
              <w:rPr>
                <w:rFonts w:ascii="Trebuchet MS" w:hAnsi="Trebuchet MS"/>
                <w:sz w:val="22"/>
                <w:szCs w:val="22"/>
              </w:rPr>
              <w:t xml:space="preserve"> r</w:t>
            </w:r>
            <w:r w:rsidRPr="005F4F47">
              <w:rPr>
                <w:rFonts w:ascii="Trebuchet MS" w:hAnsi="Trebuchet MS"/>
                <w:sz w:val="22"/>
                <w:szCs w:val="22"/>
              </w:rPr>
              <w:t xml:space="preserve">eport illegal conduct to their </w:t>
            </w:r>
            <w:r w:rsidR="0073669E" w:rsidRPr="005F4F47">
              <w:rPr>
                <w:rFonts w:ascii="Trebuchet MS" w:hAnsi="Trebuchet MS"/>
                <w:sz w:val="22"/>
                <w:szCs w:val="22"/>
              </w:rPr>
              <w:t>supervisors</w:t>
            </w:r>
            <w:r w:rsidR="005F4F47" w:rsidRPr="005F4F47">
              <w:rPr>
                <w:rFonts w:ascii="Trebuchet MS" w:hAnsi="Trebuchet MS"/>
                <w:sz w:val="22"/>
                <w:szCs w:val="22"/>
              </w:rPr>
              <w:t xml:space="preserve"> or </w:t>
            </w:r>
            <w:r w:rsidRPr="005F4F47">
              <w:rPr>
                <w:rFonts w:ascii="Trebuchet MS" w:hAnsi="Trebuchet MS"/>
                <w:sz w:val="22"/>
                <w:szCs w:val="22"/>
              </w:rPr>
              <w:t>public authorities</w:t>
            </w:r>
            <w:r w:rsidR="005F4F47" w:rsidRPr="005F4F47">
              <w:rPr>
                <w:rFonts w:ascii="Trebuchet MS" w:hAnsi="Trebuchet MS"/>
                <w:sz w:val="22"/>
                <w:szCs w:val="22"/>
              </w:rPr>
              <w:t>, or who r</w:t>
            </w:r>
            <w:r w:rsidRPr="005F4F47">
              <w:rPr>
                <w:rFonts w:ascii="Trebuchet MS" w:hAnsi="Trebuchet MS"/>
                <w:sz w:val="22"/>
                <w:szCs w:val="22"/>
              </w:rPr>
              <w:t>efuse to break the law</w:t>
            </w:r>
            <w:r w:rsidR="005F4F47" w:rsidRPr="005F4F47">
              <w:rPr>
                <w:rFonts w:ascii="Trebuchet MS" w:hAnsi="Trebuchet MS"/>
                <w:sz w:val="22"/>
                <w:szCs w:val="22"/>
              </w:rPr>
              <w:t>.</w:t>
            </w:r>
          </w:p>
          <w:p w:rsidR="005F4F47" w:rsidRPr="005F4F47" w:rsidRDefault="00061114" w:rsidP="005F4F47">
            <w:pPr>
              <w:ind w:left="360"/>
              <w:rPr>
                <w:rFonts w:ascii="Trebuchet MS" w:hAnsi="Trebuchet MS"/>
                <w:sz w:val="22"/>
                <w:szCs w:val="22"/>
              </w:rPr>
            </w:pPr>
            <w:r w:rsidRPr="005F4F47">
              <w:rPr>
                <w:rFonts w:ascii="Trebuchet MS" w:hAnsi="Trebuchet MS"/>
                <w:sz w:val="22"/>
                <w:szCs w:val="22"/>
              </w:rPr>
              <w:t xml:space="preserve">Current Missouri law makes it illegal to fire an employee </w:t>
            </w:r>
            <w:r w:rsidR="005F4F47" w:rsidRPr="005F4F47">
              <w:rPr>
                <w:rFonts w:ascii="Trebuchet MS" w:hAnsi="Trebuchet MS"/>
                <w:sz w:val="22"/>
                <w:szCs w:val="22"/>
              </w:rPr>
              <w:t>because he or she</w:t>
            </w:r>
            <w:r w:rsidRPr="005F4F47">
              <w:rPr>
                <w:rFonts w:ascii="Trebuchet MS" w:hAnsi="Trebuchet MS"/>
                <w:sz w:val="22"/>
                <w:szCs w:val="22"/>
              </w:rPr>
              <w:t xml:space="preserve"> blows the whistle.</w:t>
            </w:r>
            <w:r w:rsidR="005F4F47" w:rsidRPr="005F4F47">
              <w:rPr>
                <w:rFonts w:ascii="Trebuchet MS" w:hAnsi="Trebuchet MS"/>
                <w:sz w:val="22"/>
                <w:szCs w:val="22"/>
              </w:rPr>
              <w:t xml:space="preserve"> </w:t>
            </w:r>
          </w:p>
          <w:p w:rsidR="005F4F47" w:rsidRPr="005F4F47" w:rsidRDefault="00731A45" w:rsidP="005F4F47">
            <w:pPr>
              <w:pStyle w:val="Heading2"/>
              <w:pBdr>
                <w:top w:val="none" w:sz="0" w:space="0" w:color="auto"/>
              </w:pBdr>
              <w:jc w:val="center"/>
              <w:rPr>
                <w:b/>
                <w:color w:val="auto"/>
                <w:sz w:val="22"/>
                <w:szCs w:val="22"/>
              </w:rPr>
            </w:pPr>
            <w:r w:rsidRPr="00731A45">
              <w:rPr>
                <w:b/>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155_"/>
                </v:shape>
              </w:pict>
            </w:r>
          </w:p>
          <w:p w:rsidR="005F4F47" w:rsidRPr="005F4F47" w:rsidRDefault="005F4F47" w:rsidP="005F4F47">
            <w:pPr>
              <w:pStyle w:val="Heading2"/>
              <w:pBdr>
                <w:top w:val="none" w:sz="0" w:space="0" w:color="auto"/>
              </w:pBdr>
              <w:spacing w:after="120"/>
              <w:jc w:val="center"/>
              <w:rPr>
                <w:b/>
                <w:color w:val="auto"/>
                <w:sz w:val="22"/>
                <w:szCs w:val="22"/>
              </w:rPr>
            </w:pPr>
            <w:r w:rsidRPr="005F4F47">
              <w:rPr>
                <w:b/>
                <w:color w:val="auto"/>
                <w:sz w:val="22"/>
                <w:szCs w:val="22"/>
              </w:rPr>
              <w:t>Protecting Whistleblowers is About Respect</w:t>
            </w:r>
          </w:p>
          <w:p w:rsidR="005F4F47" w:rsidRPr="005F4F47" w:rsidRDefault="005F4F47" w:rsidP="005F4F47">
            <w:pPr>
              <w:contextualSpacing/>
              <w:rPr>
                <w:rFonts w:ascii="Trebuchet MS" w:hAnsi="Trebuchet MS"/>
                <w:sz w:val="22"/>
                <w:szCs w:val="22"/>
              </w:rPr>
            </w:pPr>
            <w:r w:rsidRPr="005F4F47">
              <w:rPr>
                <w:rFonts w:ascii="Trebuchet MS" w:hAnsi="Trebuchet MS"/>
                <w:sz w:val="22"/>
                <w:szCs w:val="22"/>
              </w:rPr>
              <w:t>Respect Employees:</w:t>
            </w:r>
          </w:p>
          <w:p w:rsidR="005F4F47" w:rsidRPr="005F4F47" w:rsidRDefault="005F4F47" w:rsidP="005F4F47">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 xml:space="preserve">Employees should be encouraged to report wrongdoing. </w:t>
            </w:r>
          </w:p>
          <w:p w:rsidR="005F4F47" w:rsidRPr="005F4F47" w:rsidRDefault="005F4F47" w:rsidP="005F4F47">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If the employer retaliates, the employee should be protected.</w:t>
            </w:r>
          </w:p>
          <w:p w:rsidR="005F4F47" w:rsidRPr="005F4F47" w:rsidRDefault="005F4F47" w:rsidP="005F4F47">
            <w:pPr>
              <w:contextualSpacing/>
              <w:rPr>
                <w:rFonts w:ascii="Trebuchet MS" w:hAnsi="Trebuchet MS"/>
                <w:sz w:val="22"/>
                <w:szCs w:val="22"/>
              </w:rPr>
            </w:pPr>
            <w:r w:rsidRPr="005F4F47">
              <w:rPr>
                <w:rFonts w:ascii="Trebuchet MS" w:hAnsi="Trebuchet MS"/>
                <w:sz w:val="22"/>
                <w:szCs w:val="22"/>
              </w:rPr>
              <w:t>Respect Business:</w:t>
            </w:r>
          </w:p>
          <w:p w:rsidR="005F4F47" w:rsidRPr="005F4F47" w:rsidRDefault="005F4F47" w:rsidP="005F4F47">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 xml:space="preserve">Protecting whistleblowers ensures an even playing field for all businesses. </w:t>
            </w:r>
          </w:p>
          <w:p w:rsidR="005F4F47" w:rsidRPr="005F4F47" w:rsidRDefault="005F4F47" w:rsidP="005F4F47">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 xml:space="preserve">The business community is disrupted and the economy is harmed when bad actors are not found and stopped. </w:t>
            </w:r>
          </w:p>
          <w:p w:rsidR="005F4F47" w:rsidRDefault="000F797D" w:rsidP="000F797D">
            <w:pPr>
              <w:pStyle w:val="Heading2"/>
              <w:pBdr>
                <w:top w:val="single" w:sz="18" w:space="1" w:color="1F497D" w:themeColor="text2"/>
              </w:pBdr>
              <w:tabs>
                <w:tab w:val="left" w:pos="3300"/>
              </w:tabs>
              <w:spacing w:after="120"/>
              <w:rPr>
                <w:b/>
                <w:color w:val="auto"/>
                <w:sz w:val="22"/>
                <w:szCs w:val="22"/>
              </w:rPr>
            </w:pPr>
            <w:r>
              <w:rPr>
                <w:b/>
                <w:color w:val="auto"/>
                <w:sz w:val="22"/>
                <w:szCs w:val="22"/>
              </w:rPr>
              <w:tab/>
            </w:r>
          </w:p>
          <w:p w:rsidR="00061114" w:rsidRPr="005F4F47" w:rsidRDefault="00061114" w:rsidP="000F797D">
            <w:pPr>
              <w:pStyle w:val="Heading2"/>
              <w:pBdr>
                <w:top w:val="single" w:sz="18" w:space="1" w:color="1F497D" w:themeColor="text2"/>
              </w:pBdr>
              <w:spacing w:before="0" w:after="120"/>
              <w:jc w:val="center"/>
              <w:rPr>
                <w:b/>
                <w:color w:val="auto"/>
                <w:sz w:val="22"/>
                <w:szCs w:val="22"/>
              </w:rPr>
            </w:pPr>
            <w:r w:rsidRPr="005F4F47">
              <w:rPr>
                <w:b/>
                <w:color w:val="auto"/>
                <w:sz w:val="22"/>
                <w:szCs w:val="22"/>
              </w:rPr>
              <w:t>This bill severely weakens the protections provided to Missouri whistleblowers:</w:t>
            </w:r>
          </w:p>
          <w:p w:rsidR="00061114" w:rsidRPr="005F4F47" w:rsidRDefault="0073669E" w:rsidP="00061114">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W</w:t>
            </w:r>
            <w:r w:rsidR="00061114" w:rsidRPr="005F4F47">
              <w:rPr>
                <w:rFonts w:ascii="Trebuchet MS" w:hAnsi="Trebuchet MS"/>
                <w:sz w:val="22"/>
                <w:szCs w:val="22"/>
              </w:rPr>
              <w:t xml:space="preserve">histleblowers who report illegal conduct to a boss or supervisor will have NO protection </w:t>
            </w:r>
            <w:r w:rsidRPr="005F4F47">
              <w:rPr>
                <w:rFonts w:ascii="Trebuchet MS" w:hAnsi="Trebuchet MS"/>
                <w:sz w:val="22"/>
                <w:szCs w:val="22"/>
              </w:rPr>
              <w:t>if</w:t>
            </w:r>
            <w:r w:rsidR="00061114" w:rsidRPr="005F4F47">
              <w:rPr>
                <w:rFonts w:ascii="Trebuchet MS" w:hAnsi="Trebuchet MS"/>
                <w:sz w:val="22"/>
                <w:szCs w:val="22"/>
              </w:rPr>
              <w:t xml:space="preserve"> they are fired.  This is the most common type of whistleblower – loyal employees who want their company to do the right thing.</w:t>
            </w:r>
          </w:p>
          <w:p w:rsidR="00061114" w:rsidRPr="005F4F47" w:rsidRDefault="00642351" w:rsidP="00061114">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 xml:space="preserve">The protection for whistleblowers will only be there if the employee is right about whether the conduct is illegal. There is no protection for conduct that is immoral but doesn’t break any laws. There is no protection for conduct that only LOOKS illegal. </w:t>
            </w:r>
          </w:p>
          <w:p w:rsidR="00061114" w:rsidRPr="005F4F47" w:rsidRDefault="00061114" w:rsidP="000F797D">
            <w:pPr>
              <w:pStyle w:val="ListParagraph"/>
              <w:numPr>
                <w:ilvl w:val="0"/>
                <w:numId w:val="15"/>
              </w:numPr>
              <w:spacing w:after="0"/>
              <w:contextualSpacing/>
              <w:rPr>
                <w:rFonts w:ascii="Trebuchet MS" w:hAnsi="Trebuchet MS"/>
                <w:sz w:val="22"/>
                <w:szCs w:val="22"/>
              </w:rPr>
            </w:pPr>
            <w:r w:rsidRPr="005F4F47">
              <w:rPr>
                <w:rFonts w:ascii="Trebuchet MS" w:hAnsi="Trebuchet MS"/>
                <w:sz w:val="22"/>
                <w:szCs w:val="22"/>
              </w:rPr>
              <w:t>Compensatory and punitive damages are severely limited.  Corporate misconduct and public corruption will only stop when there are REAL sanctions. Punitive damages send an important message that protects the health and safety of the public.  Putting limits on damages turns firing whistleblowers into part of the cost of doing business!</w:t>
            </w:r>
          </w:p>
          <w:p w:rsidR="008E1925" w:rsidRPr="000F797D" w:rsidRDefault="00061114" w:rsidP="000F797D">
            <w:pPr>
              <w:pStyle w:val="Heading2"/>
              <w:spacing w:before="120" w:after="120"/>
              <w:jc w:val="center"/>
              <w:rPr>
                <w:b/>
                <w:color w:val="auto"/>
                <w:sz w:val="28"/>
                <w:szCs w:val="28"/>
              </w:rPr>
            </w:pPr>
            <w:r w:rsidRPr="000F797D">
              <w:rPr>
                <w:b/>
                <w:color w:val="auto"/>
                <w:sz w:val="28"/>
                <w:szCs w:val="28"/>
              </w:rPr>
              <w:t xml:space="preserve">Protection for Whistleblowers is </w:t>
            </w:r>
            <w:r w:rsidRPr="000F797D">
              <w:rPr>
                <w:b/>
                <w:color w:val="auto"/>
                <w:sz w:val="28"/>
                <w:szCs w:val="28"/>
              </w:rPr>
              <w:br/>
              <w:t>Protection for All of Us!</w:t>
            </w:r>
          </w:p>
        </w:tc>
      </w:tr>
      <w:tr w:rsidR="0073669E" w:rsidTr="00265D76">
        <w:tc>
          <w:tcPr>
            <w:tcW w:w="10882" w:type="dxa"/>
            <w:gridSpan w:val="2"/>
            <w:shd w:val="clear" w:color="auto" w:fill="000000" w:themeFill="text1"/>
          </w:tcPr>
          <w:p w:rsidR="0073669E" w:rsidRPr="0073669E" w:rsidRDefault="0073669E" w:rsidP="0073669E">
            <w:pPr>
              <w:pStyle w:val="Links"/>
              <w:spacing w:after="120"/>
              <w:jc w:val="center"/>
              <w:rPr>
                <w:color w:val="FFFFFF" w:themeColor="background1"/>
              </w:rPr>
            </w:pPr>
            <w:r>
              <w:rPr>
                <w:rStyle w:val="Hyperlink"/>
                <w:color w:val="FFFFFF" w:themeColor="background1"/>
              </w:rPr>
              <w:t xml:space="preserve">Missouri Association of Trial Attorneys ~ 573.635.5215 ~ </w:t>
            </w:r>
            <w:r w:rsidRPr="0073669E">
              <w:rPr>
                <w:rStyle w:val="Hyperlink"/>
                <w:color w:val="FFFFFF" w:themeColor="background1"/>
              </w:rPr>
              <w:t>www.matanet.org</w:t>
            </w:r>
            <w:r>
              <w:rPr>
                <w:rStyle w:val="Hyperlink"/>
                <w:color w:val="FFFFFF" w:themeColor="background1"/>
              </w:rPr>
              <w:t xml:space="preserve"> ~ sharonjones@socket.net</w:t>
            </w:r>
          </w:p>
        </w:tc>
      </w:tr>
    </w:tbl>
    <w:p w:rsidR="00D11F50" w:rsidRDefault="00D11F50" w:rsidP="0073669E">
      <w:pPr>
        <w:pStyle w:val="LinksDescriptiveText"/>
      </w:pPr>
    </w:p>
    <w:sectPr w:rsidR="00D11F50" w:rsidSect="0073669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C7" w:rsidRDefault="007F3AC7">
      <w:r>
        <w:separator/>
      </w:r>
    </w:p>
  </w:endnote>
  <w:endnote w:type="continuationSeparator" w:id="0">
    <w:p w:rsidR="007F3AC7" w:rsidRDefault="007F3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C7" w:rsidRDefault="007F3AC7">
      <w:r>
        <w:separator/>
      </w:r>
    </w:p>
  </w:footnote>
  <w:footnote w:type="continuationSeparator" w:id="0">
    <w:p w:rsidR="007F3AC7" w:rsidRDefault="007F3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426FFE"/>
    <w:multiLevelType w:val="hybridMultilevel"/>
    <w:tmpl w:val="522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F2ED6"/>
    <w:multiLevelType w:val="hybridMultilevel"/>
    <w:tmpl w:val="FE8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D47BE"/>
    <w:multiLevelType w:val="hybridMultilevel"/>
    <w:tmpl w:val="FC88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C4505"/>
    <w:rsid w:val="00000D0F"/>
    <w:rsid w:val="000034C8"/>
    <w:rsid w:val="000120E3"/>
    <w:rsid w:val="00037900"/>
    <w:rsid w:val="00054D9C"/>
    <w:rsid w:val="00061114"/>
    <w:rsid w:val="00064ABB"/>
    <w:rsid w:val="00070893"/>
    <w:rsid w:val="00084045"/>
    <w:rsid w:val="0008500C"/>
    <w:rsid w:val="00090D87"/>
    <w:rsid w:val="000A0174"/>
    <w:rsid w:val="000A615C"/>
    <w:rsid w:val="000C64A6"/>
    <w:rsid w:val="000D19B6"/>
    <w:rsid w:val="000D333F"/>
    <w:rsid w:val="000F759E"/>
    <w:rsid w:val="000F797D"/>
    <w:rsid w:val="00152026"/>
    <w:rsid w:val="001576BA"/>
    <w:rsid w:val="00166952"/>
    <w:rsid w:val="0018091B"/>
    <w:rsid w:val="00185854"/>
    <w:rsid w:val="001A0764"/>
    <w:rsid w:val="001A73A5"/>
    <w:rsid w:val="001C513D"/>
    <w:rsid w:val="001F3DA2"/>
    <w:rsid w:val="00205897"/>
    <w:rsid w:val="00207A3F"/>
    <w:rsid w:val="002261A3"/>
    <w:rsid w:val="00256107"/>
    <w:rsid w:val="00265D76"/>
    <w:rsid w:val="002913A0"/>
    <w:rsid w:val="002A1EC9"/>
    <w:rsid w:val="002D08DA"/>
    <w:rsid w:val="002E724C"/>
    <w:rsid w:val="00311C43"/>
    <w:rsid w:val="00323944"/>
    <w:rsid w:val="0033010D"/>
    <w:rsid w:val="00345B00"/>
    <w:rsid w:val="00355832"/>
    <w:rsid w:val="003C22EC"/>
    <w:rsid w:val="003C2D2C"/>
    <w:rsid w:val="003C4505"/>
    <w:rsid w:val="003C469C"/>
    <w:rsid w:val="003D26EA"/>
    <w:rsid w:val="003F1649"/>
    <w:rsid w:val="004058E6"/>
    <w:rsid w:val="00435C8C"/>
    <w:rsid w:val="00445DFF"/>
    <w:rsid w:val="00461DD5"/>
    <w:rsid w:val="00467D0D"/>
    <w:rsid w:val="00476A3C"/>
    <w:rsid w:val="00487680"/>
    <w:rsid w:val="00487F54"/>
    <w:rsid w:val="004A24B3"/>
    <w:rsid w:val="004A364D"/>
    <w:rsid w:val="004B0FFC"/>
    <w:rsid w:val="004D1C31"/>
    <w:rsid w:val="0050638D"/>
    <w:rsid w:val="00514F44"/>
    <w:rsid w:val="0053525C"/>
    <w:rsid w:val="00553550"/>
    <w:rsid w:val="00557DF7"/>
    <w:rsid w:val="00583F92"/>
    <w:rsid w:val="005B07C4"/>
    <w:rsid w:val="005B35C6"/>
    <w:rsid w:val="005B7D74"/>
    <w:rsid w:val="005C1164"/>
    <w:rsid w:val="005F19A9"/>
    <w:rsid w:val="005F4F47"/>
    <w:rsid w:val="005F7F05"/>
    <w:rsid w:val="006061DB"/>
    <w:rsid w:val="00607AB7"/>
    <w:rsid w:val="0062037E"/>
    <w:rsid w:val="006301A9"/>
    <w:rsid w:val="00641B4A"/>
    <w:rsid w:val="00642351"/>
    <w:rsid w:val="006520B3"/>
    <w:rsid w:val="0065629C"/>
    <w:rsid w:val="00664C52"/>
    <w:rsid w:val="006740B0"/>
    <w:rsid w:val="006748DD"/>
    <w:rsid w:val="006764F4"/>
    <w:rsid w:val="006B2964"/>
    <w:rsid w:val="006B5CAB"/>
    <w:rsid w:val="006D2E2F"/>
    <w:rsid w:val="006E2B39"/>
    <w:rsid w:val="00706858"/>
    <w:rsid w:val="00731A45"/>
    <w:rsid w:val="0073669E"/>
    <w:rsid w:val="007526F6"/>
    <w:rsid w:val="00766F22"/>
    <w:rsid w:val="007674AE"/>
    <w:rsid w:val="00785129"/>
    <w:rsid w:val="007854B9"/>
    <w:rsid w:val="007B77C1"/>
    <w:rsid w:val="007C6452"/>
    <w:rsid w:val="007D0A4D"/>
    <w:rsid w:val="007F3AC7"/>
    <w:rsid w:val="007F6DD0"/>
    <w:rsid w:val="00803EA2"/>
    <w:rsid w:val="0080453F"/>
    <w:rsid w:val="00820316"/>
    <w:rsid w:val="00882EFF"/>
    <w:rsid w:val="008966A3"/>
    <w:rsid w:val="008B5090"/>
    <w:rsid w:val="008C02E2"/>
    <w:rsid w:val="008D4BCF"/>
    <w:rsid w:val="008D762F"/>
    <w:rsid w:val="008E1925"/>
    <w:rsid w:val="008E3623"/>
    <w:rsid w:val="008E395A"/>
    <w:rsid w:val="008F22AA"/>
    <w:rsid w:val="00902ABA"/>
    <w:rsid w:val="009163C5"/>
    <w:rsid w:val="00916C4D"/>
    <w:rsid w:val="0093052A"/>
    <w:rsid w:val="00937B06"/>
    <w:rsid w:val="00973C81"/>
    <w:rsid w:val="00974264"/>
    <w:rsid w:val="00977E9B"/>
    <w:rsid w:val="00A01022"/>
    <w:rsid w:val="00A0659B"/>
    <w:rsid w:val="00A30AD6"/>
    <w:rsid w:val="00A31337"/>
    <w:rsid w:val="00A55198"/>
    <w:rsid w:val="00AC068A"/>
    <w:rsid w:val="00AF03CB"/>
    <w:rsid w:val="00B21077"/>
    <w:rsid w:val="00B251F8"/>
    <w:rsid w:val="00B3116E"/>
    <w:rsid w:val="00B3583B"/>
    <w:rsid w:val="00B91AF5"/>
    <w:rsid w:val="00BB0A32"/>
    <w:rsid w:val="00BB494C"/>
    <w:rsid w:val="00BD6D7E"/>
    <w:rsid w:val="00BE227B"/>
    <w:rsid w:val="00BF40C4"/>
    <w:rsid w:val="00C05296"/>
    <w:rsid w:val="00C070B3"/>
    <w:rsid w:val="00C340F5"/>
    <w:rsid w:val="00C4278D"/>
    <w:rsid w:val="00C43D00"/>
    <w:rsid w:val="00C65005"/>
    <w:rsid w:val="00CB2698"/>
    <w:rsid w:val="00CB547E"/>
    <w:rsid w:val="00CB71C9"/>
    <w:rsid w:val="00CC35E1"/>
    <w:rsid w:val="00CD0123"/>
    <w:rsid w:val="00CE0C4C"/>
    <w:rsid w:val="00CE6266"/>
    <w:rsid w:val="00D02F61"/>
    <w:rsid w:val="00D03826"/>
    <w:rsid w:val="00D11F50"/>
    <w:rsid w:val="00D235D8"/>
    <w:rsid w:val="00D608D8"/>
    <w:rsid w:val="00D7361C"/>
    <w:rsid w:val="00D75AF0"/>
    <w:rsid w:val="00D952AE"/>
    <w:rsid w:val="00D9567A"/>
    <w:rsid w:val="00DA3D17"/>
    <w:rsid w:val="00DA3DAB"/>
    <w:rsid w:val="00DD3F44"/>
    <w:rsid w:val="00E10A9A"/>
    <w:rsid w:val="00E128EF"/>
    <w:rsid w:val="00E14096"/>
    <w:rsid w:val="00E27281"/>
    <w:rsid w:val="00E3458E"/>
    <w:rsid w:val="00E42FD5"/>
    <w:rsid w:val="00E457CA"/>
    <w:rsid w:val="00E63888"/>
    <w:rsid w:val="00E647C2"/>
    <w:rsid w:val="00E7703B"/>
    <w:rsid w:val="00E8006C"/>
    <w:rsid w:val="00E849EC"/>
    <w:rsid w:val="00EA2B00"/>
    <w:rsid w:val="00EA4446"/>
    <w:rsid w:val="00EB76B8"/>
    <w:rsid w:val="00ED33BD"/>
    <w:rsid w:val="00ED3723"/>
    <w:rsid w:val="00EF7AB2"/>
    <w:rsid w:val="00F4396F"/>
    <w:rsid w:val="00F46CCE"/>
    <w:rsid w:val="00F54792"/>
    <w:rsid w:val="00F70020"/>
    <w:rsid w:val="00F71A42"/>
    <w:rsid w:val="00F81DFE"/>
    <w:rsid w:val="00FA47F3"/>
    <w:rsid w:val="00FD410D"/>
    <w:rsid w:val="00FF299F"/>
    <w:rsid w:val="00FF7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893"/>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link w:val="BalloonTextChar"/>
    <w:uiPriority w:val="99"/>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character" w:customStyle="1" w:styleId="BalloonTextChar">
    <w:name w:val="Balloon Text Char"/>
    <w:basedOn w:val="DefaultParagraphFont"/>
    <w:link w:val="BalloonText"/>
    <w:uiPriority w:val="99"/>
    <w:semiHidden/>
    <w:rsid w:val="003C4505"/>
    <w:rPr>
      <w:rFonts w:ascii="Tahoma" w:hAnsi="Tahoma" w:cs="Tahoma"/>
      <w:sz w:val="16"/>
      <w:szCs w:val="16"/>
    </w:rPr>
  </w:style>
  <w:style w:type="paragraph" w:customStyle="1" w:styleId="BodyContent">
    <w:name w:val="Body Content"/>
    <w:basedOn w:val="Normal"/>
    <w:link w:val="BodyContentChar"/>
    <w:qFormat/>
    <w:rsid w:val="003C4505"/>
    <w:pPr>
      <w:spacing w:after="480"/>
    </w:pPr>
    <w:rPr>
      <w:rFonts w:asciiTheme="minorHAnsi" w:eastAsiaTheme="minorHAnsi" w:hAnsiTheme="minorHAnsi" w:cstheme="minorBidi"/>
      <w:color w:val="000000" w:themeColor="text1"/>
      <w:sz w:val="20"/>
      <w:szCs w:val="22"/>
    </w:rPr>
  </w:style>
  <w:style w:type="character" w:customStyle="1" w:styleId="BodyContentChar">
    <w:name w:val="Body Content Char"/>
    <w:basedOn w:val="DefaultParagraphFont"/>
    <w:link w:val="BodyContent"/>
    <w:rsid w:val="003C4505"/>
    <w:rPr>
      <w:rFonts w:asciiTheme="minorHAnsi" w:eastAsiaTheme="minorHAnsi" w:hAnsiTheme="minorHAnsi" w:cstheme="minorBidi"/>
      <w:color w:val="000000" w:themeColor="text1"/>
      <w:szCs w:val="22"/>
    </w:rPr>
  </w:style>
  <w:style w:type="paragraph" w:styleId="ListParagraph">
    <w:name w:val="List Paragraph"/>
    <w:basedOn w:val="Normal"/>
    <w:uiPriority w:val="34"/>
    <w:qFormat/>
    <w:rsid w:val="00061114"/>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282041">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Application%20Data\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0840-D77C-4D30-AEEC-44153B89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2003-07-31T16:56:00Z</cp:lastPrinted>
  <dcterms:created xsi:type="dcterms:W3CDTF">2012-01-13T23:20:00Z</dcterms:created>
  <dcterms:modified xsi:type="dcterms:W3CDTF">2012-01-17T21:19:00Z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