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2" w:type="dxa"/>
        <w:tblLook w:val="01E0"/>
      </w:tblPr>
      <w:tblGrid>
        <w:gridCol w:w="2719"/>
        <w:gridCol w:w="8163"/>
      </w:tblGrid>
      <w:tr w:rsidR="006061DB" w:rsidTr="006061DB">
        <w:tc>
          <w:tcPr>
            <w:tcW w:w="2719" w:type="dxa"/>
            <w:shd w:val="clear" w:color="auto" w:fill="000000" w:themeFill="text1"/>
          </w:tcPr>
          <w:p w:rsidR="00467D0D" w:rsidRDefault="00467D0D" w:rsidP="00467D0D">
            <w:pPr>
              <w:pStyle w:val="BodyText"/>
            </w:pPr>
          </w:p>
        </w:tc>
        <w:tc>
          <w:tcPr>
            <w:tcW w:w="8163" w:type="dxa"/>
            <w:shd w:val="clear" w:color="auto" w:fill="000000" w:themeFill="text1"/>
          </w:tcPr>
          <w:p w:rsidR="00467D0D" w:rsidRDefault="00467D0D" w:rsidP="00467D0D">
            <w:pPr>
              <w:pStyle w:val="BodyText"/>
            </w:pPr>
          </w:p>
        </w:tc>
      </w:tr>
      <w:tr w:rsidR="00467D0D">
        <w:trPr>
          <w:trHeight w:val="1440"/>
        </w:trPr>
        <w:tc>
          <w:tcPr>
            <w:tcW w:w="2719" w:type="dxa"/>
            <w:vAlign w:val="center"/>
          </w:tcPr>
          <w:p w:rsidR="00467D0D" w:rsidRDefault="008E1925" w:rsidP="00785129">
            <w:pPr>
              <w:pStyle w:val="NewsletterTitle"/>
            </w:pPr>
            <w:r>
              <w:rPr>
                <w:noProof/>
              </w:rPr>
              <w:drawing>
                <wp:inline distT="0" distB="0" distL="0" distR="0">
                  <wp:extent cx="1371600" cy="1371600"/>
                  <wp:effectExtent l="19050" t="0" r="0" b="0"/>
                  <wp:docPr id="4" name="Picture 4" descr="N:\MATAVectorLogo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TAVectorLogos copy.jpg"/>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c>
          <w:tcPr>
            <w:tcW w:w="8163" w:type="dxa"/>
            <w:vAlign w:val="center"/>
          </w:tcPr>
          <w:p w:rsidR="00045F67" w:rsidRDefault="001170BE" w:rsidP="00785129">
            <w:pPr>
              <w:pStyle w:val="NewsletterTitle"/>
              <w:rPr>
                <w:b/>
                <w:color w:val="auto"/>
                <w:sz w:val="72"/>
                <w:szCs w:val="72"/>
              </w:rPr>
            </w:pPr>
            <w:bookmarkStart w:id="0" w:name="_GoBack"/>
            <w:bookmarkEnd w:id="0"/>
            <w:r>
              <w:rPr>
                <w:b/>
                <w:color w:val="auto"/>
                <w:sz w:val="72"/>
                <w:szCs w:val="72"/>
              </w:rPr>
              <w:t>SB 592</w:t>
            </w:r>
          </w:p>
          <w:p w:rsidR="005F7F05" w:rsidRDefault="00884965" w:rsidP="00785129">
            <w:pPr>
              <w:pStyle w:val="NewsletterTitle"/>
              <w:rPr>
                <w:b/>
                <w:color w:val="auto"/>
                <w:sz w:val="72"/>
                <w:szCs w:val="72"/>
              </w:rPr>
            </w:pPr>
            <w:r>
              <w:rPr>
                <w:b/>
                <w:color w:val="auto"/>
                <w:sz w:val="72"/>
                <w:szCs w:val="72"/>
              </w:rPr>
              <w:t xml:space="preserve"> </w:t>
            </w:r>
            <w:r w:rsidR="00F46CCE">
              <w:rPr>
                <w:b/>
                <w:color w:val="auto"/>
                <w:sz w:val="72"/>
                <w:szCs w:val="72"/>
              </w:rPr>
              <w:t>VOTE NO</w:t>
            </w:r>
          </w:p>
          <w:p w:rsidR="00467D0D" w:rsidRPr="00E457CA" w:rsidRDefault="00514F44" w:rsidP="00785129">
            <w:pPr>
              <w:pStyle w:val="NewsletterTitle"/>
              <w:rPr>
                <w:b/>
                <w:color w:val="auto"/>
                <w:sz w:val="48"/>
                <w:szCs w:val="48"/>
              </w:rPr>
            </w:pPr>
            <w:r w:rsidRPr="00E457CA">
              <w:rPr>
                <w:b/>
                <w:color w:val="auto"/>
                <w:sz w:val="48"/>
                <w:szCs w:val="48"/>
              </w:rPr>
              <w:t>STOP</w:t>
            </w:r>
            <w:r w:rsidR="005C1164" w:rsidRPr="00E457CA">
              <w:rPr>
                <w:b/>
                <w:color w:val="auto"/>
                <w:sz w:val="48"/>
                <w:szCs w:val="48"/>
              </w:rPr>
              <w:t xml:space="preserve"> ABUSIVE</w:t>
            </w:r>
            <w:r w:rsidRPr="00E457CA">
              <w:rPr>
                <w:b/>
                <w:color w:val="auto"/>
                <w:sz w:val="48"/>
                <w:szCs w:val="48"/>
              </w:rPr>
              <w:t xml:space="preserve"> WORKPLACE</w:t>
            </w:r>
            <w:r w:rsidR="005C1164" w:rsidRPr="00E457CA">
              <w:rPr>
                <w:b/>
                <w:color w:val="auto"/>
                <w:sz w:val="48"/>
                <w:szCs w:val="48"/>
              </w:rPr>
              <w:t>S</w:t>
            </w:r>
          </w:p>
        </w:tc>
      </w:tr>
      <w:tr w:rsidR="006061DB" w:rsidTr="006061DB">
        <w:tc>
          <w:tcPr>
            <w:tcW w:w="2719" w:type="dxa"/>
            <w:shd w:val="clear" w:color="auto" w:fill="000000" w:themeFill="text1"/>
          </w:tcPr>
          <w:p w:rsidR="00467D0D" w:rsidRPr="00467D0D" w:rsidRDefault="00467D0D" w:rsidP="00467D0D">
            <w:pPr>
              <w:pStyle w:val="NewsletterDate"/>
            </w:pPr>
          </w:p>
        </w:tc>
        <w:tc>
          <w:tcPr>
            <w:tcW w:w="8163" w:type="dxa"/>
            <w:shd w:val="clear" w:color="auto" w:fill="000000" w:themeFill="text1"/>
          </w:tcPr>
          <w:p w:rsidR="00467D0D" w:rsidRDefault="006061DB" w:rsidP="006061DB">
            <w:pPr>
              <w:pStyle w:val="VolumeandIssue"/>
              <w:tabs>
                <w:tab w:val="left" w:pos="375"/>
              </w:tabs>
              <w:jc w:val="left"/>
            </w:pPr>
            <w:r>
              <w:tab/>
            </w:r>
          </w:p>
        </w:tc>
      </w:tr>
      <w:tr w:rsidR="006061DB" w:rsidTr="006061DB">
        <w:tc>
          <w:tcPr>
            <w:tcW w:w="2719" w:type="dxa"/>
            <w:shd w:val="clear" w:color="auto" w:fill="000000" w:themeFill="text1"/>
          </w:tcPr>
          <w:p w:rsidR="00DB048A" w:rsidRDefault="00DB048A" w:rsidP="00DB048A">
            <w:pPr>
              <w:pStyle w:val="LinksDescriptiveText"/>
              <w:shd w:val="clear" w:color="auto" w:fill="000000" w:themeFill="text1"/>
              <w:rPr>
                <w:i w:val="0"/>
              </w:rPr>
            </w:pPr>
          </w:p>
          <w:p w:rsidR="008023E6" w:rsidRPr="005F4F47" w:rsidRDefault="00DB048A" w:rsidP="008023E6">
            <w:pPr>
              <w:pStyle w:val="SideBarHeading"/>
              <w:spacing w:before="0"/>
              <w:rPr>
                <w:i/>
                <w:color w:val="FFFFFF" w:themeColor="background1"/>
              </w:rPr>
            </w:pPr>
            <w:r>
              <w:t xml:space="preserve"> </w:t>
            </w:r>
            <w:r w:rsidR="008023E6" w:rsidRPr="005F4F47">
              <w:rPr>
                <w:i/>
                <w:color w:val="FFFFFF" w:themeColor="background1"/>
              </w:rPr>
              <w:t>MO Constitution</w:t>
            </w:r>
          </w:p>
          <w:p w:rsidR="008023E6" w:rsidRPr="005F4F47" w:rsidRDefault="008023E6" w:rsidP="008023E6">
            <w:pPr>
              <w:pStyle w:val="SideBarHeading"/>
              <w:spacing w:before="0"/>
              <w:rPr>
                <w:i/>
                <w:color w:val="FFFFFF" w:themeColor="background1"/>
              </w:rPr>
            </w:pPr>
            <w:r w:rsidRPr="005F4F47">
              <w:rPr>
                <w:i/>
                <w:color w:val="FFFFFF" w:themeColor="background1"/>
              </w:rPr>
              <w:t>Article I Sec. 14</w:t>
            </w:r>
          </w:p>
          <w:p w:rsidR="008023E6" w:rsidRDefault="008023E6" w:rsidP="008023E6">
            <w:pPr>
              <w:pStyle w:val="SideBarHeading"/>
              <w:spacing w:before="240"/>
              <w:rPr>
                <w:color w:val="FFFFFF" w:themeColor="background1"/>
              </w:rPr>
            </w:pPr>
            <w:r>
              <w:rPr>
                <w:color w:val="FFFFFF" w:themeColor="background1"/>
              </w:rPr>
              <w:t>That the courts of justice shall be open to every person, and certain remedy afforded for every injury to person, property or character, and that right and justice shall be administered without sale, denial or delay.</w:t>
            </w:r>
          </w:p>
          <w:p w:rsidR="008023E6" w:rsidRPr="005F4F47" w:rsidRDefault="008023E6" w:rsidP="008023E6">
            <w:pPr>
              <w:pStyle w:val="SideBarHeading"/>
              <w:rPr>
                <w:i/>
                <w:color w:val="FFFFFF" w:themeColor="background1"/>
              </w:rPr>
            </w:pPr>
            <w:r w:rsidRPr="005F4F47">
              <w:rPr>
                <w:i/>
                <w:color w:val="FFFFFF" w:themeColor="background1"/>
              </w:rPr>
              <w:t>US Constitution</w:t>
            </w:r>
          </w:p>
          <w:p w:rsidR="008023E6" w:rsidRPr="005F4F47" w:rsidRDefault="008023E6" w:rsidP="008023E6">
            <w:pPr>
              <w:pStyle w:val="SideBarHeading"/>
              <w:spacing w:before="0"/>
              <w:rPr>
                <w:i/>
                <w:color w:val="FFFFFF" w:themeColor="background1"/>
              </w:rPr>
            </w:pPr>
            <w:r w:rsidRPr="005F4F47">
              <w:rPr>
                <w:i/>
                <w:color w:val="FFFFFF" w:themeColor="background1"/>
              </w:rPr>
              <w:t>7th Amendment</w:t>
            </w:r>
          </w:p>
          <w:p w:rsidR="008023E6" w:rsidRDefault="008023E6" w:rsidP="008023E6">
            <w:pPr>
              <w:pStyle w:val="SideBarHeading"/>
              <w:spacing w:before="240"/>
              <w:rPr>
                <w:color w:val="FFFFFF" w:themeColor="background1"/>
              </w:rPr>
            </w:pPr>
            <w:r>
              <w:rPr>
                <w:color w:val="FFFFFF" w:themeColor="background1"/>
              </w:rPr>
              <w:t>In suits at common law where the value in controversy shall exceed twenty dollars, the right of trial by jury shall be preserved, and no fact tried by a jury shall be otherwise re-examined in any court of the United States, than according to the rules of common law.</w:t>
            </w:r>
          </w:p>
          <w:p w:rsidR="006520B3" w:rsidRPr="00DB048A" w:rsidRDefault="006520B3" w:rsidP="00705243">
            <w:pPr>
              <w:pStyle w:val="LinksDescriptiveText"/>
              <w:shd w:val="clear" w:color="auto" w:fill="000000" w:themeFill="text1"/>
              <w:ind w:left="270"/>
              <w:rPr>
                <w:rStyle w:val="Hyperlink"/>
                <w:color w:val="FFFFFF"/>
                <w:sz w:val="16"/>
                <w:szCs w:val="18"/>
              </w:rPr>
            </w:pPr>
          </w:p>
        </w:tc>
        <w:tc>
          <w:tcPr>
            <w:tcW w:w="8163" w:type="dxa"/>
          </w:tcPr>
          <w:p w:rsidR="005C1164" w:rsidRPr="005C1164" w:rsidRDefault="005C1164" w:rsidP="008023E6">
            <w:pPr>
              <w:spacing w:before="120"/>
              <w:rPr>
                <w:rFonts w:ascii="Trebuchet MS" w:hAnsi="Trebuchet MS" w:cs="Arial"/>
                <w:b/>
                <w:kern w:val="32"/>
                <w:sz w:val="36"/>
                <w:szCs w:val="38"/>
              </w:rPr>
            </w:pPr>
            <w:r w:rsidRPr="005C1164">
              <w:rPr>
                <w:rFonts w:ascii="Trebuchet MS" w:hAnsi="Trebuchet MS" w:cs="Arial"/>
                <w:b/>
                <w:kern w:val="32"/>
                <w:sz w:val="36"/>
                <w:szCs w:val="38"/>
              </w:rPr>
              <w:t>What is the current law on employment discrimination?</w:t>
            </w:r>
          </w:p>
          <w:p w:rsidR="005C1164" w:rsidRPr="00E457CA" w:rsidRDefault="005C1164" w:rsidP="008023E6">
            <w:pPr>
              <w:ind w:left="431"/>
              <w:rPr>
                <w:rFonts w:ascii="Trebuchet MS" w:hAnsi="Trebuchet MS"/>
              </w:rPr>
            </w:pPr>
            <w:r w:rsidRPr="00E457CA">
              <w:rPr>
                <w:rFonts w:ascii="Trebuchet MS" w:hAnsi="Trebuchet MS"/>
              </w:rPr>
              <w:t>Current law prohibits employers from discriminating against employees because of their religion, race, color, national origin, sex, ancestry, age (between 40 and 70) or disability. In order to prove to a jury the discrimination occurred</w:t>
            </w:r>
            <w:proofErr w:type="gramStart"/>
            <w:r w:rsidRPr="00E457CA">
              <w:rPr>
                <w:rFonts w:ascii="Trebuchet MS" w:hAnsi="Trebuchet MS"/>
              </w:rPr>
              <w:t>,</w:t>
            </w:r>
            <w:proofErr w:type="gramEnd"/>
            <w:r w:rsidRPr="00E457CA">
              <w:rPr>
                <w:rFonts w:ascii="Trebuchet MS" w:hAnsi="Trebuchet MS"/>
              </w:rPr>
              <w:t xml:space="preserve"> the employee must prove the protected characteristic was a </w:t>
            </w:r>
            <w:r w:rsidRPr="00884965">
              <w:rPr>
                <w:rFonts w:ascii="Trebuchet MS" w:hAnsi="Trebuchet MS"/>
                <w:i/>
              </w:rPr>
              <w:t>contributing cause</w:t>
            </w:r>
            <w:r w:rsidRPr="00E457CA">
              <w:rPr>
                <w:rFonts w:ascii="Trebuchet MS" w:hAnsi="Trebuchet MS"/>
              </w:rPr>
              <w:t xml:space="preserve"> of the firing or other negative employment decision. The employee can hold both the company and the individual who actually did the discriminating accountable. </w:t>
            </w:r>
          </w:p>
          <w:p w:rsidR="008E395A" w:rsidRPr="006520B3" w:rsidRDefault="003C4505" w:rsidP="00467D0D">
            <w:pPr>
              <w:pStyle w:val="Heading2"/>
              <w:rPr>
                <w:b/>
                <w:color w:val="auto"/>
              </w:rPr>
            </w:pPr>
            <w:r w:rsidRPr="006520B3">
              <w:rPr>
                <w:b/>
                <w:color w:val="auto"/>
              </w:rPr>
              <w:t xml:space="preserve">What </w:t>
            </w:r>
            <w:r w:rsidR="005C1164">
              <w:rPr>
                <w:b/>
                <w:color w:val="auto"/>
              </w:rPr>
              <w:t>happens when an employer discr</w:t>
            </w:r>
            <w:r w:rsidR="00884965">
              <w:rPr>
                <w:b/>
                <w:color w:val="auto"/>
              </w:rPr>
              <w:t>iminates against an</w:t>
            </w:r>
            <w:r w:rsidR="005C1164">
              <w:rPr>
                <w:b/>
                <w:color w:val="auto"/>
              </w:rPr>
              <w:t xml:space="preserve"> employee</w:t>
            </w:r>
            <w:r w:rsidRPr="006520B3">
              <w:rPr>
                <w:b/>
                <w:color w:val="auto"/>
              </w:rPr>
              <w:t>?</w:t>
            </w:r>
          </w:p>
          <w:p w:rsidR="005C1164" w:rsidRPr="00E457CA" w:rsidRDefault="005C1164" w:rsidP="008023E6">
            <w:pPr>
              <w:ind w:left="431"/>
              <w:rPr>
                <w:rFonts w:ascii="Trebuchet MS" w:hAnsi="Trebuchet MS"/>
              </w:rPr>
            </w:pPr>
            <w:r w:rsidRPr="00E457CA">
              <w:rPr>
                <w:rFonts w:ascii="Trebuchet MS" w:hAnsi="Trebuchet MS"/>
              </w:rPr>
              <w:t>Employees who feel discrimination occurred can file a complaint with the Missouri Human Rights Commission. After an investigation the commission will either take disciplinary action or will provide the employee with a “Right to Sue” letter allowing the employee to take the issue to a jury.</w:t>
            </w:r>
          </w:p>
          <w:p w:rsidR="005C1164" w:rsidRDefault="005C1164" w:rsidP="005C1164">
            <w:pPr>
              <w:pStyle w:val="Heading2"/>
            </w:pPr>
            <w:r>
              <w:rPr>
                <w:b/>
                <w:color w:val="auto"/>
              </w:rPr>
              <w:t xml:space="preserve">How would </w:t>
            </w:r>
            <w:r w:rsidR="009163C5">
              <w:rPr>
                <w:b/>
                <w:color w:val="auto"/>
              </w:rPr>
              <w:t>this bill</w:t>
            </w:r>
            <w:r>
              <w:rPr>
                <w:b/>
                <w:color w:val="auto"/>
              </w:rPr>
              <w:t xml:space="preserve"> affect employees who have been mistreated by their employer?</w:t>
            </w:r>
            <w:r w:rsidR="006520B3" w:rsidRPr="006520B3">
              <w:rPr>
                <w:b/>
                <w:color w:val="auto"/>
              </w:rPr>
              <w:t xml:space="preserve"> </w:t>
            </w:r>
          </w:p>
          <w:p w:rsidR="008023E6" w:rsidRPr="008023E6" w:rsidRDefault="009163C5" w:rsidP="008023E6">
            <w:pPr>
              <w:spacing w:before="120"/>
              <w:ind w:left="432"/>
              <w:rPr>
                <w:rFonts w:ascii="Trebuchet MS" w:hAnsi="Trebuchet MS"/>
              </w:rPr>
            </w:pPr>
            <w:r>
              <w:rPr>
                <w:rFonts w:ascii="Trebuchet MS" w:hAnsi="Trebuchet MS"/>
              </w:rPr>
              <w:t>This bill</w:t>
            </w:r>
            <w:r w:rsidR="005C1164" w:rsidRPr="00E457CA">
              <w:rPr>
                <w:rFonts w:ascii="Trebuchet MS" w:hAnsi="Trebuchet MS"/>
              </w:rPr>
              <w:t xml:space="preserve"> would prevent the employee from holding the person who discriminated against him accountable. </w:t>
            </w:r>
            <w:r w:rsidR="008023E6" w:rsidRPr="008023E6">
              <w:rPr>
                <w:rFonts w:ascii="Trebuchet MS" w:hAnsi="Trebuchet MS"/>
              </w:rPr>
              <w:t xml:space="preserve">Changing Missouri law </w:t>
            </w:r>
            <w:r w:rsidR="008023E6">
              <w:rPr>
                <w:rFonts w:ascii="Trebuchet MS" w:hAnsi="Trebuchet MS"/>
              </w:rPr>
              <w:t xml:space="preserve">in this way </w:t>
            </w:r>
            <w:r w:rsidR="008023E6" w:rsidRPr="008023E6">
              <w:rPr>
                <w:rFonts w:ascii="Trebuchet MS" w:hAnsi="Trebuchet MS"/>
              </w:rPr>
              <w:t>means the company itself is required to take the full blame for the discrimination without exposing the individual who actually discriminated.</w:t>
            </w:r>
          </w:p>
          <w:p w:rsidR="008023E6" w:rsidRDefault="005C1164" w:rsidP="008023E6">
            <w:pPr>
              <w:spacing w:before="120"/>
              <w:ind w:left="432"/>
              <w:rPr>
                <w:rFonts w:ascii="Trebuchet MS" w:hAnsi="Trebuchet MS"/>
              </w:rPr>
            </w:pPr>
            <w:r w:rsidRPr="00EB1C84">
              <w:rPr>
                <w:rFonts w:ascii="Trebuchet MS" w:hAnsi="Trebuchet MS"/>
              </w:rPr>
              <w:t xml:space="preserve">In addition, the bill </w:t>
            </w:r>
            <w:r w:rsidR="008023E6">
              <w:rPr>
                <w:rFonts w:ascii="Trebuchet MS" w:hAnsi="Trebuchet MS"/>
              </w:rPr>
              <w:t>places</w:t>
            </w:r>
            <w:r w:rsidRPr="00EB1C84">
              <w:rPr>
                <w:rFonts w:ascii="Trebuchet MS" w:hAnsi="Trebuchet MS"/>
              </w:rPr>
              <w:t xml:space="preserve"> limits on the amount the employee is able to recover. Limits allow the employer to calculate the exact cost of discrimination and get away without any real consequence. </w:t>
            </w:r>
          </w:p>
          <w:p w:rsidR="00884965" w:rsidRDefault="00EB1C84" w:rsidP="008023E6">
            <w:pPr>
              <w:spacing w:before="120" w:after="120"/>
              <w:ind w:left="432"/>
            </w:pPr>
            <w:r w:rsidRPr="008023E6">
              <w:rPr>
                <w:rFonts w:ascii="Trebuchet MS" w:hAnsi="Trebuchet MS"/>
              </w:rPr>
              <w:t xml:space="preserve">This bill allows employers to discriminate against people because of their beliefs, race or gender </w:t>
            </w:r>
            <w:r w:rsidR="008023E6">
              <w:rPr>
                <w:rFonts w:ascii="Trebuchet MS" w:hAnsi="Trebuchet MS"/>
              </w:rPr>
              <w:t xml:space="preserve">and avoid responsibility by pointing to any other potential reason for the employment decision </w:t>
            </w:r>
          </w:p>
        </w:tc>
      </w:tr>
      <w:tr w:rsidR="00F32508" w:rsidTr="008023E6">
        <w:tc>
          <w:tcPr>
            <w:tcW w:w="10882" w:type="dxa"/>
            <w:gridSpan w:val="2"/>
            <w:shd w:val="clear" w:color="auto" w:fill="000000" w:themeFill="text1"/>
          </w:tcPr>
          <w:p w:rsidR="00F32508" w:rsidRDefault="00B11AFD" w:rsidP="008023E6">
            <w:pPr>
              <w:pStyle w:val="TableofContentsHeading"/>
              <w:spacing w:before="120" w:after="120"/>
              <w:rPr>
                <w:b/>
                <w:color w:val="FFFFFF" w:themeColor="background1"/>
              </w:rPr>
            </w:pPr>
            <w:r>
              <w:rPr>
                <w:rStyle w:val="Hyperlink"/>
                <w:color w:val="FFFFFF" w:themeColor="background1"/>
              </w:rPr>
              <w:t xml:space="preserve">Missouri Association of Trial Attorneys ~ 573.635.5215 ~ </w:t>
            </w:r>
            <w:r w:rsidRPr="0073669E">
              <w:rPr>
                <w:rStyle w:val="Hyperlink"/>
                <w:color w:val="FFFFFF" w:themeColor="background1"/>
              </w:rPr>
              <w:t>www.matanet.org</w:t>
            </w:r>
            <w:r>
              <w:rPr>
                <w:rStyle w:val="Hyperlink"/>
                <w:color w:val="FFFFFF" w:themeColor="background1"/>
              </w:rPr>
              <w:t xml:space="preserve"> ~ </w:t>
            </w:r>
            <w:hyperlink r:id="rId8" w:history="1">
              <w:r w:rsidR="00884965" w:rsidRPr="00BA72BE">
                <w:rPr>
                  <w:rStyle w:val="Hyperlink"/>
                </w:rPr>
                <w:t>sharonjones@socket.net</w:t>
              </w:r>
            </w:hyperlink>
          </w:p>
        </w:tc>
      </w:tr>
    </w:tbl>
    <w:p w:rsidR="0080453F" w:rsidRDefault="0080453F" w:rsidP="008023E6"/>
    <w:sectPr w:rsidR="0080453F" w:rsidSect="008023E6">
      <w:pgSz w:w="12240" w:h="15840"/>
      <w:pgMar w:top="576" w:right="576"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FD" w:rsidRDefault="00C27AFD">
      <w:r>
        <w:separator/>
      </w:r>
    </w:p>
  </w:endnote>
  <w:endnote w:type="continuationSeparator" w:id="0">
    <w:p w:rsidR="00C27AFD" w:rsidRDefault="00C27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FD" w:rsidRDefault="00C27AFD">
      <w:r>
        <w:separator/>
      </w:r>
    </w:p>
  </w:footnote>
  <w:footnote w:type="continuationSeparator" w:id="0">
    <w:p w:rsidR="00C27AFD" w:rsidRDefault="00C27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7D47BE"/>
    <w:multiLevelType w:val="hybridMultilevel"/>
    <w:tmpl w:val="FC88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C4505"/>
    <w:rsid w:val="000034C8"/>
    <w:rsid w:val="000120E3"/>
    <w:rsid w:val="00037900"/>
    <w:rsid w:val="00045F67"/>
    <w:rsid w:val="00054D9C"/>
    <w:rsid w:val="00064ABB"/>
    <w:rsid w:val="00070893"/>
    <w:rsid w:val="0008500C"/>
    <w:rsid w:val="00090D87"/>
    <w:rsid w:val="000A0174"/>
    <w:rsid w:val="000A615C"/>
    <w:rsid w:val="000D333F"/>
    <w:rsid w:val="000F759E"/>
    <w:rsid w:val="001170BE"/>
    <w:rsid w:val="00152026"/>
    <w:rsid w:val="001576BA"/>
    <w:rsid w:val="00166952"/>
    <w:rsid w:val="0018091B"/>
    <w:rsid w:val="00185854"/>
    <w:rsid w:val="001A0764"/>
    <w:rsid w:val="001A73A5"/>
    <w:rsid w:val="001C513D"/>
    <w:rsid w:val="001F3DA2"/>
    <w:rsid w:val="00205897"/>
    <w:rsid w:val="00207A3F"/>
    <w:rsid w:val="002261A3"/>
    <w:rsid w:val="00256107"/>
    <w:rsid w:val="002913A0"/>
    <w:rsid w:val="002A1EC9"/>
    <w:rsid w:val="002D08DA"/>
    <w:rsid w:val="002E724C"/>
    <w:rsid w:val="00311C43"/>
    <w:rsid w:val="00323944"/>
    <w:rsid w:val="0033010D"/>
    <w:rsid w:val="00345B00"/>
    <w:rsid w:val="00355832"/>
    <w:rsid w:val="003965FA"/>
    <w:rsid w:val="003C22EC"/>
    <w:rsid w:val="003C2D2C"/>
    <w:rsid w:val="003C4505"/>
    <w:rsid w:val="003C469C"/>
    <w:rsid w:val="003D26EA"/>
    <w:rsid w:val="004058E6"/>
    <w:rsid w:val="00435C8C"/>
    <w:rsid w:val="00445DFF"/>
    <w:rsid w:val="00461DD5"/>
    <w:rsid w:val="00467D0D"/>
    <w:rsid w:val="00476A3C"/>
    <w:rsid w:val="00487680"/>
    <w:rsid w:val="004A24B3"/>
    <w:rsid w:val="004A364D"/>
    <w:rsid w:val="004B0FFC"/>
    <w:rsid w:val="004B6981"/>
    <w:rsid w:val="004D1C31"/>
    <w:rsid w:val="0050638D"/>
    <w:rsid w:val="00514F44"/>
    <w:rsid w:val="0053525C"/>
    <w:rsid w:val="00553550"/>
    <w:rsid w:val="00557DF7"/>
    <w:rsid w:val="00583F92"/>
    <w:rsid w:val="005B07C4"/>
    <w:rsid w:val="005B7D74"/>
    <w:rsid w:val="005C1164"/>
    <w:rsid w:val="005F19A9"/>
    <w:rsid w:val="005F7F05"/>
    <w:rsid w:val="006061DB"/>
    <w:rsid w:val="00607AB7"/>
    <w:rsid w:val="0062037E"/>
    <w:rsid w:val="006301A9"/>
    <w:rsid w:val="00641B4A"/>
    <w:rsid w:val="006520B3"/>
    <w:rsid w:val="0065629C"/>
    <w:rsid w:val="006740B0"/>
    <w:rsid w:val="006748DD"/>
    <w:rsid w:val="006764F4"/>
    <w:rsid w:val="006B2964"/>
    <w:rsid w:val="006B5CAB"/>
    <w:rsid w:val="006D2E2F"/>
    <w:rsid w:val="006E2B39"/>
    <w:rsid w:val="00705243"/>
    <w:rsid w:val="00706858"/>
    <w:rsid w:val="007526F6"/>
    <w:rsid w:val="007674AE"/>
    <w:rsid w:val="00785129"/>
    <w:rsid w:val="007854B9"/>
    <w:rsid w:val="007B77C1"/>
    <w:rsid w:val="007C6452"/>
    <w:rsid w:val="007D0A4D"/>
    <w:rsid w:val="007F6DD0"/>
    <w:rsid w:val="008023E6"/>
    <w:rsid w:val="00803EA2"/>
    <w:rsid w:val="0080453F"/>
    <w:rsid w:val="00820316"/>
    <w:rsid w:val="00882EFF"/>
    <w:rsid w:val="00884965"/>
    <w:rsid w:val="008966A3"/>
    <w:rsid w:val="008B5090"/>
    <w:rsid w:val="008C02E2"/>
    <w:rsid w:val="008D4BCF"/>
    <w:rsid w:val="008D762F"/>
    <w:rsid w:val="008E1925"/>
    <w:rsid w:val="008E3623"/>
    <w:rsid w:val="008E395A"/>
    <w:rsid w:val="00902ABA"/>
    <w:rsid w:val="009163C5"/>
    <w:rsid w:val="0093052A"/>
    <w:rsid w:val="00937B06"/>
    <w:rsid w:val="00973C81"/>
    <w:rsid w:val="00974264"/>
    <w:rsid w:val="00977E9B"/>
    <w:rsid w:val="009D2410"/>
    <w:rsid w:val="00A01022"/>
    <w:rsid w:val="00A0659B"/>
    <w:rsid w:val="00A23174"/>
    <w:rsid w:val="00A30AD6"/>
    <w:rsid w:val="00A31337"/>
    <w:rsid w:val="00A55198"/>
    <w:rsid w:val="00AF03CB"/>
    <w:rsid w:val="00B11AFD"/>
    <w:rsid w:val="00B21077"/>
    <w:rsid w:val="00B251F8"/>
    <w:rsid w:val="00B3116E"/>
    <w:rsid w:val="00B3583B"/>
    <w:rsid w:val="00B91AF5"/>
    <w:rsid w:val="00BB0A32"/>
    <w:rsid w:val="00BB494C"/>
    <w:rsid w:val="00BD6D7E"/>
    <w:rsid w:val="00BE227B"/>
    <w:rsid w:val="00BF40C4"/>
    <w:rsid w:val="00C05296"/>
    <w:rsid w:val="00C070B3"/>
    <w:rsid w:val="00C27AFD"/>
    <w:rsid w:val="00C340F5"/>
    <w:rsid w:val="00C43D00"/>
    <w:rsid w:val="00C65005"/>
    <w:rsid w:val="00C86C56"/>
    <w:rsid w:val="00CB547E"/>
    <w:rsid w:val="00CB71C9"/>
    <w:rsid w:val="00CC35E1"/>
    <w:rsid w:val="00CD0123"/>
    <w:rsid w:val="00CE0C4C"/>
    <w:rsid w:val="00CE37F8"/>
    <w:rsid w:val="00CE6266"/>
    <w:rsid w:val="00D02F61"/>
    <w:rsid w:val="00D03826"/>
    <w:rsid w:val="00D11F50"/>
    <w:rsid w:val="00D56836"/>
    <w:rsid w:val="00D608D8"/>
    <w:rsid w:val="00D7361C"/>
    <w:rsid w:val="00D75AF0"/>
    <w:rsid w:val="00D952AE"/>
    <w:rsid w:val="00D9567A"/>
    <w:rsid w:val="00DA3D17"/>
    <w:rsid w:val="00DA3DAB"/>
    <w:rsid w:val="00DB048A"/>
    <w:rsid w:val="00DD3F44"/>
    <w:rsid w:val="00E10A9A"/>
    <w:rsid w:val="00E128EF"/>
    <w:rsid w:val="00E27281"/>
    <w:rsid w:val="00E42FD5"/>
    <w:rsid w:val="00E457CA"/>
    <w:rsid w:val="00E63888"/>
    <w:rsid w:val="00E647C2"/>
    <w:rsid w:val="00E7703B"/>
    <w:rsid w:val="00E8006C"/>
    <w:rsid w:val="00E849EC"/>
    <w:rsid w:val="00EB1C84"/>
    <w:rsid w:val="00EB76B8"/>
    <w:rsid w:val="00ED33BD"/>
    <w:rsid w:val="00ED3723"/>
    <w:rsid w:val="00EF7AB2"/>
    <w:rsid w:val="00F32508"/>
    <w:rsid w:val="00F4396F"/>
    <w:rsid w:val="00F46CCE"/>
    <w:rsid w:val="00F54792"/>
    <w:rsid w:val="00F64538"/>
    <w:rsid w:val="00F71A42"/>
    <w:rsid w:val="00F81DFE"/>
    <w:rsid w:val="00FA47F3"/>
    <w:rsid w:val="00FF2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893"/>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link w:val="BalloonTextChar"/>
    <w:uiPriority w:val="99"/>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customStyle="1" w:styleId="BalloonTextChar">
    <w:name w:val="Balloon Text Char"/>
    <w:basedOn w:val="DefaultParagraphFont"/>
    <w:link w:val="BalloonText"/>
    <w:uiPriority w:val="99"/>
    <w:semiHidden/>
    <w:rsid w:val="003C4505"/>
    <w:rPr>
      <w:rFonts w:ascii="Tahoma" w:hAnsi="Tahoma" w:cs="Tahoma"/>
      <w:sz w:val="16"/>
      <w:szCs w:val="16"/>
    </w:rPr>
  </w:style>
  <w:style w:type="paragraph" w:customStyle="1" w:styleId="BodyContent">
    <w:name w:val="Body Content"/>
    <w:basedOn w:val="Normal"/>
    <w:link w:val="BodyContentChar"/>
    <w:qFormat/>
    <w:rsid w:val="003C4505"/>
    <w:pPr>
      <w:spacing w:after="480"/>
    </w:pPr>
    <w:rPr>
      <w:rFonts w:asciiTheme="minorHAnsi" w:eastAsiaTheme="minorHAnsi" w:hAnsiTheme="minorHAnsi" w:cstheme="minorBidi"/>
      <w:color w:val="000000" w:themeColor="text1"/>
      <w:sz w:val="20"/>
      <w:szCs w:val="22"/>
    </w:rPr>
  </w:style>
  <w:style w:type="character" w:customStyle="1" w:styleId="BodyContentChar">
    <w:name w:val="Body Content Char"/>
    <w:basedOn w:val="DefaultParagraphFont"/>
    <w:link w:val="BodyContent"/>
    <w:rsid w:val="003C4505"/>
    <w:rPr>
      <w:rFonts w:asciiTheme="minorHAnsi" w:eastAsiaTheme="minorHAnsi" w:hAnsiTheme="minorHAnsi" w:cstheme="minorBidi"/>
      <w:color w:val="000000" w:themeColor="tex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282041">
      <w:bodyDiv w:val="1"/>
      <w:marLeft w:val="0"/>
      <w:marRight w:val="0"/>
      <w:marTop w:val="0"/>
      <w:marBottom w:val="0"/>
      <w:divBdr>
        <w:top w:val="none" w:sz="0" w:space="0" w:color="auto"/>
        <w:left w:val="none" w:sz="0" w:space="0" w:color="auto"/>
        <w:bottom w:val="none" w:sz="0" w:space="0" w:color="auto"/>
        <w:right w:val="none" w:sz="0" w:space="0" w:color="auto"/>
      </w:divBdr>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jones@socket.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Application%20Data\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e-mail newsletter</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2003-07-31T16:56:00Z</cp:lastPrinted>
  <dcterms:created xsi:type="dcterms:W3CDTF">2011-01-05T22:39:00Z</dcterms:created>
  <dcterms:modified xsi:type="dcterms:W3CDTF">2012-01-17T21:18:00Z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