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FA7" w:rsidRDefault="008D7031">
      <w:r>
        <w:rPr>
          <w:noProof/>
        </w:rPr>
        <w:drawing>
          <wp:anchor distT="0" distB="0" distL="114300" distR="114300" simplePos="0" relativeHeight="251659264" behindDoc="0" locked="0" layoutInCell="1" allowOverlap="1" wp14:anchorId="1CCF17F1" wp14:editId="4FD63312">
            <wp:simplePos x="0" y="0"/>
            <wp:positionH relativeFrom="column">
              <wp:posOffset>1562100</wp:posOffset>
            </wp:positionH>
            <wp:positionV relativeFrom="paragraph">
              <wp:posOffset>-85090</wp:posOffset>
            </wp:positionV>
            <wp:extent cx="3593465" cy="1389380"/>
            <wp:effectExtent l="0" t="0" r="6985" b="1270"/>
            <wp:wrapTopAndBottom/>
            <wp:docPr id="4" name="Picture 4" descr="National Federation of the Blind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NFB Logo RGB Rec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93465" cy="1389380"/>
                    </a:xfrm>
                    <a:prstGeom prst="rect">
                      <a:avLst/>
                    </a:prstGeom>
                  </pic:spPr>
                </pic:pic>
              </a:graphicData>
            </a:graphic>
            <wp14:sizeRelH relativeFrom="margin">
              <wp14:pctWidth>0</wp14:pctWidth>
            </wp14:sizeRelH>
            <wp14:sizeRelV relativeFrom="margin">
              <wp14:pctHeight>0</wp14:pctHeight>
            </wp14:sizeRelV>
          </wp:anchor>
        </w:drawing>
      </w:r>
    </w:p>
    <w:p w:rsidR="00B22413" w:rsidRPr="008D7031" w:rsidRDefault="00B22413" w:rsidP="00AA34F5">
      <w:pPr>
        <w:pStyle w:val="Heading1"/>
        <w:rPr>
          <w:sz w:val="20"/>
          <w:szCs w:val="20"/>
        </w:rPr>
      </w:pPr>
      <w:r>
        <w:t>Accessible Instructional M</w:t>
      </w:r>
      <w:r w:rsidRPr="00AA34F5">
        <w:t xml:space="preserve">aterials in </w:t>
      </w:r>
      <w:r w:rsidR="008553FF">
        <w:t xml:space="preserve">Higher Education </w:t>
      </w:r>
      <w:r>
        <w:t>(AIM HE) Act</w:t>
      </w:r>
      <w:r w:rsidR="008D7031">
        <w:br/>
      </w:r>
    </w:p>
    <w:p w:rsidR="00AA34F5" w:rsidRDefault="00AA34F5" w:rsidP="008D7031">
      <w:pPr>
        <w:ind w:left="-180" w:right="-180"/>
        <w:rPr>
          <w:rFonts w:ascii="Arial" w:hAnsi="Arial" w:cs="Arial"/>
          <w:b/>
          <w:sz w:val="24"/>
        </w:rPr>
      </w:pPr>
      <w:r w:rsidRPr="00454882">
        <w:rPr>
          <w:b/>
          <w:noProof/>
          <w:szCs w:val="28"/>
        </w:rPr>
        <mc:AlternateContent>
          <mc:Choice Requires="wps">
            <w:drawing>
              <wp:inline distT="0" distB="0" distL="0" distR="0" wp14:anchorId="4D131291" wp14:editId="6FBC106D">
                <wp:extent cx="6723530" cy="569595"/>
                <wp:effectExtent l="19050" t="19050" r="20320" b="20955"/>
                <wp:docPr id="3" name="Text Box 3"/>
                <wp:cNvGraphicFramePr/>
                <a:graphic xmlns:a="http://schemas.openxmlformats.org/drawingml/2006/main">
                  <a:graphicData uri="http://schemas.microsoft.com/office/word/2010/wordprocessingShape">
                    <wps:wsp>
                      <wps:cNvSpPr txBox="1"/>
                      <wps:spPr>
                        <a:xfrm>
                          <a:off x="0" y="0"/>
                          <a:ext cx="6723530" cy="569595"/>
                        </a:xfrm>
                        <a:prstGeom prst="rect">
                          <a:avLst/>
                        </a:prstGeom>
                        <a:solidFill>
                          <a:schemeClr val="lt1"/>
                        </a:solidFill>
                        <a:ln w="34925">
                          <a:solidFill>
                            <a:schemeClr val="accent3">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A34F5" w:rsidRPr="00AA34F5" w:rsidRDefault="00AA34F5" w:rsidP="00AA34F5">
                            <w:pPr>
                              <w:jc w:val="center"/>
                              <w:rPr>
                                <w:sz w:val="24"/>
                              </w:rPr>
                            </w:pPr>
                            <w:r w:rsidRPr="00AA34F5">
                              <w:rPr>
                                <w:b/>
                                <w:sz w:val="24"/>
                              </w:rPr>
                              <w:t xml:space="preserve">Until colleges and universities drive the demand for accessible instructional materials, </w:t>
                            </w:r>
                            <w:r w:rsidRPr="00AA34F5">
                              <w:rPr>
                                <w:b/>
                                <w:sz w:val="24"/>
                              </w:rPr>
                              <w:br/>
                              <w:t>blind college students will be denied access to critical course content.</w:t>
                            </w:r>
                          </w:p>
                        </w:txbxContent>
                      </wps:txbx>
                      <wps:bodyPr rot="0" spcFirstLastPara="0" vertOverflow="overflow" horzOverflow="overflow" vert="horz" wrap="square" lIns="0" tIns="91440" rIns="0" bIns="91440" numCol="1" spcCol="0" rtlCol="0" fromWordArt="0" anchor="ctr"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529.4pt;height:4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" fillcolor="white [3201]" strokecolor="#4e6128 [1606]" strokeweight="2.75pt">
                <v:textbox inset="0,7.2pt,0,7.2pt">
                  <w:txbxContent>
                    <w:p w:rsidR="00AA34F5" w:rsidRPr="00AA34F5" w:rsidRDefault="00AA34F5" w:rsidP="00AA34F5">
                      <w:pPr>
                        <w:jc w:val="center"/>
                        <w:rPr>
                          <w:sz w:val="24"/>
                        </w:rPr>
                      </w:pPr>
                      <w:r w:rsidRPr="00AA34F5">
                        <w:rPr>
                          <w:b/>
                          <w:sz w:val="24"/>
                        </w:rPr>
                        <w:t xml:space="preserve">Until colleges and universities drive the demand for accessible instructional materials, </w:t>
                      </w:r>
                      <w:r w:rsidRPr="00AA34F5">
                        <w:rPr>
                          <w:b/>
                          <w:sz w:val="24"/>
                        </w:rPr>
                        <w:br/>
                        <w:t>blind college students will be denied access to critical course content.</w:t>
                      </w:r>
                    </w:p>
                  </w:txbxContent>
                </v:textbox>
                <w10:anchorlock/>
              </v:shape>
            </w:pict>
          </mc:Fallback>
        </mc:AlternateContent>
      </w:r>
    </w:p>
    <w:p w:rsidR="008D7031" w:rsidRPr="008D7031" w:rsidRDefault="008D7031" w:rsidP="00B22413">
      <w:pPr>
        <w:rPr>
          <w:rFonts w:ascii="Arial" w:hAnsi="Arial" w:cs="Arial"/>
          <w:b/>
          <w:sz w:val="20"/>
          <w:szCs w:val="20"/>
        </w:rPr>
      </w:pPr>
    </w:p>
    <w:p w:rsidR="00B22413" w:rsidRDefault="00B22413" w:rsidP="00B22413">
      <w:pPr>
        <w:rPr>
          <w:rFonts w:cs="Helvetica"/>
          <w:sz w:val="24"/>
        </w:rPr>
      </w:pPr>
      <w:r w:rsidRPr="00B22413">
        <w:rPr>
          <w:rFonts w:cs="Helvetica"/>
          <w:b/>
          <w:color w:val="E36C0A" w:themeColor="accent6" w:themeShade="BF"/>
          <w:sz w:val="24"/>
        </w:rPr>
        <w:t xml:space="preserve">Technology has fundamentally changed the education system. </w:t>
      </w:r>
      <w:r w:rsidRPr="00AC74F5">
        <w:rPr>
          <w:rFonts w:cs="Helvetica"/>
          <w:sz w:val="24"/>
        </w:rPr>
        <w:t xml:space="preserve">The scope of </w:t>
      </w:r>
      <w:r>
        <w:rPr>
          <w:rFonts w:cs="Helvetica"/>
          <w:sz w:val="24"/>
        </w:rPr>
        <w:t>i</w:t>
      </w:r>
      <w:r w:rsidRPr="00AC74F5">
        <w:rPr>
          <w:rFonts w:cs="Helvetica"/>
          <w:sz w:val="24"/>
        </w:rPr>
        <w:t>nstructional</w:t>
      </w:r>
      <w:r>
        <w:rPr>
          <w:rFonts w:cs="Helvetica"/>
          <w:sz w:val="24"/>
        </w:rPr>
        <w:t xml:space="preserve"> materials used at institutions of higher education has expanded. Curricular content comes in digital books, PDFs, webpages, etc., and most of this content is delivered through digital databases, learning management systems, and applications. The print world is</w:t>
      </w:r>
      <w:r w:rsidRPr="006B49ED">
        <w:rPr>
          <w:rFonts w:cs="Helvetica"/>
          <w:sz w:val="24"/>
        </w:rPr>
        <w:t xml:space="preserve"> inherently inaccessible to </w:t>
      </w:r>
      <w:r>
        <w:rPr>
          <w:rFonts w:cs="Helvetica"/>
          <w:sz w:val="24"/>
        </w:rPr>
        <w:t>students with disabilities</w:t>
      </w:r>
      <w:r w:rsidRPr="006B49ED">
        <w:rPr>
          <w:rFonts w:cs="Helvetica"/>
          <w:sz w:val="24"/>
        </w:rPr>
        <w:t xml:space="preserve">, but technology </w:t>
      </w:r>
      <w:r>
        <w:rPr>
          <w:rFonts w:cs="Helvetica"/>
          <w:sz w:val="24"/>
        </w:rPr>
        <w:t>offers the opportunity</w:t>
      </w:r>
      <w:r w:rsidRPr="006B49ED">
        <w:rPr>
          <w:rFonts w:cs="Helvetica"/>
          <w:sz w:val="24"/>
        </w:rPr>
        <w:t xml:space="preserve"> to expand the circle of participation</w:t>
      </w:r>
      <w:r>
        <w:rPr>
          <w:rFonts w:cs="Helvetica"/>
          <w:sz w:val="24"/>
        </w:rPr>
        <w:t>. Studies have found that,</w:t>
      </w:r>
      <w:r w:rsidRPr="003B5389">
        <w:rPr>
          <w:rFonts w:cs="Helvetica"/>
          <w:sz w:val="24"/>
        </w:rPr>
        <w:t xml:space="preserve"> of the</w:t>
      </w:r>
      <w:r>
        <w:rPr>
          <w:rFonts w:cs="Helvetica"/>
          <w:sz w:val="24"/>
        </w:rPr>
        <w:t xml:space="preserve"> six million plus </w:t>
      </w:r>
      <w:r w:rsidRPr="003B5389">
        <w:rPr>
          <w:rFonts w:cs="Helvetica"/>
          <w:sz w:val="24"/>
        </w:rPr>
        <w:t>students with print disabilities in the system</w:t>
      </w:r>
      <w:r>
        <w:rPr>
          <w:rFonts w:cs="Helvetica"/>
          <w:sz w:val="24"/>
        </w:rPr>
        <w:t xml:space="preserve">, the </w:t>
      </w:r>
      <w:proofErr w:type="gramStart"/>
      <w:r>
        <w:rPr>
          <w:rFonts w:cs="Helvetica"/>
          <w:sz w:val="24"/>
        </w:rPr>
        <w:t xml:space="preserve">number who </w:t>
      </w:r>
      <w:r w:rsidRPr="003B5389">
        <w:rPr>
          <w:rFonts w:cs="Helvetica"/>
          <w:sz w:val="24"/>
        </w:rPr>
        <w:t>go</w:t>
      </w:r>
      <w:proofErr w:type="gramEnd"/>
      <w:r w:rsidRPr="003B5389">
        <w:rPr>
          <w:rFonts w:cs="Helvetica"/>
          <w:sz w:val="24"/>
        </w:rPr>
        <w:t xml:space="preserve"> on to pursue postsecondary education is growing.</w:t>
      </w:r>
      <w:r w:rsidRPr="00D00EB0">
        <w:rPr>
          <w:rStyle w:val="EndnoteReference"/>
          <w:rFonts w:cs="Helvetica"/>
          <w:sz w:val="20"/>
        </w:rPr>
        <w:endnoteReference w:id="1"/>
      </w:r>
    </w:p>
    <w:p w:rsidR="00B22413" w:rsidRDefault="00B22413" w:rsidP="00B22413">
      <w:pPr>
        <w:rPr>
          <w:rFonts w:cs="Helvetica"/>
          <w:sz w:val="24"/>
        </w:rPr>
      </w:pPr>
    </w:p>
    <w:p w:rsidR="00B22413" w:rsidRPr="002A13D2" w:rsidRDefault="00B22413" w:rsidP="00B22413">
      <w:pPr>
        <w:rPr>
          <w:rFonts w:cs="Helvetica"/>
          <w:sz w:val="24"/>
        </w:rPr>
      </w:pPr>
      <w:r w:rsidRPr="00B22413">
        <w:rPr>
          <w:rFonts w:cs="Helvetica"/>
          <w:b/>
          <w:color w:val="E36C0A" w:themeColor="accent6" w:themeShade="BF"/>
          <w:sz w:val="24"/>
        </w:rPr>
        <w:t>Blind students are facing insurmountable barriers to education.</w:t>
      </w:r>
      <w:r w:rsidRPr="00B22413">
        <w:rPr>
          <w:rFonts w:cs="Helvetica"/>
          <w:color w:val="E36C0A" w:themeColor="accent6" w:themeShade="BF"/>
          <w:sz w:val="24"/>
        </w:rPr>
        <w:t xml:space="preserve"> </w:t>
      </w:r>
      <w:r>
        <w:rPr>
          <w:rFonts w:cs="Helvetica"/>
          <w:sz w:val="24"/>
        </w:rPr>
        <w:t>Instead of fulfilling the promise of equal access, tec</w:t>
      </w:r>
      <w:bookmarkStart w:id="0" w:name="_GoBack"/>
      <w:bookmarkEnd w:id="0"/>
      <w:r>
        <w:rPr>
          <w:rFonts w:cs="Helvetica"/>
          <w:sz w:val="24"/>
        </w:rPr>
        <w:t>hnology has created more problems than the print world ever did. Data show that students with disabilities face</w:t>
      </w:r>
      <w:r w:rsidRPr="003B5389">
        <w:rPr>
          <w:rFonts w:cs="Helvetica"/>
          <w:sz w:val="24"/>
        </w:rPr>
        <w:t xml:space="preserve"> a variety of challenges, includin</w:t>
      </w:r>
      <w:r>
        <w:rPr>
          <w:rFonts w:cs="Helvetica"/>
          <w:sz w:val="24"/>
        </w:rPr>
        <w:t>g matriculation failure, solely because colleges and universities are sticking with the ad-hoc accommodations model instead of embracing accessibility.</w:t>
      </w:r>
      <w:bookmarkStart w:id="1" w:name="_Ref408753912"/>
      <w:r w:rsidRPr="00D00EB0">
        <w:rPr>
          <w:rStyle w:val="EndnoteReference"/>
          <w:rFonts w:cs="Helvetica"/>
          <w:sz w:val="20"/>
        </w:rPr>
        <w:endnoteReference w:id="2"/>
      </w:r>
      <w:bookmarkEnd w:id="1"/>
      <w:r>
        <w:rPr>
          <w:rFonts w:cs="Helvetica"/>
          <w:sz w:val="24"/>
        </w:rPr>
        <w:t xml:space="preserve"> Schools deploy inaccessible technology and then modify another version for blind students, usually weeks or even months into class, creating a “separate-but-equal” landscape with n</w:t>
      </w:r>
      <w:r w:rsidRPr="003B5389">
        <w:rPr>
          <w:rFonts w:cs="Helvetica"/>
          <w:sz w:val="24"/>
        </w:rPr>
        <w:t>early impenetrable barriers</w:t>
      </w:r>
      <w:r>
        <w:rPr>
          <w:rFonts w:cs="Helvetica"/>
          <w:sz w:val="24"/>
        </w:rPr>
        <w:t>. With only a 20 percent employment rate</w:t>
      </w:r>
      <w:r w:rsidRPr="00D00EB0">
        <w:rPr>
          <w:rStyle w:val="EndnoteReference"/>
          <w:rFonts w:cs="Helvetica"/>
          <w:sz w:val="20"/>
        </w:rPr>
        <w:endnoteReference w:id="3"/>
      </w:r>
      <w:r>
        <w:rPr>
          <w:rFonts w:cs="Helvetica"/>
          <w:sz w:val="24"/>
        </w:rPr>
        <w:t xml:space="preserve">, blind students should not be denied access by the innovations that could have ensured full participation.  </w:t>
      </w:r>
    </w:p>
    <w:p w:rsidR="00B22413" w:rsidRPr="00B22413" w:rsidRDefault="00B22413" w:rsidP="00B22413">
      <w:pPr>
        <w:rPr>
          <w:rFonts w:cs="Helvetica"/>
          <w:b/>
          <w:bCs/>
          <w:sz w:val="24"/>
        </w:rPr>
      </w:pPr>
    </w:p>
    <w:p w:rsidR="00B22413" w:rsidRPr="00B22413" w:rsidRDefault="00B22413" w:rsidP="00B22413">
      <w:pPr>
        <w:rPr>
          <w:rFonts w:cs="Helvetica"/>
          <w:b/>
          <w:bCs/>
          <w:sz w:val="24"/>
        </w:rPr>
      </w:pPr>
      <w:r w:rsidRPr="00B22413">
        <w:rPr>
          <w:rFonts w:cs="Helvetica"/>
          <w:b/>
          <w:bCs/>
          <w:color w:val="E36C0A" w:themeColor="accent6" w:themeShade="BF"/>
          <w:sz w:val="24"/>
        </w:rPr>
        <w:t xml:space="preserve">Institutions of higher education need help to identify accessible material and comply with nondiscrimination laws. </w:t>
      </w:r>
      <w:r w:rsidRPr="00F94143">
        <w:rPr>
          <w:rFonts w:cs="Helvetica"/>
          <w:bCs/>
          <w:sz w:val="24"/>
        </w:rPr>
        <w:t xml:space="preserve">Section 504 of the Rehabilitation Act and </w:t>
      </w:r>
      <w:r>
        <w:rPr>
          <w:rFonts w:cs="Helvetica"/>
          <w:bCs/>
          <w:sz w:val="24"/>
        </w:rPr>
        <w:t xml:space="preserve">Titles II and III of the </w:t>
      </w:r>
      <w:r w:rsidRPr="00F94143">
        <w:rPr>
          <w:rFonts w:cs="Helvetica"/>
          <w:bCs/>
          <w:sz w:val="24"/>
        </w:rPr>
        <w:t xml:space="preserve">Americans with Disabilities Act </w:t>
      </w:r>
      <w:r>
        <w:rPr>
          <w:rFonts w:cs="Helvetica"/>
          <w:bCs/>
          <w:sz w:val="24"/>
        </w:rPr>
        <w:t>require schools to provide equal access, and in 2010, the US Departments of Justice and Education clarified that the use of inaccessible technology is prohibited under these laws.</w:t>
      </w:r>
      <w:r w:rsidRPr="00D00EB0">
        <w:rPr>
          <w:rStyle w:val="EndnoteReference"/>
          <w:rFonts w:cs="Helvetica"/>
          <w:bCs/>
          <w:sz w:val="20"/>
        </w:rPr>
        <w:endnoteReference w:id="4"/>
      </w:r>
      <w:r w:rsidRPr="003B5389">
        <w:t xml:space="preserve"> </w:t>
      </w:r>
      <w:r>
        <w:rPr>
          <w:rFonts w:cs="Helvetica"/>
          <w:bCs/>
          <w:sz w:val="24"/>
        </w:rPr>
        <w:t>In the five years since, over a dozen institutions have faced legal action for using inaccessible technology</w:t>
      </w:r>
      <w:r w:rsidRPr="00D00EB0">
        <w:rPr>
          <w:rStyle w:val="EndnoteReference"/>
          <w:rFonts w:cs="Helvetica"/>
          <w:bCs/>
          <w:sz w:val="20"/>
        </w:rPr>
        <w:endnoteReference w:id="5"/>
      </w:r>
      <w:r w:rsidRPr="00D00EB0">
        <w:rPr>
          <w:rFonts w:cs="Helvetica"/>
          <w:bCs/>
          <w:sz w:val="20"/>
        </w:rPr>
        <w:t>,</w:t>
      </w:r>
      <w:r>
        <w:rPr>
          <w:rFonts w:cs="Helvetica"/>
          <w:bCs/>
          <w:sz w:val="24"/>
        </w:rPr>
        <w:t xml:space="preserve"> and complaints are on the rise. Most litigation ends with a commitment from the school to embrace accessibility, but that commitment does little in a vast, uncoordinated higher education market</w:t>
      </w:r>
      <w:r w:rsidRPr="00D00EB0">
        <w:rPr>
          <w:rStyle w:val="EndnoteReference"/>
          <w:rFonts w:cs="Helvetica"/>
          <w:bCs/>
          <w:sz w:val="20"/>
        </w:rPr>
        <w:endnoteReference w:id="6"/>
      </w:r>
      <w:r w:rsidRPr="00D00EB0">
        <w:rPr>
          <w:rFonts w:cs="Helvetica"/>
          <w:bCs/>
          <w:sz w:val="20"/>
        </w:rPr>
        <w:t xml:space="preserve"> </w:t>
      </w:r>
      <w:r>
        <w:rPr>
          <w:rFonts w:cs="Helvetica"/>
          <w:bCs/>
          <w:sz w:val="24"/>
        </w:rPr>
        <w:t xml:space="preserve">that mostly forgets about blind students.  </w:t>
      </w:r>
    </w:p>
    <w:p w:rsidR="00B22413" w:rsidRPr="00B22413" w:rsidRDefault="00B22413" w:rsidP="00B22413">
      <w:pPr>
        <w:rPr>
          <w:rFonts w:cs="Helvetica"/>
          <w:b/>
          <w:bCs/>
          <w:sz w:val="24"/>
        </w:rPr>
      </w:pPr>
    </w:p>
    <w:p w:rsidR="00B22413" w:rsidRDefault="00AA34F5" w:rsidP="00B22413">
      <w:pPr>
        <w:rPr>
          <w:rFonts w:cs="Helvetica"/>
          <w:bCs/>
          <w:sz w:val="24"/>
        </w:rPr>
      </w:pPr>
      <w:r>
        <w:rPr>
          <w:noProof/>
        </w:rPr>
        <mc:AlternateContent>
          <mc:Choice Requires="wps">
            <w:drawing>
              <wp:anchor distT="0" distB="0" distL="114300" distR="114300" simplePos="0" relativeHeight="251661312" behindDoc="0" locked="0" layoutInCell="1" allowOverlap="1" wp14:anchorId="7D336429" wp14:editId="3796652B">
                <wp:simplePos x="0" y="0"/>
                <wp:positionH relativeFrom="column">
                  <wp:posOffset>-356235</wp:posOffset>
                </wp:positionH>
                <wp:positionV relativeFrom="paragraph">
                  <wp:posOffset>1619922</wp:posOffset>
                </wp:positionV>
                <wp:extent cx="7324725" cy="342900"/>
                <wp:effectExtent l="0" t="0" r="0" b="0"/>
                <wp:wrapNone/>
                <wp:docPr id="1" name="Text Box 9" descr="NFB contact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34F5" w:rsidRPr="0000720F" w:rsidRDefault="00AA34F5" w:rsidP="00AA34F5">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Pr="0000720F">
                              <w:rPr>
                                <w:rFonts w:ascii="Arial" w:hAnsi="Arial" w:cs="Arial"/>
                                <w:b/>
                                <w:color w:val="4F81BD" w:themeColor="accent1"/>
                                <w:sz w:val="19"/>
                                <w:szCs w:val="19"/>
                              </w:rPr>
                              <w:t xml:space="preserve">, </w:t>
                            </w:r>
                            <w:proofErr w:type="gramStart"/>
                            <w:r w:rsidRPr="0000720F">
                              <w:rPr>
                                <w:rFonts w:ascii="Arial" w:hAnsi="Arial" w:cs="Arial"/>
                                <w:b/>
                                <w:i/>
                                <w:color w:val="4F81BD" w:themeColor="accent1"/>
                                <w:sz w:val="19"/>
                                <w:szCs w:val="19"/>
                              </w:rPr>
                              <w:t>President</w:t>
                            </w:r>
                            <w:r w:rsidRPr="0000720F">
                              <w:rPr>
                                <w:rFonts w:ascii="Arial" w:hAnsi="Arial" w:cs="Arial"/>
                                <w:color w:val="4F81BD" w:themeColor="accent1"/>
                                <w:sz w:val="19"/>
                                <w:szCs w:val="19"/>
                              </w:rPr>
                              <w:t xml:space="preserve">  |</w:t>
                            </w:r>
                            <w:proofErr w:type="gramEnd"/>
                            <w:r w:rsidRPr="0000720F">
                              <w:rPr>
                                <w:rFonts w:ascii="Arial" w:hAnsi="Arial" w:cs="Arial"/>
                                <w:color w:val="4F81BD" w:themeColor="accent1"/>
                                <w:sz w:val="19"/>
                                <w:szCs w:val="19"/>
                              </w:rPr>
                              <w:t xml:space="preserve"> </w:t>
                            </w:r>
                            <w:r w:rsidRPr="0000720F">
                              <w:rPr>
                                <w:rFonts w:ascii="Arial" w:hAnsi="Arial" w:cs="Arial"/>
                                <w:sz w:val="19"/>
                                <w:szCs w:val="19"/>
                              </w:rPr>
                              <w:t xml:space="preserve"> 200 East Wells Street </w:t>
                            </w:r>
                            <w:r w:rsidRPr="0000720F">
                              <w:rPr>
                                <w:rFonts w:ascii="Arial" w:hAnsi="Arial" w:cs="Arial"/>
                                <w:i/>
                                <w:sz w:val="19"/>
                                <w:szCs w:val="19"/>
                              </w:rPr>
                              <w:t>at Jernigan Place</w:t>
                            </w:r>
                            <w:r w:rsidRPr="0000720F">
                              <w:rPr>
                                <w:rFonts w:ascii="Arial" w:hAnsi="Arial" w:cs="Arial"/>
                                <w:sz w:val="19"/>
                                <w:szCs w:val="19"/>
                              </w:rPr>
                              <w:t xml:space="preserve"> Baltimore, MD 21230</w:t>
                            </w:r>
                            <w:r w:rsidRPr="0000720F">
                              <w:rPr>
                                <w:rFonts w:ascii="Arial" w:hAnsi="Arial" w:cs="Arial"/>
                                <w:color w:val="4F81BD" w:themeColor="accent1"/>
                                <w:sz w:val="19"/>
                                <w:szCs w:val="19"/>
                              </w:rPr>
                              <w:t xml:space="preserve">  | </w:t>
                            </w:r>
                            <w:r w:rsidRPr="0000720F">
                              <w:rPr>
                                <w:rFonts w:ascii="Arial" w:hAnsi="Arial" w:cs="Arial"/>
                                <w:sz w:val="19"/>
                                <w:szCs w:val="19"/>
                              </w:rPr>
                              <w:t xml:space="preserve"> 410 659 9314</w:t>
                            </w:r>
                            <w:r w:rsidRPr="0000720F">
                              <w:rPr>
                                <w:rFonts w:ascii="Arial" w:hAnsi="Arial" w:cs="Arial"/>
                                <w:color w:val="4F81BD" w:themeColor="accent1"/>
                                <w:sz w:val="19"/>
                                <w:szCs w:val="19"/>
                              </w:rPr>
                              <w:t xml:space="preserve">  | </w:t>
                            </w:r>
                            <w:r w:rsidRPr="0000720F">
                              <w:rPr>
                                <w:rFonts w:ascii="Arial" w:hAnsi="Arial" w:cs="Arial"/>
                                <w:sz w:val="19"/>
                                <w:szCs w:val="19"/>
                              </w:rPr>
                              <w:t xml:space="preserve"> </w:t>
                            </w:r>
                            <w:r w:rsidRPr="0000720F">
                              <w:rPr>
                                <w:rFonts w:ascii="Arial" w:hAnsi="Arial" w:cs="Arial"/>
                                <w:b/>
                                <w:color w:val="4F81BD" w:themeColor="accent1"/>
                                <w:sz w:val="19"/>
                                <w:szCs w:val="19"/>
                              </w:rPr>
                              <w:t>www.nfb.org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alt="NFB contact information" style="position:absolute;margin-left:-28.05pt;margin-top:127.55pt;width:576.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" filled="f" stroked="f">
                <v:textbox>
                  <w:txbxContent>
                    <w:p w:rsidR="00AA34F5" w:rsidRPr="0000720F" w:rsidRDefault="00AA34F5" w:rsidP="00AA34F5">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Pr="0000720F">
                        <w:rPr>
                          <w:rFonts w:ascii="Arial" w:hAnsi="Arial" w:cs="Arial"/>
                          <w:b/>
                          <w:color w:val="4F81BD" w:themeColor="accent1"/>
                          <w:sz w:val="19"/>
                          <w:szCs w:val="19"/>
                        </w:rPr>
                        <w:t xml:space="preserve">, </w:t>
                      </w:r>
                      <w:proofErr w:type="gramStart"/>
                      <w:r w:rsidRPr="0000720F">
                        <w:rPr>
                          <w:rFonts w:ascii="Arial" w:hAnsi="Arial" w:cs="Arial"/>
                          <w:b/>
                          <w:i/>
                          <w:color w:val="4F81BD" w:themeColor="accent1"/>
                          <w:sz w:val="19"/>
                          <w:szCs w:val="19"/>
                        </w:rPr>
                        <w:t>President</w:t>
                      </w:r>
                      <w:r w:rsidRPr="0000720F">
                        <w:rPr>
                          <w:rFonts w:ascii="Arial" w:hAnsi="Arial" w:cs="Arial"/>
                          <w:color w:val="4F81BD" w:themeColor="accent1"/>
                          <w:sz w:val="19"/>
                          <w:szCs w:val="19"/>
                        </w:rPr>
                        <w:t xml:space="preserve">  |</w:t>
                      </w:r>
                      <w:proofErr w:type="gramEnd"/>
                      <w:r w:rsidRPr="0000720F">
                        <w:rPr>
                          <w:rFonts w:ascii="Arial" w:hAnsi="Arial" w:cs="Arial"/>
                          <w:color w:val="4F81BD" w:themeColor="accent1"/>
                          <w:sz w:val="19"/>
                          <w:szCs w:val="19"/>
                        </w:rPr>
                        <w:t xml:space="preserve"> </w:t>
                      </w:r>
                      <w:r w:rsidRPr="0000720F">
                        <w:rPr>
                          <w:rFonts w:ascii="Arial" w:hAnsi="Arial" w:cs="Arial"/>
                          <w:sz w:val="19"/>
                          <w:szCs w:val="19"/>
                        </w:rPr>
                        <w:t xml:space="preserve"> 200 East Wells Street </w:t>
                      </w:r>
                      <w:r w:rsidRPr="0000720F">
                        <w:rPr>
                          <w:rFonts w:ascii="Arial" w:hAnsi="Arial" w:cs="Arial"/>
                          <w:i/>
                          <w:sz w:val="19"/>
                          <w:szCs w:val="19"/>
                        </w:rPr>
                        <w:t>at Jernigan Place</w:t>
                      </w:r>
                      <w:r w:rsidRPr="0000720F">
                        <w:rPr>
                          <w:rFonts w:ascii="Arial" w:hAnsi="Arial" w:cs="Arial"/>
                          <w:sz w:val="19"/>
                          <w:szCs w:val="19"/>
                        </w:rPr>
                        <w:t xml:space="preserve"> Baltimore, MD 21230</w:t>
                      </w:r>
                      <w:r w:rsidRPr="0000720F">
                        <w:rPr>
                          <w:rFonts w:ascii="Arial" w:hAnsi="Arial" w:cs="Arial"/>
                          <w:color w:val="4F81BD" w:themeColor="accent1"/>
                          <w:sz w:val="19"/>
                          <w:szCs w:val="19"/>
                        </w:rPr>
                        <w:t xml:space="preserve">  | </w:t>
                      </w:r>
                      <w:r w:rsidRPr="0000720F">
                        <w:rPr>
                          <w:rFonts w:ascii="Arial" w:hAnsi="Arial" w:cs="Arial"/>
                          <w:sz w:val="19"/>
                          <w:szCs w:val="19"/>
                        </w:rPr>
                        <w:t xml:space="preserve"> 410 659 9314</w:t>
                      </w:r>
                      <w:r w:rsidRPr="0000720F">
                        <w:rPr>
                          <w:rFonts w:ascii="Arial" w:hAnsi="Arial" w:cs="Arial"/>
                          <w:color w:val="4F81BD" w:themeColor="accent1"/>
                          <w:sz w:val="19"/>
                          <w:szCs w:val="19"/>
                        </w:rPr>
                        <w:t xml:space="preserve">  | </w:t>
                      </w:r>
                      <w:r w:rsidRPr="0000720F">
                        <w:rPr>
                          <w:rFonts w:ascii="Arial" w:hAnsi="Arial" w:cs="Arial"/>
                          <w:sz w:val="19"/>
                          <w:szCs w:val="19"/>
                        </w:rPr>
                        <w:t xml:space="preserve"> </w:t>
                      </w:r>
                      <w:r w:rsidRPr="0000720F">
                        <w:rPr>
                          <w:rFonts w:ascii="Arial" w:hAnsi="Arial" w:cs="Arial"/>
                          <w:b/>
                          <w:color w:val="4F81BD" w:themeColor="accent1"/>
                          <w:sz w:val="19"/>
                          <w:szCs w:val="19"/>
                        </w:rPr>
                        <w:t>www.nfb.org</w:t>
                      </w:r>
                    </w:p>
                  </w:txbxContent>
                </v:textbox>
              </v:shape>
            </w:pict>
          </mc:Fallback>
        </mc:AlternateContent>
      </w:r>
      <w:r w:rsidR="00B22413" w:rsidRPr="00B22413">
        <w:rPr>
          <w:rFonts w:cs="Helvetica"/>
          <w:b/>
          <w:bCs/>
          <w:color w:val="E36C0A" w:themeColor="accent6" w:themeShade="BF"/>
          <w:sz w:val="24"/>
        </w:rPr>
        <w:t xml:space="preserve">Accessibility solutions are available, but guidelines are sorely needed to guide the market. </w:t>
      </w:r>
      <w:r w:rsidR="00B22413">
        <w:rPr>
          <w:rFonts w:cs="Helvetica"/>
          <w:bCs/>
          <w:sz w:val="24"/>
        </w:rPr>
        <w:t xml:space="preserve">Equal access requirements have no criteria for accessibility that schools can use when selecting technology.  </w:t>
      </w:r>
      <w:r w:rsidR="00B22413" w:rsidRPr="003B5389">
        <w:rPr>
          <w:rFonts w:cs="Helvetica"/>
          <w:bCs/>
          <w:sz w:val="24"/>
        </w:rPr>
        <w:t>Innovations in text-to-speech, refreshable Braille, and other accessibility fe</w:t>
      </w:r>
      <w:r w:rsidR="00B22413">
        <w:rPr>
          <w:rFonts w:cs="Helvetica"/>
          <w:bCs/>
          <w:sz w:val="24"/>
        </w:rPr>
        <w:t>atures are widely available, but</w:t>
      </w:r>
      <w:r w:rsidR="00B22413" w:rsidRPr="003B5389">
        <w:rPr>
          <w:rFonts w:cs="Helvetica"/>
          <w:bCs/>
          <w:sz w:val="24"/>
        </w:rPr>
        <w:t xml:space="preserve"> developers and manufacturers will </w:t>
      </w:r>
      <w:r w:rsidR="00B22413">
        <w:rPr>
          <w:rFonts w:cs="Helvetica"/>
          <w:bCs/>
          <w:sz w:val="24"/>
        </w:rPr>
        <w:t xml:space="preserve">incorporate only solutions that are demanded by the market. Accessibility guidelines are needed so that schools can streamline demand, stimulate the market, and better identify accessible material. If schools seeking to avoid litigation embrace this path to compliance, blind students will truly attain equal access. </w:t>
      </w:r>
    </w:p>
    <w:p w:rsidR="00B22413" w:rsidRPr="00AA34F5" w:rsidRDefault="00B22413" w:rsidP="00AA34F5">
      <w:pPr>
        <w:pStyle w:val="Subtitle"/>
      </w:pPr>
      <w:r w:rsidRPr="00AA34F5">
        <w:lastRenderedPageBreak/>
        <w:t xml:space="preserve">Accessible Instructional Materials in Higher Education Act: </w:t>
      </w:r>
    </w:p>
    <w:p w:rsidR="00B22413" w:rsidRPr="00F63A24" w:rsidRDefault="00B22413" w:rsidP="00B22413">
      <w:pPr>
        <w:rPr>
          <w:rFonts w:cs="Helvetica"/>
          <w:sz w:val="24"/>
        </w:rPr>
      </w:pPr>
    </w:p>
    <w:p w:rsidR="00B22413" w:rsidRDefault="00B22413" w:rsidP="00B22413">
      <w:pPr>
        <w:rPr>
          <w:rFonts w:cs="Helvetica"/>
          <w:sz w:val="24"/>
        </w:rPr>
      </w:pPr>
      <w:r>
        <w:rPr>
          <w:rFonts w:cs="Helvetica"/>
          <w:b/>
          <w:color w:val="006699"/>
          <w:sz w:val="24"/>
        </w:rPr>
        <w:t xml:space="preserve">Develops accessibility guidelines for instructional materials used in postsecondary education. </w:t>
      </w:r>
      <w:r>
        <w:rPr>
          <w:rFonts w:cs="Helvetica"/>
          <w:sz w:val="24"/>
        </w:rPr>
        <w:t xml:space="preserve">A purpose-based commission is tasked with developing accessibility criteria for </w:t>
      </w:r>
      <w:r w:rsidRPr="00496248">
        <w:rPr>
          <w:rFonts w:cs="Helvetica"/>
          <w:sz w:val="24"/>
        </w:rPr>
        <w:t xml:space="preserve">instructional materials and </w:t>
      </w:r>
      <w:r>
        <w:rPr>
          <w:rFonts w:cs="Helvetica"/>
          <w:sz w:val="24"/>
        </w:rPr>
        <w:t>the delivery systems/technologies used to access those materials. Additionally, the commission is tasked with developing an annotated list of existing natio</w:t>
      </w:r>
      <w:r w:rsidR="00B92A68">
        <w:rPr>
          <w:rFonts w:cs="Helvetica"/>
          <w:sz w:val="24"/>
        </w:rPr>
        <w:t>nal and international standards</w:t>
      </w:r>
      <w:r>
        <w:rPr>
          <w:rFonts w:cs="Helvetica"/>
          <w:sz w:val="24"/>
        </w:rPr>
        <w:t xml:space="preserve"> so that schools and developers can identify what makes a product usable by the blind.</w:t>
      </w:r>
    </w:p>
    <w:p w:rsidR="00B22413" w:rsidRPr="00F63A24" w:rsidRDefault="00B22413" w:rsidP="00B22413">
      <w:pPr>
        <w:rPr>
          <w:rFonts w:cs="Helvetica"/>
          <w:sz w:val="24"/>
        </w:rPr>
      </w:pPr>
    </w:p>
    <w:p w:rsidR="00B22413" w:rsidRDefault="00B22413" w:rsidP="00B22413">
      <w:pPr>
        <w:rPr>
          <w:rFonts w:cs="Helvetica"/>
          <w:sz w:val="24"/>
        </w:rPr>
      </w:pPr>
      <w:proofErr w:type="gramStart"/>
      <w:r>
        <w:rPr>
          <w:rFonts w:cs="Helvetica"/>
          <w:b/>
          <w:color w:val="006699"/>
          <w:sz w:val="24"/>
        </w:rPr>
        <w:t>Provides incentive for institutions of higher education to follow the guidelines.</w:t>
      </w:r>
      <w:proofErr w:type="gramEnd"/>
      <w:r>
        <w:rPr>
          <w:rFonts w:cs="Helvetica"/>
          <w:b/>
          <w:color w:val="006699"/>
          <w:sz w:val="24"/>
        </w:rPr>
        <w:t xml:space="preserve"> </w:t>
      </w:r>
      <w:r>
        <w:rPr>
          <w:rFonts w:cs="Helvetica"/>
          <w:sz w:val="24"/>
        </w:rPr>
        <w:t>Institutions of higher education that use only technology that conforms with the guidelines will be deemed in compliance with the provisions of Section 504 of the Rehabilitation Act and Titles II and III of the Americans with Disabilities Act that pertain to schools’ use of technology.</w:t>
      </w:r>
    </w:p>
    <w:p w:rsidR="00B22413" w:rsidRPr="00AA4CE1" w:rsidRDefault="00B22413" w:rsidP="00B22413">
      <w:pPr>
        <w:rPr>
          <w:rFonts w:cs="Helvetica"/>
          <w:b/>
          <w:sz w:val="24"/>
        </w:rPr>
      </w:pPr>
    </w:p>
    <w:p w:rsidR="00B22413" w:rsidRDefault="00B22413" w:rsidP="00B22413">
      <w:pPr>
        <w:spacing w:after="120"/>
        <w:rPr>
          <w:rFonts w:cs="Helvetica"/>
          <w:sz w:val="24"/>
        </w:rPr>
      </w:pPr>
      <w:r>
        <w:rPr>
          <w:rFonts w:cs="Helvetica"/>
          <w:b/>
          <w:color w:val="006699"/>
          <w:sz w:val="24"/>
        </w:rPr>
        <w:t xml:space="preserve">Offers flexibility for schools while reiterating that pre-existing obligations still apply. </w:t>
      </w:r>
      <w:r>
        <w:rPr>
          <w:rFonts w:cs="Helvetica"/>
          <w:sz w:val="24"/>
        </w:rPr>
        <w:t xml:space="preserve">Colleges and universities are permitted to use material that does not conform to the guidelines as long as equal access laws are still honored. Conformity with the AIM HE guidelines is only one path to compliance; schools can pursue a different path, but will forfeit the safe harbor legal protection. </w:t>
      </w:r>
      <w:r w:rsidR="008D7031">
        <w:rPr>
          <w:rFonts w:cs="Helvetica"/>
          <w:sz w:val="24"/>
        </w:rPr>
        <w:br/>
      </w:r>
    </w:p>
    <w:p w:rsidR="00AA34F5" w:rsidRPr="008D7031" w:rsidRDefault="00AA34F5" w:rsidP="008D7031">
      <w:pPr>
        <w:spacing w:after="120"/>
        <w:rPr>
          <w:rFonts w:cs="Helvetica"/>
          <w:sz w:val="24"/>
        </w:rPr>
      </w:pPr>
      <w:r w:rsidRPr="00454882">
        <w:rPr>
          <w:b/>
          <w:noProof/>
          <w:szCs w:val="28"/>
        </w:rPr>
        <mc:AlternateContent>
          <mc:Choice Requires="wps">
            <w:drawing>
              <wp:inline distT="0" distB="0" distL="0" distR="0" wp14:anchorId="102B8B77" wp14:editId="71920B13">
                <wp:extent cx="6626225" cy="569595"/>
                <wp:effectExtent l="19050" t="19050" r="22225" b="20955"/>
                <wp:docPr id="5" name="Text Box 5"/>
                <wp:cNvGraphicFramePr/>
                <a:graphic xmlns:a="http://schemas.openxmlformats.org/drawingml/2006/main">
                  <a:graphicData uri="http://schemas.microsoft.com/office/word/2010/wordprocessingShape">
                    <wps:wsp>
                      <wps:cNvSpPr txBox="1"/>
                      <wps:spPr>
                        <a:xfrm>
                          <a:off x="0" y="0"/>
                          <a:ext cx="6626225" cy="569595"/>
                        </a:xfrm>
                        <a:prstGeom prst="rect">
                          <a:avLst/>
                        </a:prstGeom>
                        <a:solidFill>
                          <a:schemeClr val="lt1"/>
                        </a:solidFill>
                        <a:ln w="34925">
                          <a:solidFill>
                            <a:schemeClr val="accent3">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A34F5" w:rsidRPr="00AA34F5" w:rsidRDefault="00AA34F5" w:rsidP="00AA34F5">
                            <w:pPr>
                              <w:jc w:val="center"/>
                              <w:rPr>
                                <w:b/>
                                <w:sz w:val="24"/>
                              </w:rPr>
                            </w:pPr>
                            <w:r w:rsidRPr="00AA34F5">
                              <w:rPr>
                                <w:b/>
                                <w:sz w:val="24"/>
                              </w:rPr>
                              <w:t>REMOVE BARRIERS TO EQUALITY IN THE CLASSROOM.</w:t>
                            </w:r>
                          </w:p>
                          <w:p w:rsidR="00AA34F5" w:rsidRPr="00AA34F5" w:rsidRDefault="00AA34F5" w:rsidP="00AA34F5">
                            <w:pPr>
                              <w:jc w:val="center"/>
                              <w:rPr>
                                <w:sz w:val="24"/>
                              </w:rPr>
                            </w:pPr>
                            <w:r w:rsidRPr="00AA34F5">
                              <w:rPr>
                                <w:b/>
                                <w:sz w:val="24"/>
                              </w:rPr>
                              <w:t>Sponsor the Accessible Instructional Materials in Higher Education Act.</w:t>
                            </w:r>
                          </w:p>
                        </w:txbxContent>
                      </wps:txbx>
                      <wps:bodyPr rot="0" spcFirstLastPara="0" vertOverflow="overflow" horzOverflow="overflow" vert="horz" wrap="square" lIns="0" tIns="91440" rIns="0" bIns="91440" numCol="1" spcCol="0" rtlCol="0" fromWordArt="0" anchor="ctr" anchorCtr="0" forceAA="0" compatLnSpc="1">
                        <a:prstTxWarp prst="textNoShape">
                          <a:avLst/>
                        </a:prstTxWarp>
                        <a:noAutofit/>
                      </wps:bodyPr>
                    </wps:wsp>
                  </a:graphicData>
                </a:graphic>
              </wp:inline>
            </w:drawing>
          </mc:Choice>
          <mc:Fallback>
            <w:pict>
              <v:shape id="Text Box 5" o:spid="_x0000_s1028" type="#_x0000_t202" style="width:521.75pt;height:4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" fillcolor="white [3201]" strokecolor="#4e6128 [1606]" strokeweight="2.75pt">
                <v:textbox inset="0,7.2pt,0,7.2pt">
                  <w:txbxContent>
                    <w:p w:rsidR="00AA34F5" w:rsidRPr="00AA34F5" w:rsidRDefault="00AA34F5" w:rsidP="00AA34F5">
                      <w:pPr>
                        <w:jc w:val="center"/>
                        <w:rPr>
                          <w:b/>
                          <w:sz w:val="24"/>
                        </w:rPr>
                      </w:pPr>
                      <w:r w:rsidRPr="00AA34F5">
                        <w:rPr>
                          <w:b/>
                          <w:sz w:val="24"/>
                        </w:rPr>
                        <w:t>REMOVE BARRIERS TO EQUALITY IN THE CLASSROOM.</w:t>
                      </w:r>
                    </w:p>
                    <w:p w:rsidR="00AA34F5" w:rsidRPr="00AA34F5" w:rsidRDefault="00AA34F5" w:rsidP="00AA34F5">
                      <w:pPr>
                        <w:jc w:val="center"/>
                        <w:rPr>
                          <w:sz w:val="24"/>
                        </w:rPr>
                      </w:pPr>
                      <w:r w:rsidRPr="00AA34F5">
                        <w:rPr>
                          <w:b/>
                          <w:sz w:val="24"/>
                        </w:rPr>
                        <w:t>Sponsor the Accessible Instructional Materials in Higher Education Act.</w:t>
                      </w:r>
                    </w:p>
                  </w:txbxContent>
                </v:textbox>
                <w10:anchorlock/>
              </v:shape>
            </w:pict>
          </mc:Fallback>
        </mc:AlternateContent>
      </w:r>
    </w:p>
    <w:p w:rsidR="00AA34F5" w:rsidRDefault="00AA34F5" w:rsidP="00B22413">
      <w:pPr>
        <w:jc w:val="center"/>
        <w:rPr>
          <w:rFonts w:cs="Helvetica"/>
          <w:b/>
          <w:sz w:val="24"/>
        </w:rPr>
      </w:pPr>
    </w:p>
    <w:p w:rsidR="00B22413" w:rsidRDefault="00B22413" w:rsidP="00B22413">
      <w:pPr>
        <w:jc w:val="center"/>
        <w:rPr>
          <w:rFonts w:cs="Helvetica"/>
          <w:b/>
          <w:sz w:val="24"/>
        </w:rPr>
      </w:pPr>
      <w:r w:rsidRPr="00F63A24">
        <w:rPr>
          <w:rFonts w:cs="Helvetica"/>
          <w:b/>
          <w:sz w:val="24"/>
        </w:rPr>
        <w:t>For more information contact:</w:t>
      </w:r>
    </w:p>
    <w:p w:rsidR="00B22413" w:rsidRPr="00F63A24" w:rsidRDefault="00B22413" w:rsidP="00B22413">
      <w:pPr>
        <w:jc w:val="center"/>
        <w:rPr>
          <w:rFonts w:cs="Helvetica"/>
          <w:sz w:val="24"/>
        </w:rPr>
      </w:pPr>
      <w:r>
        <w:rPr>
          <w:rFonts w:cs="Helvetica"/>
          <w:sz w:val="24"/>
        </w:rPr>
        <w:t>Gabe Cazares</w:t>
      </w:r>
      <w:r w:rsidRPr="00F63A24">
        <w:rPr>
          <w:rFonts w:cs="Helvetica"/>
          <w:sz w:val="24"/>
        </w:rPr>
        <w:t xml:space="preserve">, </w:t>
      </w:r>
      <w:r>
        <w:rPr>
          <w:rFonts w:cs="Helvetica"/>
          <w:sz w:val="24"/>
        </w:rPr>
        <w:t xml:space="preserve">Government Affairs Specialist, </w:t>
      </w:r>
      <w:r w:rsidRPr="00F63A24">
        <w:rPr>
          <w:rFonts w:cs="Helvetica"/>
          <w:sz w:val="24"/>
        </w:rPr>
        <w:t>National Federation of the Blind</w:t>
      </w:r>
    </w:p>
    <w:p w:rsidR="00B22413" w:rsidRDefault="00B22413" w:rsidP="00B22413">
      <w:pPr>
        <w:jc w:val="center"/>
        <w:rPr>
          <w:rFonts w:cs="Helvetica"/>
          <w:sz w:val="24"/>
        </w:rPr>
      </w:pPr>
      <w:r w:rsidRPr="00F63A24">
        <w:rPr>
          <w:rFonts w:cs="Helvetica"/>
          <w:sz w:val="24"/>
        </w:rPr>
        <w:t>Phone: (410) 659-9314, Ext</w:t>
      </w:r>
      <w:r>
        <w:rPr>
          <w:rFonts w:cs="Helvetica"/>
          <w:sz w:val="24"/>
        </w:rPr>
        <w:t>ension</w:t>
      </w:r>
      <w:r w:rsidRPr="00F63A24">
        <w:rPr>
          <w:rFonts w:cs="Helvetica"/>
          <w:sz w:val="24"/>
        </w:rPr>
        <w:t xml:space="preserve"> 2</w:t>
      </w:r>
      <w:r>
        <w:rPr>
          <w:rFonts w:cs="Helvetica"/>
          <w:sz w:val="24"/>
        </w:rPr>
        <w:t>206, E</w:t>
      </w:r>
      <w:r w:rsidRPr="00F63A24">
        <w:rPr>
          <w:rFonts w:cs="Helvetica"/>
          <w:sz w:val="24"/>
        </w:rPr>
        <w:t xml:space="preserve">mail: </w:t>
      </w:r>
      <w:hyperlink r:id="rId8" w:history="1">
        <w:r w:rsidRPr="002B5C14">
          <w:rPr>
            <w:rStyle w:val="Hyperlink"/>
            <w:rFonts w:cs="Helvetica"/>
            <w:sz w:val="24"/>
          </w:rPr>
          <w:t>gcazares@nfb.org</w:t>
        </w:r>
      </w:hyperlink>
    </w:p>
    <w:p w:rsidR="00B22413" w:rsidRPr="00266AAE" w:rsidRDefault="00B22413" w:rsidP="00B22413">
      <w:pPr>
        <w:rPr>
          <w:rFonts w:cs="Helvetica"/>
          <w:sz w:val="24"/>
        </w:rPr>
      </w:pPr>
    </w:p>
    <w:p w:rsidR="00B22413" w:rsidRDefault="00B22413" w:rsidP="00B22413">
      <w:pPr>
        <w:jc w:val="center"/>
        <w:rPr>
          <w:rFonts w:cs="Helvetica"/>
          <w:i/>
          <w:sz w:val="24"/>
        </w:rPr>
      </w:pPr>
      <w:r>
        <w:rPr>
          <w:rFonts w:cs="Helvetica"/>
          <w:i/>
          <w:color w:val="006699"/>
          <w:sz w:val="24"/>
        </w:rPr>
        <w:t xml:space="preserve">For more information visit: </w:t>
      </w:r>
      <w:hyperlink r:id="rId9" w:history="1">
        <w:r w:rsidRPr="0038180E">
          <w:rPr>
            <w:rStyle w:val="Hyperlink"/>
            <w:rFonts w:cs="Helvetica"/>
            <w:i/>
            <w:sz w:val="24"/>
          </w:rPr>
          <w:t>www.nfb.org/aim_he</w:t>
        </w:r>
      </w:hyperlink>
    </w:p>
    <w:p w:rsidR="00B22413" w:rsidRDefault="00B22413" w:rsidP="00B22413">
      <w:pPr>
        <w:rPr>
          <w:rFonts w:cs="Helvetica"/>
          <w:i/>
          <w:sz w:val="24"/>
        </w:rPr>
      </w:pPr>
    </w:p>
    <w:p w:rsidR="00B22413" w:rsidRPr="00AA4CE1" w:rsidRDefault="00B22413" w:rsidP="00B22413">
      <w:pPr>
        <w:rPr>
          <w:rFonts w:cs="Helvetica"/>
          <w:i/>
          <w:sz w:val="24"/>
        </w:rPr>
      </w:pPr>
    </w:p>
    <w:p w:rsidR="0000720F" w:rsidRDefault="00AA34F5">
      <w:r>
        <w:rPr>
          <w:noProof/>
        </w:rPr>
        <mc:AlternateContent>
          <mc:Choice Requires="wps">
            <w:drawing>
              <wp:anchor distT="0" distB="0" distL="114300" distR="114300" simplePos="0" relativeHeight="251663360" behindDoc="0" locked="0" layoutInCell="1" allowOverlap="1" wp14:anchorId="0EF7E0F5" wp14:editId="567DD1D2">
                <wp:simplePos x="0" y="0"/>
                <wp:positionH relativeFrom="column">
                  <wp:posOffset>-351790</wp:posOffset>
                </wp:positionH>
                <wp:positionV relativeFrom="paragraph">
                  <wp:posOffset>3139403</wp:posOffset>
                </wp:positionV>
                <wp:extent cx="7324725" cy="495300"/>
                <wp:effectExtent l="0" t="0" r="0" b="0"/>
                <wp:wrapNone/>
                <wp:docPr id="2" name="Text Box 9" descr="NFB contact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34F5" w:rsidRPr="0000720F" w:rsidRDefault="00AA34F5" w:rsidP="00AA34F5">
                            <w:pPr>
                              <w:spacing w:line="260" w:lineRule="exact"/>
                              <w:jc w:val="center"/>
                              <w:rPr>
                                <w:rFonts w:ascii="Arial" w:hAnsi="Arial" w:cs="Arial"/>
                                <w:b/>
                                <w:color w:val="4F81BD" w:themeColor="accent1"/>
                                <w:sz w:val="19"/>
                                <w:szCs w:val="19"/>
                              </w:rPr>
                            </w:pPr>
                            <w:r w:rsidRPr="0000720F">
                              <w:rPr>
                                <w:rFonts w:ascii="Arial" w:hAnsi="Arial" w:cs="Arial"/>
                                <w:b/>
                                <w:color w:val="4F81BD" w:themeColor="accent1"/>
                                <w:sz w:val="19"/>
                                <w:szCs w:val="19"/>
                              </w:rPr>
                              <w:t>National Federation of the Blind</w:t>
                            </w:r>
                          </w:p>
                          <w:p w:rsidR="00AA34F5" w:rsidRPr="0000720F" w:rsidRDefault="00AA34F5" w:rsidP="00AA34F5">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Pr="0000720F">
                              <w:rPr>
                                <w:rFonts w:ascii="Arial" w:hAnsi="Arial" w:cs="Arial"/>
                                <w:b/>
                                <w:color w:val="4F81BD" w:themeColor="accent1"/>
                                <w:sz w:val="19"/>
                                <w:szCs w:val="19"/>
                              </w:rPr>
                              <w:t xml:space="preserve">, </w:t>
                            </w:r>
                            <w:proofErr w:type="gramStart"/>
                            <w:r w:rsidRPr="0000720F">
                              <w:rPr>
                                <w:rFonts w:ascii="Arial" w:hAnsi="Arial" w:cs="Arial"/>
                                <w:b/>
                                <w:i/>
                                <w:color w:val="4F81BD" w:themeColor="accent1"/>
                                <w:sz w:val="19"/>
                                <w:szCs w:val="19"/>
                              </w:rPr>
                              <w:t>President</w:t>
                            </w:r>
                            <w:r w:rsidRPr="0000720F">
                              <w:rPr>
                                <w:rFonts w:ascii="Arial" w:hAnsi="Arial" w:cs="Arial"/>
                                <w:color w:val="4F81BD" w:themeColor="accent1"/>
                                <w:sz w:val="19"/>
                                <w:szCs w:val="19"/>
                              </w:rPr>
                              <w:t xml:space="preserve">  |</w:t>
                            </w:r>
                            <w:proofErr w:type="gramEnd"/>
                            <w:r w:rsidRPr="0000720F">
                              <w:rPr>
                                <w:rFonts w:ascii="Arial" w:hAnsi="Arial" w:cs="Arial"/>
                                <w:color w:val="4F81BD" w:themeColor="accent1"/>
                                <w:sz w:val="19"/>
                                <w:szCs w:val="19"/>
                              </w:rPr>
                              <w:t xml:space="preserve"> </w:t>
                            </w:r>
                            <w:r w:rsidRPr="0000720F">
                              <w:rPr>
                                <w:rFonts w:ascii="Arial" w:hAnsi="Arial" w:cs="Arial"/>
                                <w:sz w:val="19"/>
                                <w:szCs w:val="19"/>
                              </w:rPr>
                              <w:t xml:space="preserve"> 200 East Wells Street </w:t>
                            </w:r>
                            <w:r w:rsidRPr="0000720F">
                              <w:rPr>
                                <w:rFonts w:ascii="Arial" w:hAnsi="Arial" w:cs="Arial"/>
                                <w:i/>
                                <w:sz w:val="19"/>
                                <w:szCs w:val="19"/>
                              </w:rPr>
                              <w:t>at Jernigan Place</w:t>
                            </w:r>
                            <w:r w:rsidRPr="0000720F">
                              <w:rPr>
                                <w:rFonts w:ascii="Arial" w:hAnsi="Arial" w:cs="Arial"/>
                                <w:sz w:val="19"/>
                                <w:szCs w:val="19"/>
                              </w:rPr>
                              <w:t xml:space="preserve"> Baltimore, MD 21230</w:t>
                            </w:r>
                            <w:r w:rsidRPr="0000720F">
                              <w:rPr>
                                <w:rFonts w:ascii="Arial" w:hAnsi="Arial" w:cs="Arial"/>
                                <w:color w:val="4F81BD" w:themeColor="accent1"/>
                                <w:sz w:val="19"/>
                                <w:szCs w:val="19"/>
                              </w:rPr>
                              <w:t xml:space="preserve">  | </w:t>
                            </w:r>
                            <w:r w:rsidRPr="0000720F">
                              <w:rPr>
                                <w:rFonts w:ascii="Arial" w:hAnsi="Arial" w:cs="Arial"/>
                                <w:sz w:val="19"/>
                                <w:szCs w:val="19"/>
                              </w:rPr>
                              <w:t xml:space="preserve"> 410 659 9314</w:t>
                            </w:r>
                            <w:r w:rsidRPr="0000720F">
                              <w:rPr>
                                <w:rFonts w:ascii="Arial" w:hAnsi="Arial" w:cs="Arial"/>
                                <w:color w:val="4F81BD" w:themeColor="accent1"/>
                                <w:sz w:val="19"/>
                                <w:szCs w:val="19"/>
                              </w:rPr>
                              <w:t xml:space="preserve">  | </w:t>
                            </w:r>
                            <w:r w:rsidRPr="0000720F">
                              <w:rPr>
                                <w:rFonts w:ascii="Arial" w:hAnsi="Arial" w:cs="Arial"/>
                                <w:sz w:val="19"/>
                                <w:szCs w:val="19"/>
                              </w:rPr>
                              <w:t xml:space="preserve"> </w:t>
                            </w:r>
                            <w:r w:rsidRPr="0000720F">
                              <w:rPr>
                                <w:rFonts w:ascii="Arial" w:hAnsi="Arial" w:cs="Arial"/>
                                <w:b/>
                                <w:color w:val="4F81BD" w:themeColor="accent1"/>
                                <w:sz w:val="19"/>
                                <w:szCs w:val="19"/>
                              </w:rPr>
                              <w:t>www.nfb.org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alt="NFB contact information" style="position:absolute;margin-left:-27.7pt;margin-top:247.2pt;width:576.7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" filled="f" stroked="f">
                <v:textbox>
                  <w:txbxContent>
                    <w:p w:rsidR="00AA34F5" w:rsidRPr="0000720F" w:rsidRDefault="00AA34F5" w:rsidP="00AA34F5">
                      <w:pPr>
                        <w:spacing w:line="260" w:lineRule="exact"/>
                        <w:jc w:val="center"/>
                        <w:rPr>
                          <w:rFonts w:ascii="Arial" w:hAnsi="Arial" w:cs="Arial"/>
                          <w:b/>
                          <w:color w:val="4F81BD" w:themeColor="accent1"/>
                          <w:sz w:val="19"/>
                          <w:szCs w:val="19"/>
                        </w:rPr>
                      </w:pPr>
                      <w:r w:rsidRPr="0000720F">
                        <w:rPr>
                          <w:rFonts w:ascii="Arial" w:hAnsi="Arial" w:cs="Arial"/>
                          <w:b/>
                          <w:color w:val="4F81BD" w:themeColor="accent1"/>
                          <w:sz w:val="19"/>
                          <w:szCs w:val="19"/>
                        </w:rPr>
                        <w:t>National Federation of the Blind</w:t>
                      </w:r>
                    </w:p>
                    <w:p w:rsidR="00AA34F5" w:rsidRPr="0000720F" w:rsidRDefault="00AA34F5" w:rsidP="00AA34F5">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Pr="0000720F">
                        <w:rPr>
                          <w:rFonts w:ascii="Arial" w:hAnsi="Arial" w:cs="Arial"/>
                          <w:b/>
                          <w:color w:val="4F81BD" w:themeColor="accent1"/>
                          <w:sz w:val="19"/>
                          <w:szCs w:val="19"/>
                        </w:rPr>
                        <w:t xml:space="preserve">, </w:t>
                      </w:r>
                      <w:proofErr w:type="gramStart"/>
                      <w:r w:rsidRPr="0000720F">
                        <w:rPr>
                          <w:rFonts w:ascii="Arial" w:hAnsi="Arial" w:cs="Arial"/>
                          <w:b/>
                          <w:i/>
                          <w:color w:val="4F81BD" w:themeColor="accent1"/>
                          <w:sz w:val="19"/>
                          <w:szCs w:val="19"/>
                        </w:rPr>
                        <w:t>President</w:t>
                      </w:r>
                      <w:r w:rsidRPr="0000720F">
                        <w:rPr>
                          <w:rFonts w:ascii="Arial" w:hAnsi="Arial" w:cs="Arial"/>
                          <w:color w:val="4F81BD" w:themeColor="accent1"/>
                          <w:sz w:val="19"/>
                          <w:szCs w:val="19"/>
                        </w:rPr>
                        <w:t xml:space="preserve">  |</w:t>
                      </w:r>
                      <w:proofErr w:type="gramEnd"/>
                      <w:r w:rsidRPr="0000720F">
                        <w:rPr>
                          <w:rFonts w:ascii="Arial" w:hAnsi="Arial" w:cs="Arial"/>
                          <w:color w:val="4F81BD" w:themeColor="accent1"/>
                          <w:sz w:val="19"/>
                          <w:szCs w:val="19"/>
                        </w:rPr>
                        <w:t xml:space="preserve"> </w:t>
                      </w:r>
                      <w:r w:rsidRPr="0000720F">
                        <w:rPr>
                          <w:rFonts w:ascii="Arial" w:hAnsi="Arial" w:cs="Arial"/>
                          <w:sz w:val="19"/>
                          <w:szCs w:val="19"/>
                        </w:rPr>
                        <w:t xml:space="preserve"> 200 East Wells Street </w:t>
                      </w:r>
                      <w:r w:rsidRPr="0000720F">
                        <w:rPr>
                          <w:rFonts w:ascii="Arial" w:hAnsi="Arial" w:cs="Arial"/>
                          <w:i/>
                          <w:sz w:val="19"/>
                          <w:szCs w:val="19"/>
                        </w:rPr>
                        <w:t>at Jernigan Place</w:t>
                      </w:r>
                      <w:r w:rsidRPr="0000720F">
                        <w:rPr>
                          <w:rFonts w:ascii="Arial" w:hAnsi="Arial" w:cs="Arial"/>
                          <w:sz w:val="19"/>
                          <w:szCs w:val="19"/>
                        </w:rPr>
                        <w:t xml:space="preserve"> Baltimore, MD 21230</w:t>
                      </w:r>
                      <w:r w:rsidRPr="0000720F">
                        <w:rPr>
                          <w:rFonts w:ascii="Arial" w:hAnsi="Arial" w:cs="Arial"/>
                          <w:color w:val="4F81BD" w:themeColor="accent1"/>
                          <w:sz w:val="19"/>
                          <w:szCs w:val="19"/>
                        </w:rPr>
                        <w:t xml:space="preserve">  | </w:t>
                      </w:r>
                      <w:r w:rsidRPr="0000720F">
                        <w:rPr>
                          <w:rFonts w:ascii="Arial" w:hAnsi="Arial" w:cs="Arial"/>
                          <w:sz w:val="19"/>
                          <w:szCs w:val="19"/>
                        </w:rPr>
                        <w:t xml:space="preserve"> 410 659 9314</w:t>
                      </w:r>
                      <w:r w:rsidRPr="0000720F">
                        <w:rPr>
                          <w:rFonts w:ascii="Arial" w:hAnsi="Arial" w:cs="Arial"/>
                          <w:color w:val="4F81BD" w:themeColor="accent1"/>
                          <w:sz w:val="19"/>
                          <w:szCs w:val="19"/>
                        </w:rPr>
                        <w:t xml:space="preserve">  | </w:t>
                      </w:r>
                      <w:r w:rsidRPr="0000720F">
                        <w:rPr>
                          <w:rFonts w:ascii="Arial" w:hAnsi="Arial" w:cs="Arial"/>
                          <w:sz w:val="19"/>
                          <w:szCs w:val="19"/>
                        </w:rPr>
                        <w:t xml:space="preserve"> </w:t>
                      </w:r>
                      <w:r w:rsidRPr="0000720F">
                        <w:rPr>
                          <w:rFonts w:ascii="Arial" w:hAnsi="Arial" w:cs="Arial"/>
                          <w:b/>
                          <w:color w:val="4F81BD" w:themeColor="accent1"/>
                          <w:sz w:val="19"/>
                          <w:szCs w:val="19"/>
                        </w:rPr>
                        <w:t>www.nfb.org</w:t>
                      </w:r>
                    </w:p>
                  </w:txbxContent>
                </v:textbox>
              </v:shape>
            </w:pict>
          </mc:Fallback>
        </mc:AlternateContent>
      </w:r>
    </w:p>
    <w:sectPr w:rsidR="0000720F" w:rsidSect="008D7031">
      <w:endnotePr>
        <w:numFmt w:val="decimal"/>
      </w:endnotePr>
      <w:type w:val="continuous"/>
      <w:pgSz w:w="12240" w:h="15840" w:code="1"/>
      <w:pgMar w:top="720" w:right="900" w:bottom="1440" w:left="9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713" w:rsidRDefault="003A2713">
      <w:r>
        <w:separator/>
      </w:r>
    </w:p>
  </w:endnote>
  <w:endnote w:type="continuationSeparator" w:id="0">
    <w:p w:rsidR="003A2713" w:rsidRDefault="003A2713">
      <w:r>
        <w:continuationSeparator/>
      </w:r>
    </w:p>
  </w:endnote>
  <w:endnote w:id="1">
    <w:p w:rsidR="00B22413" w:rsidRPr="00722701" w:rsidRDefault="00B22413" w:rsidP="00B22413">
      <w:pPr>
        <w:pStyle w:val="EndnoteText"/>
        <w:rPr>
          <w:sz w:val="16"/>
          <w:szCs w:val="16"/>
        </w:rPr>
      </w:pPr>
      <w:r w:rsidRPr="00722701">
        <w:rPr>
          <w:rStyle w:val="EndnoteReference"/>
          <w:sz w:val="16"/>
          <w:szCs w:val="16"/>
        </w:rPr>
        <w:endnoteRef/>
      </w:r>
      <w:r w:rsidRPr="00722701">
        <w:rPr>
          <w:sz w:val="16"/>
          <w:szCs w:val="16"/>
        </w:rPr>
        <w:t xml:space="preserve"> Association of Research Libraries. “Report of the ARL Joint Task Force on Services to Patrons with Print Disabilities.” Research Library Issues. (2</w:t>
      </w:r>
      <w:r>
        <w:rPr>
          <w:sz w:val="16"/>
          <w:szCs w:val="16"/>
        </w:rPr>
        <w:t>012) 6.</w:t>
      </w:r>
    </w:p>
  </w:endnote>
  <w:endnote w:id="2">
    <w:p w:rsidR="00B22413" w:rsidRPr="00722701" w:rsidRDefault="00B22413" w:rsidP="00B22413">
      <w:pPr>
        <w:pStyle w:val="EndnoteText"/>
        <w:rPr>
          <w:sz w:val="16"/>
          <w:szCs w:val="16"/>
        </w:rPr>
      </w:pPr>
      <w:r w:rsidRPr="00722701">
        <w:rPr>
          <w:rStyle w:val="EndnoteReference"/>
          <w:sz w:val="16"/>
          <w:szCs w:val="16"/>
        </w:rPr>
        <w:endnoteRef/>
      </w:r>
      <w:r w:rsidRPr="00722701">
        <w:rPr>
          <w:sz w:val="16"/>
          <w:szCs w:val="16"/>
        </w:rPr>
        <w:t xml:space="preserve"> “Report of the Advisory Commission on Accessible Instructional Materials in Postsecondary Education for Students with Disabilities.” (2011) 13</w:t>
      </w:r>
      <w:r>
        <w:rPr>
          <w:sz w:val="16"/>
          <w:szCs w:val="16"/>
        </w:rPr>
        <w:t>.</w:t>
      </w:r>
    </w:p>
  </w:endnote>
  <w:endnote w:id="3">
    <w:p w:rsidR="00B22413" w:rsidRPr="00722701" w:rsidRDefault="00B22413" w:rsidP="00B22413">
      <w:pPr>
        <w:pStyle w:val="EndnoteText"/>
        <w:rPr>
          <w:sz w:val="16"/>
          <w:szCs w:val="16"/>
        </w:rPr>
      </w:pPr>
      <w:r w:rsidRPr="00722701">
        <w:rPr>
          <w:rStyle w:val="EndnoteReference"/>
          <w:sz w:val="16"/>
          <w:szCs w:val="16"/>
        </w:rPr>
        <w:endnoteRef/>
      </w:r>
      <w:r w:rsidRPr="00722701">
        <w:rPr>
          <w:sz w:val="16"/>
          <w:szCs w:val="16"/>
        </w:rPr>
        <w:t xml:space="preserve"> United States Department of Labor. “Current Disability Employment </w:t>
      </w:r>
      <w:r>
        <w:rPr>
          <w:sz w:val="16"/>
          <w:szCs w:val="16"/>
        </w:rPr>
        <w:t>Statistics.” Last modified Novem</w:t>
      </w:r>
      <w:r w:rsidRPr="00722701">
        <w:rPr>
          <w:sz w:val="16"/>
          <w:szCs w:val="16"/>
        </w:rPr>
        <w:t>ber,</w:t>
      </w:r>
      <w:r>
        <w:rPr>
          <w:sz w:val="16"/>
          <w:szCs w:val="16"/>
        </w:rPr>
        <w:t xml:space="preserve"> 2015. </w:t>
      </w:r>
      <w:hyperlink r:id="rId1" w:history="1">
        <w:r w:rsidRPr="005E3C5B">
          <w:rPr>
            <w:rStyle w:val="Hyperlink"/>
            <w:sz w:val="16"/>
            <w:szCs w:val="16"/>
          </w:rPr>
          <w:t>http://www.dol.gov/odep/</w:t>
        </w:r>
      </w:hyperlink>
      <w:r>
        <w:rPr>
          <w:sz w:val="16"/>
          <w:szCs w:val="16"/>
        </w:rPr>
        <w:t>.</w:t>
      </w:r>
    </w:p>
  </w:endnote>
  <w:endnote w:id="4">
    <w:p w:rsidR="00B22413" w:rsidRPr="00722701" w:rsidRDefault="00B22413" w:rsidP="00B22413">
      <w:pPr>
        <w:pStyle w:val="EndnoteText"/>
        <w:rPr>
          <w:sz w:val="16"/>
          <w:szCs w:val="16"/>
        </w:rPr>
      </w:pPr>
      <w:r w:rsidRPr="00722701">
        <w:rPr>
          <w:rStyle w:val="EndnoteReference"/>
          <w:sz w:val="16"/>
          <w:szCs w:val="16"/>
        </w:rPr>
        <w:endnoteRef/>
      </w:r>
      <w:r w:rsidRPr="00722701">
        <w:rPr>
          <w:sz w:val="16"/>
          <w:szCs w:val="16"/>
        </w:rPr>
        <w:t xml:space="preserve"> Department of Justice Civil Rights Division and Department of Education Office of Civil Rights letter to Co</w:t>
      </w:r>
      <w:r>
        <w:rPr>
          <w:sz w:val="16"/>
          <w:szCs w:val="16"/>
        </w:rPr>
        <w:t>llege and University Presidents, June 29, 2010.</w:t>
      </w:r>
    </w:p>
  </w:endnote>
  <w:endnote w:id="5">
    <w:p w:rsidR="00B22413" w:rsidRPr="00722701" w:rsidRDefault="00B22413" w:rsidP="00B22413">
      <w:pPr>
        <w:pStyle w:val="EndnoteText"/>
        <w:rPr>
          <w:sz w:val="16"/>
          <w:szCs w:val="16"/>
        </w:rPr>
      </w:pPr>
      <w:r w:rsidRPr="00722701">
        <w:rPr>
          <w:rStyle w:val="EndnoteReference"/>
          <w:sz w:val="16"/>
          <w:szCs w:val="16"/>
        </w:rPr>
        <w:endnoteRef/>
      </w:r>
      <w:r w:rsidRPr="00722701">
        <w:rPr>
          <w:sz w:val="16"/>
          <w:szCs w:val="16"/>
        </w:rPr>
        <w:t xml:space="preserve"> National Federation of the Blind. “The </w:t>
      </w:r>
      <w:r>
        <w:rPr>
          <w:sz w:val="16"/>
          <w:szCs w:val="16"/>
        </w:rPr>
        <w:t xml:space="preserve">Accessible Instructional Materials in Higher Education (AIM-HEA) </w:t>
      </w:r>
      <w:r w:rsidRPr="00722701">
        <w:rPr>
          <w:sz w:val="16"/>
          <w:szCs w:val="16"/>
        </w:rPr>
        <w:t>Ac</w:t>
      </w:r>
      <w:r>
        <w:rPr>
          <w:sz w:val="16"/>
          <w:szCs w:val="16"/>
        </w:rPr>
        <w:t>t.” Last modified December, 2015</w:t>
      </w:r>
      <w:r w:rsidRPr="00722701">
        <w:rPr>
          <w:sz w:val="16"/>
          <w:szCs w:val="16"/>
        </w:rPr>
        <w:t xml:space="preserve">. </w:t>
      </w:r>
      <w:hyperlink r:id="rId2" w:history="1">
        <w:r w:rsidRPr="005E3C5B">
          <w:rPr>
            <w:rStyle w:val="Hyperlink"/>
            <w:sz w:val="16"/>
            <w:szCs w:val="16"/>
          </w:rPr>
          <w:t>https://nfb.org/TEACH</w:t>
        </w:r>
      </w:hyperlink>
      <w:r>
        <w:rPr>
          <w:sz w:val="16"/>
          <w:szCs w:val="16"/>
        </w:rPr>
        <w:t>.</w:t>
      </w:r>
    </w:p>
  </w:endnote>
  <w:endnote w:id="6">
    <w:p w:rsidR="00B22413" w:rsidRDefault="00B22413" w:rsidP="00B22413">
      <w:pPr>
        <w:pStyle w:val="EndnoteText"/>
      </w:pPr>
      <w:r w:rsidRPr="00722701">
        <w:rPr>
          <w:rStyle w:val="EndnoteReference"/>
          <w:sz w:val="16"/>
          <w:szCs w:val="16"/>
        </w:rPr>
        <w:endnoteRef/>
      </w:r>
      <w:r w:rsidRPr="00722701">
        <w:rPr>
          <w:sz w:val="16"/>
          <w:szCs w:val="16"/>
        </w:rPr>
        <w:t xml:space="preserve"> Government Accountability Office. “Education Needs a Coordinated Approach to Improve Its Assistance to Schools in Supporting Students.” Report to the Chairman, Committee on Education and Labor, House of Representatives.10-33 (2009).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3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713" w:rsidRDefault="003A2713">
      <w:r>
        <w:separator/>
      </w:r>
    </w:p>
  </w:footnote>
  <w:footnote w:type="continuationSeparator" w:id="0">
    <w:p w:rsidR="003A2713" w:rsidRDefault="003A2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413"/>
    <w:rsid w:val="000047AE"/>
    <w:rsid w:val="0000720F"/>
    <w:rsid w:val="001912EB"/>
    <w:rsid w:val="002214CC"/>
    <w:rsid w:val="00226FA7"/>
    <w:rsid w:val="0024227C"/>
    <w:rsid w:val="0032488D"/>
    <w:rsid w:val="003A2713"/>
    <w:rsid w:val="003A4827"/>
    <w:rsid w:val="003F265C"/>
    <w:rsid w:val="004862C2"/>
    <w:rsid w:val="00584CF9"/>
    <w:rsid w:val="005F6D84"/>
    <w:rsid w:val="006357D0"/>
    <w:rsid w:val="00684CBD"/>
    <w:rsid w:val="007C056B"/>
    <w:rsid w:val="00830537"/>
    <w:rsid w:val="008553FF"/>
    <w:rsid w:val="00870902"/>
    <w:rsid w:val="008D7031"/>
    <w:rsid w:val="008F1ABA"/>
    <w:rsid w:val="009D1D64"/>
    <w:rsid w:val="009F0608"/>
    <w:rsid w:val="00A10D47"/>
    <w:rsid w:val="00AA34F5"/>
    <w:rsid w:val="00B179B5"/>
    <w:rsid w:val="00B22413"/>
    <w:rsid w:val="00B403AC"/>
    <w:rsid w:val="00B92A68"/>
    <w:rsid w:val="00BA1499"/>
    <w:rsid w:val="00BE2C5A"/>
    <w:rsid w:val="00CC047C"/>
    <w:rsid w:val="00CD4896"/>
    <w:rsid w:val="00DA487D"/>
    <w:rsid w:val="00E723FB"/>
    <w:rsid w:val="00FA4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413"/>
    <w:rPr>
      <w:rFonts w:ascii="Helvetica" w:hAnsi="Helvetica"/>
      <w:sz w:val="28"/>
      <w:szCs w:val="24"/>
    </w:rPr>
  </w:style>
  <w:style w:type="paragraph" w:styleId="Heading1">
    <w:name w:val="heading 1"/>
    <w:basedOn w:val="Normal"/>
    <w:next w:val="Normal"/>
    <w:link w:val="Heading1Char"/>
    <w:qFormat/>
    <w:rsid w:val="00AA34F5"/>
    <w:pPr>
      <w:jc w:val="center"/>
      <w:outlineLvl w:val="0"/>
    </w:pPr>
    <w:rPr>
      <w:rFonts w:cs="Helvetica"/>
      <w:b/>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paragraph" w:styleId="EndnoteText">
    <w:name w:val="endnote text"/>
    <w:basedOn w:val="Normal"/>
    <w:link w:val="EndnoteTextChar"/>
    <w:rsid w:val="00B22413"/>
    <w:rPr>
      <w:sz w:val="20"/>
      <w:szCs w:val="20"/>
    </w:rPr>
  </w:style>
  <w:style w:type="character" w:customStyle="1" w:styleId="EndnoteTextChar">
    <w:name w:val="Endnote Text Char"/>
    <w:basedOn w:val="DefaultParagraphFont"/>
    <w:link w:val="EndnoteText"/>
    <w:rsid w:val="00B22413"/>
    <w:rPr>
      <w:rFonts w:ascii="Helvetica" w:hAnsi="Helvetica"/>
    </w:rPr>
  </w:style>
  <w:style w:type="character" w:styleId="EndnoteReference">
    <w:name w:val="endnote reference"/>
    <w:basedOn w:val="DefaultParagraphFont"/>
    <w:rsid w:val="00B22413"/>
    <w:rPr>
      <w:vertAlign w:val="superscript"/>
    </w:rPr>
  </w:style>
  <w:style w:type="character" w:customStyle="1" w:styleId="Heading1Char">
    <w:name w:val="Heading 1 Char"/>
    <w:basedOn w:val="DefaultParagraphFont"/>
    <w:link w:val="Heading1"/>
    <w:rsid w:val="00AA34F5"/>
    <w:rPr>
      <w:rFonts w:ascii="Helvetica" w:hAnsi="Helvetica" w:cs="Helvetica"/>
      <w:b/>
      <w:sz w:val="26"/>
      <w:szCs w:val="26"/>
    </w:rPr>
  </w:style>
  <w:style w:type="paragraph" w:styleId="Subtitle">
    <w:name w:val="Subtitle"/>
    <w:basedOn w:val="Normal"/>
    <w:next w:val="Normal"/>
    <w:link w:val="SubtitleChar"/>
    <w:qFormat/>
    <w:rsid w:val="00AA34F5"/>
    <w:rPr>
      <w:rFonts w:cs="Helvetica"/>
      <w:b/>
      <w:bCs/>
      <w:color w:val="000000"/>
      <w:sz w:val="24"/>
    </w:rPr>
  </w:style>
  <w:style w:type="character" w:customStyle="1" w:styleId="SubtitleChar">
    <w:name w:val="Subtitle Char"/>
    <w:basedOn w:val="DefaultParagraphFont"/>
    <w:link w:val="Subtitle"/>
    <w:rsid w:val="00AA34F5"/>
    <w:rPr>
      <w:rFonts w:ascii="Helvetica" w:hAnsi="Helvetica" w:cs="Helvetica"/>
      <w:b/>
      <w:bCs/>
      <w:color w:val="000000"/>
      <w:sz w:val="24"/>
      <w:szCs w:val="24"/>
    </w:rPr>
  </w:style>
  <w:style w:type="character" w:styleId="Strong">
    <w:name w:val="Strong"/>
    <w:basedOn w:val="DefaultParagraphFont"/>
    <w:qFormat/>
    <w:rsid w:val="008D70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413"/>
    <w:rPr>
      <w:rFonts w:ascii="Helvetica" w:hAnsi="Helvetica"/>
      <w:sz w:val="28"/>
      <w:szCs w:val="24"/>
    </w:rPr>
  </w:style>
  <w:style w:type="paragraph" w:styleId="Heading1">
    <w:name w:val="heading 1"/>
    <w:basedOn w:val="Normal"/>
    <w:next w:val="Normal"/>
    <w:link w:val="Heading1Char"/>
    <w:qFormat/>
    <w:rsid w:val="00AA34F5"/>
    <w:pPr>
      <w:jc w:val="center"/>
      <w:outlineLvl w:val="0"/>
    </w:pPr>
    <w:rPr>
      <w:rFonts w:cs="Helvetica"/>
      <w:b/>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paragraph" w:styleId="EndnoteText">
    <w:name w:val="endnote text"/>
    <w:basedOn w:val="Normal"/>
    <w:link w:val="EndnoteTextChar"/>
    <w:rsid w:val="00B22413"/>
    <w:rPr>
      <w:sz w:val="20"/>
      <w:szCs w:val="20"/>
    </w:rPr>
  </w:style>
  <w:style w:type="character" w:customStyle="1" w:styleId="EndnoteTextChar">
    <w:name w:val="Endnote Text Char"/>
    <w:basedOn w:val="DefaultParagraphFont"/>
    <w:link w:val="EndnoteText"/>
    <w:rsid w:val="00B22413"/>
    <w:rPr>
      <w:rFonts w:ascii="Helvetica" w:hAnsi="Helvetica"/>
    </w:rPr>
  </w:style>
  <w:style w:type="character" w:styleId="EndnoteReference">
    <w:name w:val="endnote reference"/>
    <w:basedOn w:val="DefaultParagraphFont"/>
    <w:rsid w:val="00B22413"/>
    <w:rPr>
      <w:vertAlign w:val="superscript"/>
    </w:rPr>
  </w:style>
  <w:style w:type="character" w:customStyle="1" w:styleId="Heading1Char">
    <w:name w:val="Heading 1 Char"/>
    <w:basedOn w:val="DefaultParagraphFont"/>
    <w:link w:val="Heading1"/>
    <w:rsid w:val="00AA34F5"/>
    <w:rPr>
      <w:rFonts w:ascii="Helvetica" w:hAnsi="Helvetica" w:cs="Helvetica"/>
      <w:b/>
      <w:sz w:val="26"/>
      <w:szCs w:val="26"/>
    </w:rPr>
  </w:style>
  <w:style w:type="paragraph" w:styleId="Subtitle">
    <w:name w:val="Subtitle"/>
    <w:basedOn w:val="Normal"/>
    <w:next w:val="Normal"/>
    <w:link w:val="SubtitleChar"/>
    <w:qFormat/>
    <w:rsid w:val="00AA34F5"/>
    <w:rPr>
      <w:rFonts w:cs="Helvetica"/>
      <w:b/>
      <w:bCs/>
      <w:color w:val="000000"/>
      <w:sz w:val="24"/>
    </w:rPr>
  </w:style>
  <w:style w:type="character" w:customStyle="1" w:styleId="SubtitleChar">
    <w:name w:val="Subtitle Char"/>
    <w:basedOn w:val="DefaultParagraphFont"/>
    <w:link w:val="Subtitle"/>
    <w:rsid w:val="00AA34F5"/>
    <w:rPr>
      <w:rFonts w:ascii="Helvetica" w:hAnsi="Helvetica" w:cs="Helvetica"/>
      <w:b/>
      <w:bCs/>
      <w:color w:val="000000"/>
      <w:sz w:val="24"/>
      <w:szCs w:val="24"/>
    </w:rPr>
  </w:style>
  <w:style w:type="character" w:styleId="Strong">
    <w:name w:val="Strong"/>
    <w:basedOn w:val="DefaultParagraphFont"/>
    <w:qFormat/>
    <w:rsid w:val="008D70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cazares@nfb.org"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fb.org/aim_he"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nfb.org/TEACH" TargetMode="External"/><Relationship Id="rId1" Type="http://schemas.openxmlformats.org/officeDocument/2006/relationships/hyperlink" Target="http://www.dol.gov/ode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uhnke\Desktop\Letterhead\NFB%20Letterhead%20Final%20Only%20Use%20on%20Color%20Prin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NFB Letterhead Final Only Use on Color Printer.dotx</Template>
  <TotalTime>46</TotalTime>
  <Pages>2</Pages>
  <Words>626</Words>
  <Characters>3895</Characters>
  <Application>Microsoft Office Word</Application>
  <DocSecurity>0</DocSecurity>
  <Lines>64</Lines>
  <Paragraphs>22</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Kristian Kuhnke</dc:creator>
  <cp:lastModifiedBy>Shaffer, Suzanne</cp:lastModifiedBy>
  <cp:revision>5</cp:revision>
  <cp:lastPrinted>2014-05-12T18:17:00Z</cp:lastPrinted>
  <dcterms:created xsi:type="dcterms:W3CDTF">2016-01-07T13:54:00Z</dcterms:created>
  <dcterms:modified xsi:type="dcterms:W3CDTF">2016-01-07T18:50:00Z</dcterms:modified>
</cp:coreProperties>
</file>