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A2" w:rsidRDefault="00A72642" w:rsidP="002B695A">
      <w:pPr>
        <w:jc w:val="center"/>
        <w:rPr>
          <w:rFonts w:ascii="Century Schoolbook" w:hAnsi="Century Schoolbook"/>
          <w:b/>
        </w:rPr>
      </w:pPr>
      <w:r>
        <w:rPr>
          <w:rFonts w:ascii="Century Schoolbook" w:hAnsi="Century Schoolbook"/>
          <w:b/>
        </w:rPr>
        <w:t>Section 511 is Not a Step Forward</w:t>
      </w:r>
    </w:p>
    <w:p w:rsidR="00A72642" w:rsidRDefault="00A72642" w:rsidP="002B695A">
      <w:pPr>
        <w:jc w:val="center"/>
        <w:rPr>
          <w:rFonts w:ascii="Century Schoolbook" w:hAnsi="Century Schoolbook"/>
        </w:rPr>
      </w:pPr>
      <w:r>
        <w:rPr>
          <w:rFonts w:ascii="Century Schoolbook" w:hAnsi="Century Schoolbook"/>
        </w:rPr>
        <w:t>Prepared for the National Federation of the Blind</w:t>
      </w:r>
    </w:p>
    <w:p w:rsidR="00A72642" w:rsidRPr="00A72642" w:rsidRDefault="00A72642" w:rsidP="002B695A">
      <w:pPr>
        <w:jc w:val="center"/>
        <w:rPr>
          <w:rFonts w:ascii="Century Schoolbook" w:hAnsi="Century Schoolbook"/>
        </w:rPr>
      </w:pPr>
      <w:r>
        <w:rPr>
          <w:rFonts w:ascii="Century Schoolbook" w:hAnsi="Century Schoolbook"/>
        </w:rPr>
        <w:t xml:space="preserve">By </w:t>
      </w:r>
      <w:bookmarkStart w:id="0" w:name="_GoBack"/>
      <w:r>
        <w:rPr>
          <w:rFonts w:ascii="Century Schoolbook" w:hAnsi="Century Schoolbook"/>
        </w:rPr>
        <w:t>Samuel R. Bagenstos</w:t>
      </w:r>
      <w:bookmarkEnd w:id="0"/>
      <w:r>
        <w:rPr>
          <w:rStyle w:val="FootnoteReference"/>
          <w:rFonts w:ascii="Century Schoolbook" w:hAnsi="Century Schoolbook"/>
        </w:rPr>
        <w:footnoteReference w:customMarkFollows="1" w:id="1"/>
        <w:t>*</w:t>
      </w:r>
    </w:p>
    <w:p w:rsidR="00A72642" w:rsidRDefault="00A72642" w:rsidP="002B695A">
      <w:pPr>
        <w:spacing w:after="120"/>
        <w:jc w:val="both"/>
        <w:rPr>
          <w:rFonts w:ascii="Century Schoolbook" w:hAnsi="Century Schoolbook"/>
          <w:b/>
        </w:rPr>
      </w:pPr>
    </w:p>
    <w:p w:rsidR="00A72642" w:rsidRDefault="00A72642" w:rsidP="00493605">
      <w:pPr>
        <w:spacing w:after="120"/>
        <w:ind w:firstLine="720"/>
        <w:rPr>
          <w:rFonts w:ascii="Century Schoolbook" w:hAnsi="Century Schoolbook"/>
        </w:rPr>
      </w:pPr>
      <w:r>
        <w:rPr>
          <w:rFonts w:ascii="Century Schoolbook" w:hAnsi="Century Schoolbook"/>
        </w:rPr>
        <w:t>The Workforce Investment Act of 2013, which the Committee on Health, Education, Labor, and Pensions recently reported to the full Senate, contains a provision that purports to restrict subminimum wage employment for young adults with disabilities.  That provision is the proposed Section 511 of the Rehabilitation Act.  Although Section 511 is well intended, it is unlikely to achieve its goals.  If anything, it is likely to set back the progress that the federal government has made in recent years in limiting the use of subminimum wage employment in sheltered workshops.</w:t>
      </w:r>
    </w:p>
    <w:p w:rsidR="00A72642" w:rsidRPr="00A72642" w:rsidRDefault="00CF1A24" w:rsidP="00493605">
      <w:pPr>
        <w:spacing w:after="120"/>
        <w:ind w:firstLine="720"/>
        <w:rPr>
          <w:rFonts w:ascii="Century Schoolbook" w:hAnsi="Century Schoolbook"/>
        </w:rPr>
      </w:pPr>
      <w:r>
        <w:rPr>
          <w:rFonts w:ascii="Century Schoolbook" w:hAnsi="Century Schoolbook"/>
        </w:rPr>
        <w:t>The good intentions behind Section 511 cannot be doubted.  Senator Harkin, who has championed the provision, has argued passionately that “[w]</w:t>
      </w:r>
      <w:proofErr w:type="spellStart"/>
      <w:r w:rsidRPr="00CF1A24">
        <w:rPr>
          <w:rFonts w:ascii="Century Schoolbook" w:hAnsi="Century Schoolbook"/>
        </w:rPr>
        <w:t>ithout</w:t>
      </w:r>
      <w:proofErr w:type="spellEnd"/>
      <w:r w:rsidRPr="00CF1A24">
        <w:rPr>
          <w:rFonts w:ascii="Century Schoolbook" w:hAnsi="Century Schoolbook"/>
        </w:rPr>
        <w:t xml:space="preserve"> section 511 in the bill, I am very concerned that another generation of young people with significant disabilities will end up getting tracked directly from school to sheltered settings</w:t>
      </w:r>
      <w:r>
        <w:rPr>
          <w:rFonts w:ascii="Century Schoolbook" w:hAnsi="Century Schoolbook"/>
        </w:rPr>
        <w:t>.”</w:t>
      </w:r>
      <w:r w:rsidR="00897202">
        <w:rPr>
          <w:rStyle w:val="FootnoteReference"/>
          <w:rFonts w:ascii="Century Schoolbook" w:hAnsi="Century Schoolbook"/>
        </w:rPr>
        <w:footnoteReference w:id="2"/>
      </w:r>
      <w:r w:rsidR="00897202">
        <w:rPr>
          <w:rFonts w:ascii="Century Schoolbook" w:hAnsi="Century Schoolbook"/>
        </w:rPr>
        <w:t xml:space="preserve">  Legislative efforts to restrict the use of subminimum wages and sheltered work are long overdue.</w:t>
      </w:r>
      <w:bookmarkStart w:id="1" w:name="_Ref237858869"/>
      <w:r w:rsidR="00897202">
        <w:rPr>
          <w:rStyle w:val="FootnoteReference"/>
          <w:rFonts w:ascii="Century Schoolbook" w:hAnsi="Century Schoolbook"/>
        </w:rPr>
        <w:footnoteReference w:id="3"/>
      </w:r>
      <w:bookmarkEnd w:id="1"/>
      <w:r w:rsidR="00070AE8">
        <w:rPr>
          <w:rFonts w:ascii="Century Schoolbook" w:hAnsi="Century Schoolbook"/>
        </w:rPr>
        <w:t xml:space="preserve">  </w:t>
      </w:r>
      <w:r w:rsidR="00A72642" w:rsidRPr="00A72642">
        <w:rPr>
          <w:rFonts w:ascii="Century Schoolbook" w:hAnsi="Century Schoolbook"/>
        </w:rPr>
        <w:t>Senator Harkin and the others who drafted this provision are to be commended for attempting to do something about the problem</w:t>
      </w:r>
      <w:r w:rsidR="00070AE8">
        <w:rPr>
          <w:rFonts w:ascii="Century Schoolbook" w:hAnsi="Century Schoolbook"/>
        </w:rPr>
        <w:t xml:space="preserve"> in the context of the reauthorization of the Workforce Investment Act</w:t>
      </w:r>
      <w:r w:rsidR="00A72642" w:rsidRPr="00A72642">
        <w:rPr>
          <w:rFonts w:ascii="Century Schoolbook" w:hAnsi="Century Schoolbook"/>
        </w:rPr>
        <w:t>.</w:t>
      </w:r>
    </w:p>
    <w:p w:rsidR="00A72642" w:rsidRPr="00A72642" w:rsidRDefault="00070AE8" w:rsidP="00493605">
      <w:pPr>
        <w:spacing w:after="120"/>
        <w:ind w:firstLine="720"/>
        <w:rPr>
          <w:rFonts w:ascii="Century Schoolbook" w:hAnsi="Century Schoolbook"/>
        </w:rPr>
      </w:pPr>
      <w:r>
        <w:rPr>
          <w:rFonts w:ascii="Century Schoolbook" w:hAnsi="Century Schoolbook"/>
        </w:rPr>
        <w:t xml:space="preserve">With respect, however, </w:t>
      </w:r>
      <w:r w:rsidR="00B22C00">
        <w:rPr>
          <w:rFonts w:ascii="Century Schoolbook" w:hAnsi="Century Schoolbook"/>
        </w:rPr>
        <w:t>Section 511 is unlikely to have much</w:t>
      </w:r>
      <w:r w:rsidR="00EE2818">
        <w:rPr>
          <w:rFonts w:ascii="Century Schoolbook" w:hAnsi="Century Schoolbook"/>
        </w:rPr>
        <w:t>,</w:t>
      </w:r>
      <w:r w:rsidR="00B22C00">
        <w:rPr>
          <w:rFonts w:ascii="Century Schoolbook" w:hAnsi="Century Schoolbook"/>
        </w:rPr>
        <w:t xml:space="preserve"> if any</w:t>
      </w:r>
      <w:r w:rsidR="00EE2818">
        <w:rPr>
          <w:rFonts w:ascii="Century Schoolbook" w:hAnsi="Century Schoolbook"/>
        </w:rPr>
        <w:t>,</w:t>
      </w:r>
      <w:r w:rsidR="00B22C00">
        <w:rPr>
          <w:rFonts w:ascii="Century Schoolbook" w:hAnsi="Century Schoolbook"/>
        </w:rPr>
        <w:t xml:space="preserve"> effect in stopping young people with disabilities from being tracked into sheltered workshops.  Even worse, the provision is likely to slow the progress </w:t>
      </w:r>
      <w:r w:rsidR="00A72642" w:rsidRPr="00A72642">
        <w:rPr>
          <w:rFonts w:ascii="Century Schoolbook" w:hAnsi="Century Schoolbook"/>
        </w:rPr>
        <w:t>the Departm</w:t>
      </w:r>
      <w:r w:rsidR="00B22C00">
        <w:rPr>
          <w:rFonts w:ascii="Century Schoolbook" w:hAnsi="Century Schoolbook"/>
        </w:rPr>
        <w:t>e</w:t>
      </w:r>
      <w:r w:rsidR="004D0DF3">
        <w:rPr>
          <w:rFonts w:ascii="Century Schoolbook" w:hAnsi="Century Schoolbook"/>
        </w:rPr>
        <w:t>nt of Justice has recently made in this area</w:t>
      </w:r>
      <w:r w:rsidR="00B22C00">
        <w:rPr>
          <w:rFonts w:ascii="Century Schoolbook" w:hAnsi="Century Schoolbook"/>
        </w:rPr>
        <w:t xml:space="preserve"> under the Americans with </w:t>
      </w:r>
      <w:r w:rsidR="004D0DF3">
        <w:rPr>
          <w:rFonts w:ascii="Century Schoolbook" w:hAnsi="Century Schoolbook"/>
        </w:rPr>
        <w:t>Disabilities Act</w:t>
      </w:r>
      <w:r w:rsidR="00A72642" w:rsidRPr="00A72642">
        <w:rPr>
          <w:rFonts w:ascii="Century Schoolbook" w:hAnsi="Century Schoolbook"/>
        </w:rPr>
        <w:t>.</w:t>
      </w:r>
      <w:r w:rsidR="00B22C00">
        <w:rPr>
          <w:rFonts w:ascii="Century Schoolbook" w:hAnsi="Century Schoolbook"/>
        </w:rPr>
        <w:t xml:space="preserve">  </w:t>
      </w:r>
      <w:r w:rsidR="004D0DF3">
        <w:rPr>
          <w:rFonts w:ascii="Century Schoolbook" w:hAnsi="Century Schoolbook"/>
        </w:rPr>
        <w:t>Section 511 is thus a well-intentioned, but ultimately misguided</w:t>
      </w:r>
      <w:r w:rsidR="00432C5D">
        <w:rPr>
          <w:rFonts w:ascii="Century Schoolbook" w:hAnsi="Century Schoolbook"/>
        </w:rPr>
        <w:t>,</w:t>
      </w:r>
      <w:r w:rsidR="004D0DF3">
        <w:rPr>
          <w:rFonts w:ascii="Century Schoolbook" w:hAnsi="Century Schoolbook"/>
        </w:rPr>
        <w:t xml:space="preserve"> effort to respond to the needless shunting of people with disabilities into sheltered work at below-minimum wage.  The remainder of this paper discusses these points.</w:t>
      </w:r>
    </w:p>
    <w:p w:rsidR="00A72642" w:rsidRDefault="00A72642" w:rsidP="00493605">
      <w:pPr>
        <w:spacing w:after="120"/>
        <w:rPr>
          <w:rFonts w:ascii="Century Schoolbook" w:hAnsi="Century Schoolbook"/>
        </w:rPr>
      </w:pPr>
    </w:p>
    <w:p w:rsidR="004D0DF3" w:rsidRPr="004D0DF3" w:rsidRDefault="0014104F" w:rsidP="00493605">
      <w:pPr>
        <w:spacing w:after="120"/>
        <w:rPr>
          <w:rFonts w:ascii="Century Schoolbook" w:hAnsi="Century Schoolbook"/>
          <w:b/>
          <w:i/>
        </w:rPr>
      </w:pPr>
      <w:r>
        <w:rPr>
          <w:rFonts w:ascii="Century Schoolbook" w:hAnsi="Century Schoolbook"/>
          <w:b/>
          <w:i/>
        </w:rPr>
        <w:t>The Subminimum Wages Section 511 Does Not Limit</w:t>
      </w:r>
    </w:p>
    <w:p w:rsidR="00A72642" w:rsidRPr="00A72642" w:rsidRDefault="0014104F" w:rsidP="00493605">
      <w:pPr>
        <w:spacing w:after="120"/>
        <w:ind w:firstLine="720"/>
        <w:rPr>
          <w:rFonts w:ascii="Century Schoolbook" w:hAnsi="Century Schoolbook"/>
        </w:rPr>
      </w:pPr>
      <w:r>
        <w:rPr>
          <w:rFonts w:ascii="Century Schoolbook" w:hAnsi="Century Schoolbook"/>
        </w:rPr>
        <w:t xml:space="preserve">Section 511 is framed as a measure to prevent a new generation of young people from entering sheltered work at below-minimum wages.  As a result, it does absolutely nothing to limit the use of subminimum wages for </w:t>
      </w:r>
      <w:r>
        <w:rPr>
          <w:rFonts w:ascii="Century Schoolbook" w:hAnsi="Century Schoolbook"/>
        </w:rPr>
        <w:lastRenderedPageBreak/>
        <w:t>people who are already receiving them as of the date the provision comes into effect or for people who are over age 24</w:t>
      </w:r>
      <w:r w:rsidR="004B461C">
        <w:rPr>
          <w:rFonts w:ascii="Century Schoolbook" w:hAnsi="Century Schoolbook"/>
        </w:rPr>
        <w:t xml:space="preserve"> when they begin below-minimum-wage work</w:t>
      </w:r>
      <w:r w:rsidR="00A72642" w:rsidRPr="00A72642">
        <w:rPr>
          <w:rFonts w:ascii="Century Schoolbook" w:hAnsi="Century Schoolbook"/>
        </w:rPr>
        <w:t>.</w:t>
      </w:r>
      <w:r>
        <w:rPr>
          <w:rStyle w:val="FootnoteReference"/>
          <w:rFonts w:ascii="Century Schoolbook" w:hAnsi="Century Schoolbook"/>
        </w:rPr>
        <w:footnoteReference w:id="4"/>
      </w:r>
      <w:r w:rsidR="004B461C">
        <w:rPr>
          <w:rFonts w:ascii="Century Schoolbook" w:hAnsi="Century Schoolbook"/>
        </w:rPr>
        <w:t xml:space="preserve"> </w:t>
      </w:r>
      <w:r w:rsidR="004B461C" w:rsidRPr="00A72642">
        <w:rPr>
          <w:rFonts w:ascii="Century Schoolbook" w:hAnsi="Century Schoolbook"/>
        </w:rPr>
        <w:t xml:space="preserve"> </w:t>
      </w:r>
      <w:r w:rsidR="00A72642" w:rsidRPr="00A72642">
        <w:rPr>
          <w:rFonts w:ascii="Century Schoolbook" w:hAnsi="Century Schoolbook"/>
        </w:rPr>
        <w:t>This means that the young people who already have been sent off to sheltered wor</w:t>
      </w:r>
      <w:r w:rsidR="004B461C">
        <w:rPr>
          <w:rFonts w:ascii="Century Schoolbook" w:hAnsi="Century Schoolbook"/>
        </w:rPr>
        <w:t>kshops and subminimum wage jobs—</w:t>
      </w:r>
      <w:r w:rsidR="00A72642" w:rsidRPr="00A72642">
        <w:rPr>
          <w:rFonts w:ascii="Century Schoolbook" w:hAnsi="Century Schoolbook"/>
        </w:rPr>
        <w:t>like the young people in Rhode Island who were the subject of</w:t>
      </w:r>
      <w:r w:rsidR="004B461C">
        <w:rPr>
          <w:rFonts w:ascii="Century Schoolbook" w:hAnsi="Century Schoolbook"/>
        </w:rPr>
        <w:t xml:space="preserve"> the recent Department of Justice agreement with the state</w:t>
      </w:r>
      <w:r w:rsidR="00143EB1">
        <w:rPr>
          <w:rFonts w:ascii="Century Schoolbook" w:hAnsi="Century Schoolbook"/>
        </w:rPr>
        <w:t xml:space="preserve"> and the City of Providence</w:t>
      </w:r>
      <w:bookmarkStart w:id="2" w:name="_Ref237859946"/>
      <w:r w:rsidR="00FF39D5">
        <w:rPr>
          <w:rStyle w:val="FootnoteReference"/>
          <w:rFonts w:ascii="Century Schoolbook" w:hAnsi="Century Schoolbook"/>
        </w:rPr>
        <w:footnoteReference w:id="5"/>
      </w:r>
      <w:bookmarkEnd w:id="2"/>
      <w:r w:rsidR="004B461C">
        <w:rPr>
          <w:rFonts w:ascii="Century Schoolbook" w:hAnsi="Century Schoolbook"/>
        </w:rPr>
        <w:t>—</w:t>
      </w:r>
      <w:r w:rsidR="00A72642" w:rsidRPr="00A72642">
        <w:rPr>
          <w:rFonts w:ascii="Century Schoolbook" w:hAnsi="Century Schoolbook"/>
        </w:rPr>
        <w:t>will get absolutely no benefit from this provision, even if they are still under 24.</w:t>
      </w:r>
    </w:p>
    <w:p w:rsidR="00A72642" w:rsidRDefault="00A72642" w:rsidP="00493605">
      <w:pPr>
        <w:spacing w:after="120"/>
        <w:rPr>
          <w:rFonts w:ascii="Century Schoolbook" w:hAnsi="Century Schoolbook"/>
        </w:rPr>
      </w:pPr>
    </w:p>
    <w:p w:rsidR="00143EB1" w:rsidRPr="00143EB1" w:rsidRDefault="00143EB1" w:rsidP="00493605">
      <w:pPr>
        <w:spacing w:after="120"/>
        <w:rPr>
          <w:rFonts w:ascii="Century Schoolbook" w:hAnsi="Century Schoolbook"/>
          <w:b/>
          <w:i/>
        </w:rPr>
      </w:pPr>
      <w:r>
        <w:rPr>
          <w:rFonts w:ascii="Century Schoolbook" w:hAnsi="Century Schoolbook"/>
          <w:b/>
          <w:i/>
        </w:rPr>
        <w:t>The Weakness of the Limitations Section 511 Does Impose</w:t>
      </w:r>
    </w:p>
    <w:p w:rsidR="00A72642" w:rsidRPr="00A72642" w:rsidRDefault="00340718" w:rsidP="00493605">
      <w:pPr>
        <w:spacing w:after="120"/>
        <w:ind w:firstLine="720"/>
        <w:rPr>
          <w:rFonts w:ascii="Century Schoolbook" w:hAnsi="Century Schoolbook"/>
        </w:rPr>
      </w:pPr>
      <w:r>
        <w:rPr>
          <w:rFonts w:ascii="Century Schoolbook" w:hAnsi="Century Schoolbook"/>
        </w:rPr>
        <w:t>To be sure, there is a benefit to keeping a new generation of people with disabilities from being sent off to dead-end, below-minimum-wage jobs in sheltered workshops.  If Section 511 really would accomplish that goal, it would be a step forward</w:t>
      </w:r>
      <w:r w:rsidR="00C242AB">
        <w:rPr>
          <w:rFonts w:ascii="Century Schoolbook" w:hAnsi="Century Schoolbook"/>
        </w:rPr>
        <w:t>,</w:t>
      </w:r>
      <w:r>
        <w:rPr>
          <w:rFonts w:ascii="Century Schoolbook" w:hAnsi="Century Schoolbook"/>
        </w:rPr>
        <w:t xml:space="preserve"> even though it does nothing for people who are currently being unnecessarily relegated to sheltered work.  But Section 511 will not accomplish that goal—not even close.  Even as to people with disabilities who are 24 and under and </w:t>
      </w:r>
      <w:r w:rsidR="00A72642" w:rsidRPr="00A72642">
        <w:rPr>
          <w:rFonts w:ascii="Century Schoolbook" w:hAnsi="Century Schoolbook"/>
        </w:rPr>
        <w:t xml:space="preserve">who are </w:t>
      </w:r>
      <w:r>
        <w:rPr>
          <w:rFonts w:ascii="Century Schoolbook" w:hAnsi="Century Schoolbook"/>
        </w:rPr>
        <w:t>not yet in subminimum wage jobs—</w:t>
      </w:r>
      <w:r w:rsidR="00A72642" w:rsidRPr="00A72642">
        <w:rPr>
          <w:rFonts w:ascii="Century Schoolbook" w:hAnsi="Century Schoolbook"/>
        </w:rPr>
        <w:t>the</w:t>
      </w:r>
      <w:r>
        <w:rPr>
          <w:rFonts w:ascii="Century Schoolbook" w:hAnsi="Century Schoolbook"/>
        </w:rPr>
        <w:t xml:space="preserve"> target of the provision—</w:t>
      </w:r>
      <w:r w:rsidR="00A72642" w:rsidRPr="00A72642">
        <w:rPr>
          <w:rFonts w:ascii="Century Schoolbook" w:hAnsi="Century Schoolbook"/>
        </w:rPr>
        <w:t>Section</w:t>
      </w:r>
      <w:r>
        <w:rPr>
          <w:rFonts w:ascii="Century Schoolbook" w:hAnsi="Century Schoolbook"/>
        </w:rPr>
        <w:t xml:space="preserve"> 511’</w:t>
      </w:r>
      <w:r w:rsidR="00A72642" w:rsidRPr="00A72642">
        <w:rPr>
          <w:rFonts w:ascii="Century Schoolbook" w:hAnsi="Century Schoolbook"/>
        </w:rPr>
        <w:t>s limitations on the use of the submin</w:t>
      </w:r>
      <w:r>
        <w:rPr>
          <w:rFonts w:ascii="Century Schoolbook" w:hAnsi="Century Schoolbook"/>
        </w:rPr>
        <w:t>imum wage are full of loopholes.  All of our experience with the subminimum wage suggests that vocational rehabilitation systems and sheltered workshops will exploit these loopholes to the greatest extent possible.</w:t>
      </w:r>
    </w:p>
    <w:p w:rsidR="00A72642" w:rsidRDefault="00B60ED0" w:rsidP="00493605">
      <w:pPr>
        <w:spacing w:after="120"/>
        <w:rPr>
          <w:rFonts w:ascii="Century Schoolbook" w:hAnsi="Century Schoolbook"/>
        </w:rPr>
      </w:pPr>
      <w:r>
        <w:rPr>
          <w:rFonts w:ascii="Century Schoolbook" w:hAnsi="Century Schoolbook"/>
        </w:rPr>
        <w:tab/>
        <w:t xml:space="preserve">For individuals who are 24 and under and who are not yet in subminimum wage jobs, Section 511 would allow an employer to pay a below-minimum wage to three classes of individuals: (1) individuals who have applied for vocational rehabilitation services, but </w:t>
      </w:r>
      <w:r w:rsidR="00A72C4E">
        <w:rPr>
          <w:rFonts w:ascii="Century Schoolbook" w:hAnsi="Century Schoolbook"/>
        </w:rPr>
        <w:t>have been found ineligible for them by</w:t>
      </w:r>
      <w:r>
        <w:rPr>
          <w:rFonts w:ascii="Century Schoolbook" w:hAnsi="Century Schoolbook"/>
        </w:rPr>
        <w:t xml:space="preserve"> the state vocational rehabilitation agency</w:t>
      </w:r>
      <w:r>
        <w:rPr>
          <w:rStyle w:val="FootnoteReference"/>
          <w:rFonts w:ascii="Century Schoolbook" w:hAnsi="Century Schoolbook"/>
        </w:rPr>
        <w:footnoteReference w:id="6"/>
      </w:r>
      <w:r>
        <w:rPr>
          <w:rFonts w:ascii="Century Schoolbook" w:hAnsi="Century Schoolbook"/>
        </w:rPr>
        <w:t xml:space="preserve">; (2) individuals who have applied for and been found eligible for vocational rehabilitation services, but who have worked </w:t>
      </w:r>
      <w:r w:rsidR="00C242AB">
        <w:rPr>
          <w:rFonts w:ascii="Century Schoolbook" w:hAnsi="Century Schoolbook"/>
        </w:rPr>
        <w:t>toward</w:t>
      </w:r>
      <w:r>
        <w:rPr>
          <w:rFonts w:ascii="Century Schoolbook" w:hAnsi="Century Schoolbook"/>
        </w:rPr>
        <w:t xml:space="preserve"> an integrated, competitive employment outcome “for a reasonable period of time without success”</w:t>
      </w:r>
      <w:r>
        <w:rPr>
          <w:rStyle w:val="FootnoteReference"/>
          <w:rFonts w:ascii="Century Schoolbook" w:hAnsi="Century Schoolbook"/>
        </w:rPr>
        <w:footnoteReference w:id="7"/>
      </w:r>
      <w:r>
        <w:rPr>
          <w:rFonts w:ascii="Century Schoolbook" w:hAnsi="Century Schoolbook"/>
        </w:rPr>
        <w:t xml:space="preserve">; and (3) individuals who are </w:t>
      </w:r>
      <w:r>
        <w:rPr>
          <w:rFonts w:ascii="Century Schoolbook" w:hAnsi="Century Schoolbook"/>
        </w:rPr>
        <w:lastRenderedPageBreak/>
        <w:t>“receiving work readiness or job training services provided by” a subminimum wage employer.</w:t>
      </w:r>
      <w:r>
        <w:rPr>
          <w:rStyle w:val="FootnoteReference"/>
          <w:rFonts w:ascii="Century Schoolbook" w:hAnsi="Century Schoolbook"/>
        </w:rPr>
        <w:footnoteReference w:id="8"/>
      </w:r>
      <w:r>
        <w:rPr>
          <w:rFonts w:ascii="Century Schoolbook" w:hAnsi="Century Schoolbook"/>
        </w:rPr>
        <w:t xml:space="preserve">  Taken together, these three classes of individuals will likely encompass all or nearly all of the young adults with disabilities who</w:t>
      </w:r>
      <w:r w:rsidR="00C242AB">
        <w:rPr>
          <w:rFonts w:ascii="Century Schoolbook" w:hAnsi="Century Schoolbook"/>
        </w:rPr>
        <w:t>m</w:t>
      </w:r>
      <w:r>
        <w:rPr>
          <w:rFonts w:ascii="Century Schoolbook" w:hAnsi="Century Schoolbook"/>
        </w:rPr>
        <w:t xml:space="preserve"> </w:t>
      </w:r>
      <w:r w:rsidR="00C242AB">
        <w:rPr>
          <w:rFonts w:ascii="Century Schoolbook" w:hAnsi="Century Schoolbook"/>
        </w:rPr>
        <w:t>the section claims to prevent from being placed in subminimum-wage sheltered workshops.</w:t>
      </w:r>
    </w:p>
    <w:p w:rsidR="009310FE" w:rsidRDefault="00D33E77" w:rsidP="00493605">
      <w:pPr>
        <w:spacing w:after="120"/>
        <w:rPr>
          <w:rFonts w:ascii="Century Schoolbook" w:hAnsi="Century Schoolbook"/>
        </w:rPr>
      </w:pPr>
      <w:r>
        <w:rPr>
          <w:rFonts w:ascii="Century Schoolbook" w:hAnsi="Century Schoolbook"/>
        </w:rPr>
        <w:tab/>
      </w:r>
      <w:r>
        <w:rPr>
          <w:rFonts w:ascii="Century Schoolbook" w:hAnsi="Century Schoolbook"/>
          <w:i/>
        </w:rPr>
        <w:t>(1) Those Found Ineligible for Vocational Rehabilitation Services.</w:t>
      </w:r>
      <w:r>
        <w:rPr>
          <w:rFonts w:ascii="Century Schoolbook" w:hAnsi="Century Schoolbook"/>
        </w:rPr>
        <w:t xml:space="preserve">  </w:t>
      </w:r>
      <w:r w:rsidR="00F077F2">
        <w:rPr>
          <w:rFonts w:ascii="Century Schoolbook" w:hAnsi="Century Schoolbook"/>
        </w:rPr>
        <w:t xml:space="preserve">Supporters of Section 511 argue that it creates a </w:t>
      </w:r>
      <w:r w:rsidR="005C1CA9">
        <w:rPr>
          <w:rFonts w:ascii="Century Schoolbook" w:hAnsi="Century Schoolbook"/>
        </w:rPr>
        <w:t>“speed bump”</w:t>
      </w:r>
      <w:r w:rsidR="00F077F2">
        <w:rPr>
          <w:rFonts w:ascii="Century Schoolbook" w:hAnsi="Century Schoolbook"/>
        </w:rPr>
        <w:t xml:space="preserve"> in the way of placing new young adults into subminimum wage jobs by requiring them to apply for vocational rehabilitation services</w:t>
      </w:r>
      <w:r w:rsidR="005C1CA9">
        <w:rPr>
          <w:rFonts w:ascii="Century Schoolbook" w:hAnsi="Century Schoolbook"/>
        </w:rPr>
        <w:t xml:space="preserve"> before entering those jobs.  As discussed below, Section 511 does </w:t>
      </w:r>
      <w:r w:rsidR="005C1CA9">
        <w:rPr>
          <w:rFonts w:ascii="Century Schoolbook" w:hAnsi="Century Schoolbook"/>
          <w:i/>
        </w:rPr>
        <w:t xml:space="preserve">not </w:t>
      </w:r>
      <w:r w:rsidR="005C1CA9">
        <w:rPr>
          <w:rFonts w:ascii="Century Schoolbook" w:hAnsi="Century Schoolbook"/>
        </w:rPr>
        <w:t>invariably require young adults to apply for vocational rehabilitation services before entering subminimum wage jobs.  But even in those circumstances where it does, that requirement will not impose any meaningful obstacle to directing individuals to below-minimum-wage work.</w:t>
      </w:r>
      <w:r w:rsidR="00BC563D">
        <w:rPr>
          <w:rFonts w:ascii="Century Schoolbook" w:hAnsi="Century Schoolbook"/>
        </w:rPr>
        <w:t xml:space="preserve">  </w:t>
      </w:r>
    </w:p>
    <w:p w:rsidR="005C1CA9" w:rsidRDefault="009310FE" w:rsidP="00493605">
      <w:pPr>
        <w:spacing w:after="120"/>
        <w:ind w:firstLine="720"/>
        <w:rPr>
          <w:rFonts w:ascii="Century Schoolbook" w:hAnsi="Century Schoolbook"/>
        </w:rPr>
      </w:pPr>
      <w:r>
        <w:rPr>
          <w:rFonts w:ascii="Century Schoolbook" w:hAnsi="Century Schoolbook"/>
        </w:rPr>
        <w:t>Section 511 specifically allows subminimum wage jobs in cases where the state has found an individual ineligible for vocational rehabilitation services.</w:t>
      </w:r>
      <w:r>
        <w:rPr>
          <w:rStyle w:val="FootnoteReference"/>
          <w:rFonts w:ascii="Century Schoolbook" w:hAnsi="Century Schoolbook"/>
        </w:rPr>
        <w:footnoteReference w:id="9"/>
      </w:r>
      <w:r>
        <w:rPr>
          <w:rFonts w:ascii="Century Schoolbook" w:hAnsi="Century Schoolbook"/>
        </w:rPr>
        <w:t xml:space="preserve">  But </w:t>
      </w:r>
      <w:r w:rsidR="00D41EA5">
        <w:rPr>
          <w:rFonts w:ascii="Century Schoolbook" w:hAnsi="Century Schoolbook"/>
        </w:rPr>
        <w:t>experience shows that state vocational rehabilitation systems often erroneously find individuals with disabilities ineligible for their services—and it is these erroneous determinations that lead to placement in subminimum wage jobs at sheltered workshops.  In Oregon, for example, the Department of Justice found that the state’s vocational rehabilitation agency “often screens out [persons who are capable of benefiting from integrated employment] by classifying them as too severely disabled to benefit from employment services or succeed in a job setting,” and that “sheltered workshops often become the default setting” as a result.</w:t>
      </w:r>
      <w:bookmarkStart w:id="3" w:name="_Ref237859409"/>
      <w:r w:rsidR="00D41EA5">
        <w:rPr>
          <w:rStyle w:val="FootnoteReference"/>
          <w:rFonts w:ascii="Century Schoolbook" w:hAnsi="Century Schoolbook"/>
        </w:rPr>
        <w:footnoteReference w:id="10"/>
      </w:r>
      <w:bookmarkEnd w:id="3"/>
      <w:r w:rsidR="00D41EA5">
        <w:rPr>
          <w:rFonts w:ascii="Century Schoolbook" w:hAnsi="Century Schoolbook"/>
        </w:rPr>
        <w:t xml:space="preserve">  </w:t>
      </w:r>
      <w:r w:rsidR="00B50BD7">
        <w:rPr>
          <w:rFonts w:ascii="Century Schoolbook" w:hAnsi="Century Schoolbook"/>
        </w:rPr>
        <w:t>Nationwide, more than 40 percent of applicants for vocational rehabilitation who had their cases closed in 2011 were determined by their state vocational rehabilitation systems to be ineligible for employment services.</w:t>
      </w:r>
      <w:bookmarkStart w:id="4" w:name="_Ref237857578"/>
      <w:r w:rsidR="00B50BD7">
        <w:rPr>
          <w:rStyle w:val="FootnoteReference"/>
          <w:rFonts w:ascii="Century Schoolbook" w:hAnsi="Century Schoolbook"/>
        </w:rPr>
        <w:footnoteReference w:id="11"/>
      </w:r>
      <w:bookmarkEnd w:id="4"/>
    </w:p>
    <w:p w:rsidR="00B50BD7" w:rsidRDefault="00B50BD7" w:rsidP="00493605">
      <w:pPr>
        <w:spacing w:after="120"/>
        <w:ind w:firstLine="720"/>
        <w:rPr>
          <w:rFonts w:ascii="Century Schoolbook" w:hAnsi="Century Schoolbook"/>
        </w:rPr>
      </w:pPr>
      <w:r>
        <w:rPr>
          <w:rFonts w:ascii="Century Schoolbook" w:hAnsi="Century Schoolbook"/>
        </w:rPr>
        <w:t xml:space="preserve">Section 511 does absolutely nothing to stop this </w:t>
      </w:r>
      <w:r w:rsidR="005456C9">
        <w:rPr>
          <w:rFonts w:ascii="Century Schoolbook" w:hAnsi="Century Schoolbook"/>
        </w:rPr>
        <w:t>transmission belt</w:t>
      </w:r>
      <w:r>
        <w:rPr>
          <w:rFonts w:ascii="Century Schoolbook" w:hAnsi="Century Schoolbook"/>
        </w:rPr>
        <w:t xml:space="preserve"> to sheltered work. </w:t>
      </w:r>
      <w:r w:rsidR="008D5564">
        <w:rPr>
          <w:rFonts w:ascii="Century Schoolbook" w:hAnsi="Century Schoolbook"/>
        </w:rPr>
        <w:t xml:space="preserve"> </w:t>
      </w:r>
      <w:r>
        <w:rPr>
          <w:rFonts w:ascii="Century Schoolbook" w:hAnsi="Century Schoolbook"/>
        </w:rPr>
        <w:t xml:space="preserve">The provision does include language that purports to require informed consent of the individual with a disability </w:t>
      </w:r>
      <w:r w:rsidR="00456DEC">
        <w:rPr>
          <w:rFonts w:ascii="Century Schoolbook" w:hAnsi="Century Schoolbook"/>
        </w:rPr>
        <w:t>or his parent or guardian before placement in a subminimum wage job</w:t>
      </w:r>
      <w:r w:rsidR="00EA4A00">
        <w:rPr>
          <w:rFonts w:ascii="Century Schoolbook" w:hAnsi="Century Schoolbook"/>
        </w:rPr>
        <w:t>.</w:t>
      </w:r>
      <w:r w:rsidR="00456DEC">
        <w:rPr>
          <w:rStyle w:val="FootnoteReference"/>
          <w:rFonts w:ascii="Century Schoolbook" w:hAnsi="Century Schoolbook"/>
        </w:rPr>
        <w:footnoteReference w:id="12"/>
      </w:r>
      <w:r w:rsidR="00EA4A00">
        <w:rPr>
          <w:rFonts w:ascii="Century Schoolbook" w:hAnsi="Century Schoolbook"/>
        </w:rPr>
        <w:t xml:space="preserve">  B</w:t>
      </w:r>
      <w:r w:rsidR="00456DEC">
        <w:rPr>
          <w:rFonts w:ascii="Century Schoolbook" w:hAnsi="Century Schoolbook"/>
        </w:rPr>
        <w:t xml:space="preserve">ut </w:t>
      </w:r>
      <w:r w:rsidR="00EA4A00">
        <w:rPr>
          <w:rFonts w:ascii="Century Schoolbook" w:hAnsi="Century Schoolbook"/>
        </w:rPr>
        <w:t>a similar</w:t>
      </w:r>
      <w:r w:rsidR="00456DEC">
        <w:rPr>
          <w:rFonts w:ascii="Century Schoolbook" w:hAnsi="Century Schoolbook"/>
        </w:rPr>
        <w:t xml:space="preserve"> </w:t>
      </w:r>
      <w:r w:rsidR="00EA4A00">
        <w:rPr>
          <w:rFonts w:ascii="Century Schoolbook" w:hAnsi="Century Schoolbook"/>
        </w:rPr>
        <w:t>informed-consent requirement</w:t>
      </w:r>
      <w:r w:rsidR="00456DEC" w:rsidRPr="00A72642">
        <w:rPr>
          <w:rFonts w:ascii="Century Schoolbook" w:hAnsi="Century Schoolbook"/>
        </w:rPr>
        <w:t xml:space="preserve"> exist</w:t>
      </w:r>
      <w:r w:rsidR="00EA4A00">
        <w:rPr>
          <w:rFonts w:ascii="Century Schoolbook" w:hAnsi="Century Schoolbook"/>
        </w:rPr>
        <w:t>s</w:t>
      </w:r>
      <w:r w:rsidR="00456DEC" w:rsidRPr="00A72642">
        <w:rPr>
          <w:rFonts w:ascii="Century Schoolbook" w:hAnsi="Century Schoolbook"/>
        </w:rPr>
        <w:t xml:space="preserve"> in current law</w:t>
      </w:r>
      <w:r w:rsidR="00EA4A00">
        <w:rPr>
          <w:rFonts w:ascii="Century Schoolbook" w:hAnsi="Century Schoolbook"/>
        </w:rPr>
        <w:t>,</w:t>
      </w:r>
      <w:r w:rsidR="00456DEC">
        <w:rPr>
          <w:rStyle w:val="FootnoteReference"/>
          <w:rFonts w:ascii="Century Schoolbook" w:hAnsi="Century Schoolbook"/>
        </w:rPr>
        <w:footnoteReference w:id="13"/>
      </w:r>
      <w:r w:rsidR="00EA4A00">
        <w:rPr>
          <w:rFonts w:ascii="Century Schoolbook" w:hAnsi="Century Schoolbook"/>
        </w:rPr>
        <w:t xml:space="preserve"> and Section 511 adds nothing of substance to it.  Indeed, it is hard to believe that an informed-consent requirement could do much to stop sheltered-workshop placement in these circumstances.  If the individual (or his parent or guardian) refuses consent </w:t>
      </w:r>
      <w:r w:rsidR="00EA4A00">
        <w:rPr>
          <w:rFonts w:ascii="Century Schoolbook" w:hAnsi="Century Schoolbook"/>
        </w:rPr>
        <w:lastRenderedPageBreak/>
        <w:t xml:space="preserve">to sheltered workshop placement, Section 511 does </w:t>
      </w:r>
      <w:r w:rsidR="00EA4A00">
        <w:rPr>
          <w:rFonts w:ascii="Century Schoolbook" w:hAnsi="Century Schoolbook"/>
          <w:i/>
        </w:rPr>
        <w:t>not</w:t>
      </w:r>
      <w:r w:rsidR="00EA4A00">
        <w:rPr>
          <w:rFonts w:ascii="Century Schoolbook" w:hAnsi="Century Schoolbook"/>
        </w:rPr>
        <w:t xml:space="preserve"> require the state to provide supported employment services in an integrated, competitive setting</w:t>
      </w:r>
      <w:r w:rsidR="00607C12">
        <w:rPr>
          <w:rFonts w:ascii="Century Schoolbook" w:hAnsi="Century Schoolbook"/>
        </w:rPr>
        <w:t xml:space="preserve">.  For an individual whom the state has found ineligible for vocational rehabilitation services to refuse consent to placement in a sheltered workshop is thus to refuse consent to the </w:t>
      </w:r>
      <w:r w:rsidR="00607C12">
        <w:rPr>
          <w:rFonts w:ascii="Century Schoolbook" w:hAnsi="Century Schoolbook"/>
          <w:i/>
        </w:rPr>
        <w:t>only</w:t>
      </w:r>
      <w:r w:rsidR="00607C12">
        <w:rPr>
          <w:rFonts w:ascii="Century Schoolbook" w:hAnsi="Century Schoolbook"/>
        </w:rPr>
        <w:t xml:space="preserve"> employment </w:t>
      </w:r>
      <w:r w:rsidR="008D5564">
        <w:rPr>
          <w:rFonts w:ascii="Century Schoolbook" w:hAnsi="Century Schoolbook"/>
        </w:rPr>
        <w:t>setting</w:t>
      </w:r>
      <w:r w:rsidR="00607C12">
        <w:rPr>
          <w:rFonts w:ascii="Century Schoolbook" w:hAnsi="Century Schoolbook"/>
        </w:rPr>
        <w:t xml:space="preserve"> the state has offered.  </w:t>
      </w:r>
      <w:proofErr w:type="gramStart"/>
      <w:r w:rsidR="00607C12">
        <w:rPr>
          <w:rFonts w:ascii="Century Schoolbook" w:hAnsi="Century Schoolbook"/>
        </w:rPr>
        <w:t>Even individuals who are fully capable of working in integrated jobs will likely consent to sheltered work if th</w:t>
      </w:r>
      <w:r w:rsidR="00241219">
        <w:rPr>
          <w:rFonts w:ascii="Century Schoolbook" w:hAnsi="Century Schoolbook"/>
        </w:rPr>
        <w:t>at is the only option available.</w:t>
      </w:r>
      <w:proofErr w:type="gramEnd"/>
      <w:r w:rsidR="00241219">
        <w:rPr>
          <w:rFonts w:ascii="Century Schoolbook" w:hAnsi="Century Schoolbook"/>
        </w:rPr>
        <w:t xml:space="preserve">  </w:t>
      </w:r>
      <w:r w:rsidR="008D5564">
        <w:rPr>
          <w:rFonts w:ascii="Century Schoolbook" w:hAnsi="Century Schoolbook"/>
        </w:rPr>
        <w:t>By allowing subminimum wages in cases in which the state has found an individual ineligible for vocational rehabilitation services, Section 511 will entrench one of the major pathways by which young adults with disabilities are shunted into below-minimum-wage work.</w:t>
      </w:r>
    </w:p>
    <w:p w:rsidR="00984D56" w:rsidRDefault="008D5564" w:rsidP="00493605">
      <w:pPr>
        <w:spacing w:after="120"/>
        <w:ind w:firstLine="720"/>
        <w:rPr>
          <w:rFonts w:ascii="Century Schoolbook" w:hAnsi="Century Schoolbook"/>
        </w:rPr>
      </w:pPr>
      <w:r>
        <w:rPr>
          <w:rFonts w:ascii="Century Schoolbook" w:hAnsi="Century Schoolbook"/>
          <w:i/>
        </w:rPr>
        <w:t xml:space="preserve">(2) Those Who Have Worked </w:t>
      </w:r>
      <w:r w:rsidR="005B201E">
        <w:rPr>
          <w:rFonts w:ascii="Century Schoolbook" w:hAnsi="Century Schoolbook"/>
          <w:i/>
        </w:rPr>
        <w:t>T</w:t>
      </w:r>
      <w:r w:rsidR="00C242AB">
        <w:rPr>
          <w:rFonts w:ascii="Century Schoolbook" w:hAnsi="Century Schoolbook"/>
          <w:i/>
        </w:rPr>
        <w:t>oward</w:t>
      </w:r>
      <w:r>
        <w:rPr>
          <w:rFonts w:ascii="Century Schoolbook" w:hAnsi="Century Schoolbook"/>
          <w:i/>
        </w:rPr>
        <w:t xml:space="preserve"> an Integrated Employment Outcome “For a Reasonable Period of Time </w:t>
      </w:r>
      <w:r w:rsidR="005B201E">
        <w:rPr>
          <w:rFonts w:ascii="Century Schoolbook" w:hAnsi="Century Schoolbook"/>
          <w:i/>
        </w:rPr>
        <w:t>without</w:t>
      </w:r>
      <w:r>
        <w:rPr>
          <w:rFonts w:ascii="Century Schoolbook" w:hAnsi="Century Schoolbook"/>
          <w:i/>
        </w:rPr>
        <w:t xml:space="preserve"> Success.” </w:t>
      </w:r>
      <w:r w:rsidRPr="005B201E">
        <w:rPr>
          <w:rFonts w:ascii="Century Schoolbook" w:hAnsi="Century Schoolbook"/>
          <w:i/>
        </w:rPr>
        <w:t xml:space="preserve"> </w:t>
      </w:r>
      <w:r w:rsidR="00C54C59" w:rsidRPr="005B201E">
        <w:rPr>
          <w:rFonts w:ascii="Century Schoolbook" w:hAnsi="Century Schoolbook"/>
        </w:rPr>
        <w:t>S</w:t>
      </w:r>
      <w:r w:rsidR="00C54C59">
        <w:rPr>
          <w:rFonts w:ascii="Century Schoolbook" w:hAnsi="Century Schoolbook"/>
        </w:rPr>
        <w:t xml:space="preserve">ection 511 also allows the payment of a subminimum wage in cases in which the state has found an individual eligible for vocational rehabilitation services, but he or she has worked </w:t>
      </w:r>
      <w:r w:rsidR="007D1A01">
        <w:rPr>
          <w:rFonts w:ascii="Century Schoolbook" w:hAnsi="Century Schoolbook"/>
        </w:rPr>
        <w:t>toward</w:t>
      </w:r>
      <w:r w:rsidR="00C54C59">
        <w:rPr>
          <w:rFonts w:ascii="Century Schoolbook" w:hAnsi="Century Schoolbook"/>
        </w:rPr>
        <w:t xml:space="preserve"> an integrated, competitive employment outcome “</w:t>
      </w:r>
      <w:r w:rsidR="00A72642" w:rsidRPr="00A72642">
        <w:rPr>
          <w:rFonts w:ascii="Century Schoolbook" w:hAnsi="Century Schoolbook"/>
        </w:rPr>
        <w:t>for a reasonable period of time without success</w:t>
      </w:r>
      <w:r w:rsidR="00C54C59">
        <w:rPr>
          <w:rFonts w:ascii="Century Schoolbook" w:hAnsi="Century Schoolbook"/>
        </w:rPr>
        <w:t>.”</w:t>
      </w:r>
      <w:r w:rsidR="00C54C59">
        <w:rPr>
          <w:rStyle w:val="FootnoteReference"/>
          <w:rFonts w:ascii="Century Schoolbook" w:hAnsi="Century Schoolbook"/>
        </w:rPr>
        <w:footnoteReference w:id="14"/>
      </w:r>
      <w:r w:rsidR="001A2A6F">
        <w:rPr>
          <w:rFonts w:ascii="Century Schoolbook" w:hAnsi="Century Schoolbook"/>
        </w:rPr>
        <w:t xml:space="preserve">  In such cases, Section 511 would allow the payment of a subminimum wage if “</w:t>
      </w:r>
      <w:r w:rsidR="001A2A6F" w:rsidRPr="001A2A6F">
        <w:rPr>
          <w:rFonts w:ascii="Century Schoolbook" w:hAnsi="Century Schoolbook"/>
        </w:rPr>
        <w:t>the individual’s vocational rehabilitation case is closed after</w:t>
      </w:r>
      <w:r w:rsidR="001A2A6F">
        <w:rPr>
          <w:rFonts w:ascii="Century Schoolbook" w:hAnsi="Century Schoolbook"/>
        </w:rPr>
        <w:t xml:space="preserve"> the individual’</w:t>
      </w:r>
      <w:r w:rsidR="00A72642" w:rsidRPr="00A72642">
        <w:rPr>
          <w:rFonts w:ascii="Century Schoolbook" w:hAnsi="Century Schoolbook"/>
        </w:rPr>
        <w:t>s qualified vocational rehabilitation counselor and the individual both agree that continued efforts by the individual to work toward an employment outcome</w:t>
      </w:r>
      <w:r w:rsidR="001A2A6F">
        <w:rPr>
          <w:rFonts w:ascii="Century Schoolbook" w:hAnsi="Century Schoolbook"/>
        </w:rPr>
        <w:t xml:space="preserve"> [in an integrated job in the competitive workforce]</w:t>
      </w:r>
      <w:r w:rsidR="00A72642" w:rsidRPr="00A72642">
        <w:rPr>
          <w:rFonts w:ascii="Century Schoolbook" w:hAnsi="Century Schoolbook"/>
        </w:rPr>
        <w:t xml:space="preserve"> at the present time will likely not be </w:t>
      </w:r>
      <w:r w:rsidR="001A2A6F">
        <w:rPr>
          <w:rFonts w:ascii="Century Schoolbook" w:hAnsi="Century Schoolbook"/>
        </w:rPr>
        <w:t>successful.”</w:t>
      </w:r>
      <w:r w:rsidR="001A2A6F">
        <w:rPr>
          <w:rStyle w:val="FootnoteReference"/>
          <w:rFonts w:ascii="Century Schoolbook" w:hAnsi="Century Schoolbook"/>
        </w:rPr>
        <w:footnoteReference w:id="15"/>
      </w:r>
      <w:r w:rsidR="00A72642" w:rsidRPr="00A72642">
        <w:rPr>
          <w:rFonts w:ascii="Century Schoolbook" w:hAnsi="Century Schoolbook"/>
        </w:rPr>
        <w:t xml:space="preserve">  </w:t>
      </w:r>
      <w:r w:rsidR="001A2A6F">
        <w:rPr>
          <w:rFonts w:ascii="Century Schoolbook" w:hAnsi="Century Schoolbook"/>
        </w:rPr>
        <w:t xml:space="preserve">But this is hardly an effective obstacle to inappropriate placements in sheltered workshops.  Just as states often erroneously find people with disabilities ineligible for vocational rehabilitation services, they also often close the cases of individuals whom they had originally found eligible based on the erroneous determination that </w:t>
      </w:r>
      <w:r w:rsidR="00984D56">
        <w:rPr>
          <w:rFonts w:ascii="Century Schoolbook" w:hAnsi="Century Schoolbook"/>
        </w:rPr>
        <w:t>those individuals cannot succeed in integrated employment.</w:t>
      </w:r>
      <w:r w:rsidR="00984D56">
        <w:rPr>
          <w:rStyle w:val="FootnoteReference"/>
          <w:rFonts w:ascii="Century Schoolbook" w:hAnsi="Century Schoolbook"/>
        </w:rPr>
        <w:footnoteReference w:id="16"/>
      </w:r>
      <w:r w:rsidR="00984D56">
        <w:rPr>
          <w:rFonts w:ascii="Century Schoolbook" w:hAnsi="Century Schoolbook"/>
        </w:rPr>
        <w:t xml:space="preserve">  </w:t>
      </w:r>
    </w:p>
    <w:p w:rsidR="00A72642" w:rsidRDefault="00984D56" w:rsidP="00493605">
      <w:pPr>
        <w:spacing w:after="120"/>
        <w:ind w:firstLine="720"/>
        <w:rPr>
          <w:rFonts w:ascii="Century Schoolbook" w:hAnsi="Century Schoolbook"/>
        </w:rPr>
      </w:pPr>
      <w:r>
        <w:rPr>
          <w:rFonts w:ascii="Century Schoolbook" w:hAnsi="Century Schoolbook"/>
        </w:rPr>
        <w:t xml:space="preserve">Section 511 does virtually nothing to slow this </w:t>
      </w:r>
      <w:r w:rsidR="005456C9">
        <w:rPr>
          <w:rFonts w:ascii="Century Schoolbook" w:hAnsi="Century Schoolbook"/>
        </w:rPr>
        <w:t xml:space="preserve">second </w:t>
      </w:r>
      <w:r>
        <w:rPr>
          <w:rFonts w:ascii="Century Schoolbook" w:hAnsi="Century Schoolbook"/>
        </w:rPr>
        <w:t xml:space="preserve">common pathway to below-minimum-wage jobs at sheltered workshops.  Section 511 requires that an individual have worked towards integrated employment “for a reasonable time without success,” but it does not define—or even give any guidance for how to interpret—the crucial term “reasonable.”  And the provision allows the use of a subminimum wage based on a </w:t>
      </w:r>
      <w:r w:rsidRPr="00984D56">
        <w:rPr>
          <w:rFonts w:ascii="Century Schoolbook" w:hAnsi="Century Schoolbook"/>
        </w:rPr>
        <w:t>prediction</w:t>
      </w:r>
      <w:r>
        <w:rPr>
          <w:rFonts w:ascii="Century Schoolbook" w:hAnsi="Century Schoolbook"/>
        </w:rPr>
        <w:t xml:space="preserve"> that further efforts at achieving integrated employment “will likely not be successful.”  But the provision leaves the crucial concept of “</w:t>
      </w:r>
      <w:proofErr w:type="spellStart"/>
      <w:proofErr w:type="gramStart"/>
      <w:r>
        <w:rPr>
          <w:rFonts w:ascii="Century Schoolbook" w:hAnsi="Century Schoolbook"/>
        </w:rPr>
        <w:t>likel</w:t>
      </w:r>
      <w:proofErr w:type="spellEnd"/>
      <w:r>
        <w:rPr>
          <w:rFonts w:ascii="Century Schoolbook" w:hAnsi="Century Schoolbook"/>
        </w:rPr>
        <w:t>[</w:t>
      </w:r>
      <w:proofErr w:type="spellStart"/>
      <w:proofErr w:type="gramEnd"/>
      <w:r>
        <w:rPr>
          <w:rFonts w:ascii="Century Schoolbook" w:hAnsi="Century Schoolbook"/>
        </w:rPr>
        <w:t>ihood</w:t>
      </w:r>
      <w:proofErr w:type="spellEnd"/>
      <w:r>
        <w:rPr>
          <w:rFonts w:ascii="Century Schoolbook" w:hAnsi="Century Schoolbook"/>
        </w:rPr>
        <w:t>]” undefined and effectively unenforceable</w:t>
      </w:r>
      <w:r w:rsidR="005456C9">
        <w:rPr>
          <w:rFonts w:ascii="Century Schoolbook" w:hAnsi="Century Schoolbook"/>
        </w:rPr>
        <w:t>.</w:t>
      </w:r>
    </w:p>
    <w:p w:rsidR="005456C9" w:rsidRDefault="005456C9" w:rsidP="00493605">
      <w:pPr>
        <w:spacing w:after="120"/>
        <w:ind w:firstLine="720"/>
        <w:rPr>
          <w:rFonts w:ascii="Century Schoolbook" w:hAnsi="Century Schoolbook"/>
        </w:rPr>
      </w:pPr>
      <w:r>
        <w:rPr>
          <w:rFonts w:ascii="Century Schoolbook" w:hAnsi="Century Schoolbook"/>
          <w:i/>
        </w:rPr>
        <w:lastRenderedPageBreak/>
        <w:t xml:space="preserve">(3) Individuals Receiving Job Training Services.  </w:t>
      </w:r>
      <w:r w:rsidR="004845E0">
        <w:rPr>
          <w:rFonts w:ascii="Century Schoolbook" w:hAnsi="Century Schoolbook"/>
        </w:rPr>
        <w:t>Section 511 also allows the payment of a subminimum wage to individuals who are “</w:t>
      </w:r>
      <w:r w:rsidR="004845E0" w:rsidRPr="004845E0">
        <w:rPr>
          <w:rFonts w:ascii="Century Schoolbook" w:hAnsi="Century Schoolbook"/>
        </w:rPr>
        <w:t>receiving work readiness or job training services provided by a certificate holder, as part of the individual’s preparation for competitive integrated employment</w:t>
      </w:r>
      <w:r w:rsidR="004845E0">
        <w:rPr>
          <w:rFonts w:ascii="Century Schoolbook" w:hAnsi="Century Schoolbook"/>
        </w:rPr>
        <w:t>.”</w:t>
      </w:r>
      <w:r w:rsidR="004845E0">
        <w:rPr>
          <w:rStyle w:val="FootnoteReference"/>
          <w:rFonts w:ascii="Century Schoolbook" w:hAnsi="Century Schoolbook"/>
        </w:rPr>
        <w:footnoteReference w:id="17"/>
      </w:r>
      <w:r w:rsidR="004845E0">
        <w:rPr>
          <w:rFonts w:ascii="Century Schoolbook" w:hAnsi="Century Schoolbook"/>
        </w:rPr>
        <w:t xml:space="preserve">  Pursuant to this training-services </w:t>
      </w:r>
      <w:r w:rsidR="008265DC">
        <w:rPr>
          <w:rFonts w:ascii="Century Schoolbook" w:hAnsi="Century Schoolbook"/>
        </w:rPr>
        <w:t>subsection</w:t>
      </w:r>
      <w:r w:rsidR="004845E0">
        <w:rPr>
          <w:rFonts w:ascii="Century Schoolbook" w:hAnsi="Century Schoolbook"/>
        </w:rPr>
        <w:t>, an individual can receive a subminimum wage for up to six months without any further limitation,</w:t>
      </w:r>
      <w:r w:rsidR="004845E0">
        <w:rPr>
          <w:rStyle w:val="FootnoteReference"/>
          <w:rFonts w:ascii="Century Schoolbook" w:hAnsi="Century Schoolbook"/>
        </w:rPr>
        <w:footnoteReference w:id="18"/>
      </w:r>
      <w:r w:rsidR="004845E0">
        <w:rPr>
          <w:rFonts w:ascii="Century Schoolbook" w:hAnsi="Century Schoolbook"/>
        </w:rPr>
        <w:t xml:space="preserve"> or for a longer period if “the individual </w:t>
      </w:r>
      <w:r w:rsidR="004845E0" w:rsidRPr="004845E0">
        <w:rPr>
          <w:rFonts w:ascii="Century Schoolbook" w:hAnsi="Century Schoolbook"/>
        </w:rPr>
        <w:t>wishes to continue to receive such services</w:t>
      </w:r>
      <w:r w:rsidR="004845E0">
        <w:rPr>
          <w:rFonts w:ascii="Century Schoolbook" w:hAnsi="Century Schoolbook"/>
        </w:rPr>
        <w:t>” and is reassessed every six months “</w:t>
      </w:r>
      <w:r w:rsidR="004845E0" w:rsidRPr="004845E0">
        <w:rPr>
          <w:rFonts w:ascii="Century Schoolbook" w:hAnsi="Century Schoolbook"/>
        </w:rPr>
        <w:t>to determine the individual’s ability to transition to competitive integrated employment</w:t>
      </w:r>
      <w:r w:rsidR="004845E0">
        <w:rPr>
          <w:rFonts w:ascii="Century Schoolbook" w:hAnsi="Century Schoolbook"/>
        </w:rPr>
        <w:t>.”</w:t>
      </w:r>
      <w:r w:rsidR="004845E0">
        <w:rPr>
          <w:rStyle w:val="FootnoteReference"/>
          <w:rFonts w:ascii="Century Schoolbook" w:hAnsi="Century Schoolbook"/>
        </w:rPr>
        <w:footnoteReference w:id="19"/>
      </w:r>
    </w:p>
    <w:p w:rsidR="007A77B7" w:rsidRDefault="00DF1C12" w:rsidP="00493605">
      <w:pPr>
        <w:spacing w:after="120"/>
        <w:ind w:firstLine="720"/>
        <w:rPr>
          <w:rFonts w:ascii="Century Schoolbook" w:hAnsi="Century Schoolbook"/>
        </w:rPr>
      </w:pPr>
      <w:r>
        <w:rPr>
          <w:rFonts w:ascii="Century Schoolbook" w:hAnsi="Century Schoolbook"/>
        </w:rPr>
        <w:t xml:space="preserve">To the extent that the remainder of Section 511 imposes </w:t>
      </w:r>
      <w:r>
        <w:rPr>
          <w:rFonts w:ascii="Century Schoolbook" w:hAnsi="Century Schoolbook"/>
          <w:i/>
        </w:rPr>
        <w:t>any</w:t>
      </w:r>
      <w:r>
        <w:rPr>
          <w:rFonts w:ascii="Century Schoolbook" w:hAnsi="Century Schoolbook"/>
        </w:rPr>
        <w:t xml:space="preserve"> meaningful restrictions on the use of subminimum wage jobs—which is doubtful—the training-services </w:t>
      </w:r>
      <w:r w:rsidR="008265DC">
        <w:rPr>
          <w:rFonts w:ascii="Century Schoolbook" w:hAnsi="Century Schoolbook"/>
        </w:rPr>
        <w:t>subsection</w:t>
      </w:r>
      <w:r>
        <w:rPr>
          <w:rFonts w:ascii="Century Schoolbook" w:hAnsi="Century Schoolbook"/>
        </w:rPr>
        <w:t xml:space="preserve"> provides a loophole that allows those restrictions to be entirely evaded. </w:t>
      </w:r>
      <w:r w:rsidR="007A77B7">
        <w:rPr>
          <w:rFonts w:ascii="Century Schoolbook" w:hAnsi="Century Schoolbook"/>
        </w:rPr>
        <w:t xml:space="preserve"> The subminimum wage for people with disabilities has often been justified as providing opportunities for training.  But experience shows that below-minimum-wage jobs provide little meaningful training; they instead largely prepare people with disabilities for a life of segregated, dead-end work.</w:t>
      </w:r>
    </w:p>
    <w:p w:rsidR="00E82714" w:rsidRDefault="00DE68FD" w:rsidP="00493605">
      <w:pPr>
        <w:spacing w:after="120"/>
        <w:ind w:firstLine="720"/>
        <w:rPr>
          <w:rFonts w:ascii="Century Schoolbook" w:hAnsi="Century Schoolbook"/>
        </w:rPr>
      </w:pPr>
      <w:r>
        <w:rPr>
          <w:rFonts w:ascii="Century Schoolbook" w:hAnsi="Century Schoolbook"/>
        </w:rPr>
        <w:t>Up to 95 percent of workers with disabilities receive less than the minimum wage work in sheltered workshops.</w:t>
      </w:r>
      <w:r>
        <w:rPr>
          <w:rStyle w:val="FootnoteReference"/>
          <w:rFonts w:ascii="Century Schoolbook" w:hAnsi="Century Schoolbook"/>
        </w:rPr>
        <w:footnoteReference w:id="20"/>
      </w:r>
      <w:r>
        <w:rPr>
          <w:rFonts w:ascii="Century Schoolbook" w:hAnsi="Century Schoolbook"/>
        </w:rPr>
        <w:t xml:space="preserve">  And “[t]he ineffectiveness of sheltered workshops for helping individuals progress to competitive employment is well established.”</w:t>
      </w:r>
      <w:r>
        <w:rPr>
          <w:rStyle w:val="FootnoteReference"/>
          <w:rFonts w:ascii="Century Schoolbook" w:hAnsi="Century Schoolbook"/>
        </w:rPr>
        <w:footnoteReference w:id="21"/>
      </w:r>
      <w:r>
        <w:rPr>
          <w:rFonts w:ascii="Century Schoolbook" w:hAnsi="Century Schoolbook"/>
        </w:rPr>
        <w:t xml:space="preserve">  Rather, “[s]</w:t>
      </w:r>
      <w:proofErr w:type="spellStart"/>
      <w:r>
        <w:rPr>
          <w:rFonts w:ascii="Century Schoolbook" w:hAnsi="Century Schoolbook"/>
        </w:rPr>
        <w:t>heltered</w:t>
      </w:r>
      <w:proofErr w:type="spellEnd"/>
      <w:r>
        <w:rPr>
          <w:rFonts w:ascii="Century Schoolbook" w:hAnsi="Century Schoolbook"/>
        </w:rPr>
        <w:t xml:space="preserve"> employment has been shown to be a much better medium for preparing people to continue sheltered work than to begin competitive work.”</w:t>
      </w:r>
      <w:bookmarkStart w:id="5" w:name="_Ref176340810"/>
      <w:r>
        <w:rPr>
          <w:rStyle w:val="FootnoteReference"/>
          <w:rFonts w:ascii="Century Schoolbook" w:hAnsi="Century Schoolbook"/>
        </w:rPr>
        <w:footnoteReference w:id="22"/>
      </w:r>
      <w:bookmarkEnd w:id="5"/>
      <w:r w:rsidR="00E82714">
        <w:rPr>
          <w:rFonts w:ascii="Century Schoolbook" w:hAnsi="Century Schoolbook"/>
        </w:rPr>
        <w:t xml:space="preserve">  In its recent Rhode Island investigation, for example, the Department of Justice found that requiring high school</w:t>
      </w:r>
      <w:r w:rsidR="005B201E">
        <w:rPr>
          <w:rFonts w:ascii="Century Schoolbook" w:hAnsi="Century Schoolbook"/>
        </w:rPr>
        <w:t xml:space="preserve"> students</w:t>
      </w:r>
      <w:r w:rsidR="00E82714">
        <w:rPr>
          <w:rFonts w:ascii="Century Schoolbook" w:hAnsi="Century Schoolbook"/>
        </w:rPr>
        <w:t xml:space="preserve"> to receive training in </w:t>
      </w:r>
      <w:r w:rsidR="005C5345">
        <w:rPr>
          <w:rFonts w:ascii="Century Schoolbook" w:hAnsi="Century Schoolbook"/>
        </w:rPr>
        <w:t xml:space="preserve">a </w:t>
      </w:r>
      <w:r w:rsidR="00E82714">
        <w:rPr>
          <w:rFonts w:ascii="Century Schoolbook" w:hAnsi="Century Schoolbook"/>
        </w:rPr>
        <w:t>s</w:t>
      </w:r>
      <w:r w:rsidR="005C5345">
        <w:rPr>
          <w:rFonts w:ascii="Century Schoolbook" w:hAnsi="Century Schoolbook"/>
        </w:rPr>
        <w:t>heltered workshop</w:t>
      </w:r>
      <w:r w:rsidR="00E82714">
        <w:rPr>
          <w:rFonts w:ascii="Century Schoolbook" w:hAnsi="Century Schoolbook"/>
        </w:rPr>
        <w:t xml:space="preserve"> </w:t>
      </w:r>
      <w:r w:rsidR="005C5345">
        <w:rPr>
          <w:rFonts w:ascii="Century Schoolbook" w:hAnsi="Century Schoolbook"/>
        </w:rPr>
        <w:t>placed them at “serious risk of unnecessary segregation” in sheltered workshops later in life, because students in the sheltered workshop “generally only learn work tasks that will prepare them for postsecondary placements in segregated work settings.”</w:t>
      </w:r>
      <w:r w:rsidR="005C5345">
        <w:rPr>
          <w:rStyle w:val="FootnoteReference"/>
          <w:rFonts w:ascii="Century Schoolbook" w:hAnsi="Century Schoolbook"/>
        </w:rPr>
        <w:footnoteReference w:id="23"/>
      </w:r>
    </w:p>
    <w:p w:rsidR="00A72642" w:rsidRDefault="005C5345" w:rsidP="00493605">
      <w:pPr>
        <w:spacing w:after="120"/>
        <w:ind w:firstLine="720"/>
        <w:rPr>
          <w:rFonts w:ascii="Century Schoolbook" w:hAnsi="Century Schoolbook"/>
        </w:rPr>
      </w:pPr>
      <w:r>
        <w:rPr>
          <w:rFonts w:ascii="Century Schoolbook" w:hAnsi="Century Schoolbook"/>
        </w:rPr>
        <w:t xml:space="preserve">Section 511 does absolutely nothing to stop this common pathway to lifetime workplace segregation for people with disabilities.  To the contrary, the proposed provision specifically endorses the use of subminimum wage jobs as a means of providing training—and it does so regardless of the age of the individual with a disability, regardless of whether he or she currently receives a subminimum wage, </w:t>
      </w:r>
      <w:r w:rsidR="008265DC">
        <w:rPr>
          <w:rFonts w:ascii="Century Schoolbook" w:hAnsi="Century Schoolbook"/>
        </w:rPr>
        <w:t xml:space="preserve">and </w:t>
      </w:r>
      <w:r>
        <w:rPr>
          <w:rFonts w:ascii="Century Schoolbook" w:hAnsi="Century Schoolbook"/>
        </w:rPr>
        <w:t xml:space="preserve">regardless of whether he or she has </w:t>
      </w:r>
      <w:r>
        <w:rPr>
          <w:rFonts w:ascii="Century Schoolbook" w:hAnsi="Century Schoolbook"/>
        </w:rPr>
        <w:lastRenderedPageBreak/>
        <w:t>applied for vocational rehabilitation services.</w:t>
      </w:r>
      <w:r>
        <w:rPr>
          <w:rStyle w:val="FootnoteReference"/>
          <w:rFonts w:ascii="Century Schoolbook" w:hAnsi="Century Schoolbook"/>
        </w:rPr>
        <w:footnoteReference w:id="24"/>
      </w:r>
      <w:r>
        <w:rPr>
          <w:rFonts w:ascii="Century Schoolbook" w:hAnsi="Century Schoolbook"/>
        </w:rPr>
        <w:t xml:space="preserve">  </w:t>
      </w:r>
      <w:r w:rsidR="008265DC">
        <w:rPr>
          <w:rFonts w:ascii="Century Schoolbook" w:hAnsi="Century Schoolbook"/>
        </w:rPr>
        <w:t>In other words, all of the limitations imposed by the other subsections of Section 511—to the extent that they are at all meaningful—do not exist under the subsection that allows a subminimum wage for those who receive work readiness or job training services.  The only limitation imposed by this subsection is the requirement of an assessment every six months of the individual’s ability to move to</w:t>
      </w:r>
      <w:r w:rsidR="00C02F16">
        <w:rPr>
          <w:rFonts w:ascii="Century Schoolbook" w:hAnsi="Century Schoolbook"/>
        </w:rPr>
        <w:t>ward</w:t>
      </w:r>
      <w:r w:rsidR="008265DC">
        <w:rPr>
          <w:rFonts w:ascii="Century Schoolbook" w:hAnsi="Century Schoolbook"/>
        </w:rPr>
        <w:t xml:space="preserve"> competitive employment.  But precisely because sheltered workshops provide </w:t>
      </w:r>
      <w:r w:rsidR="00783C15">
        <w:rPr>
          <w:rFonts w:ascii="Century Schoolbook" w:hAnsi="Century Schoolbook"/>
        </w:rPr>
        <w:t>so</w:t>
      </w:r>
      <w:r w:rsidR="008265DC">
        <w:rPr>
          <w:rFonts w:ascii="Century Schoolbook" w:hAnsi="Century Schoolbook"/>
        </w:rPr>
        <w:t xml:space="preserve"> little training that aids success in competitive employment, </w:t>
      </w:r>
      <w:r w:rsidR="00C02F16">
        <w:rPr>
          <w:rFonts w:ascii="Century Schoolbook" w:hAnsi="Century Schoolbook"/>
        </w:rPr>
        <w:t>it</w:t>
      </w:r>
      <w:r w:rsidR="008265DC">
        <w:rPr>
          <w:rFonts w:ascii="Century Schoolbook" w:hAnsi="Century Schoolbook"/>
        </w:rPr>
        <w:t xml:space="preserve"> is unlikely to be much of a limitation at all.</w:t>
      </w:r>
    </w:p>
    <w:p w:rsidR="00267100" w:rsidRDefault="00267100" w:rsidP="00493605">
      <w:pPr>
        <w:spacing w:after="120"/>
        <w:rPr>
          <w:rFonts w:ascii="Century Schoolbook" w:hAnsi="Century Schoolbook"/>
        </w:rPr>
      </w:pPr>
    </w:p>
    <w:p w:rsidR="00267100" w:rsidRPr="00267100" w:rsidRDefault="00267100" w:rsidP="00493605">
      <w:pPr>
        <w:spacing w:after="120"/>
        <w:rPr>
          <w:rFonts w:ascii="Century Schoolbook" w:hAnsi="Century Schoolbook"/>
          <w:b/>
          <w:i/>
        </w:rPr>
      </w:pPr>
      <w:r>
        <w:rPr>
          <w:rFonts w:ascii="Century Schoolbook" w:hAnsi="Century Schoolbook"/>
          <w:b/>
          <w:i/>
        </w:rPr>
        <w:t>Section 511 Undermines Recent Department of Justice Efforts</w:t>
      </w:r>
    </w:p>
    <w:p w:rsidR="000F4717" w:rsidRDefault="00267100" w:rsidP="00493605">
      <w:pPr>
        <w:spacing w:after="120"/>
        <w:rPr>
          <w:rFonts w:ascii="Century Schoolbook" w:hAnsi="Century Schoolbook"/>
        </w:rPr>
      </w:pPr>
      <w:r>
        <w:rPr>
          <w:rFonts w:ascii="Century Schoolbook" w:hAnsi="Century Schoolbook"/>
        </w:rPr>
        <w:tab/>
      </w:r>
      <w:r w:rsidRPr="00A72642">
        <w:rPr>
          <w:rFonts w:ascii="Century Schoolbook" w:hAnsi="Century Schoolbook"/>
        </w:rPr>
        <w:t xml:space="preserve">The </w:t>
      </w:r>
      <w:r>
        <w:rPr>
          <w:rFonts w:ascii="Century Schoolbook" w:hAnsi="Century Schoolbook"/>
        </w:rPr>
        <w:t>Department of Justice</w:t>
      </w:r>
      <w:r w:rsidRPr="00A72642">
        <w:rPr>
          <w:rFonts w:ascii="Century Schoolbook" w:hAnsi="Century Schoolbook"/>
        </w:rPr>
        <w:t xml:space="preserve"> has repeatedly made clear that sheltered work at subminimum wages presumptively violates the </w:t>
      </w:r>
      <w:r>
        <w:rPr>
          <w:rFonts w:ascii="Century Schoolbook" w:hAnsi="Century Schoolbook"/>
        </w:rPr>
        <w:t>integration mandate of the Americans with Disabilities Act</w:t>
      </w:r>
      <w:r w:rsidRPr="00A72642">
        <w:rPr>
          <w:rFonts w:ascii="Century Schoolbook" w:hAnsi="Century Schoolbook"/>
        </w:rPr>
        <w:t xml:space="preserve"> as interpreted in </w:t>
      </w:r>
      <w:r>
        <w:rPr>
          <w:rFonts w:ascii="Century Schoolbook" w:hAnsi="Century Schoolbook"/>
        </w:rPr>
        <w:t xml:space="preserve">the Supreme Court’s landmark case of </w:t>
      </w:r>
      <w:r w:rsidRPr="00267100">
        <w:rPr>
          <w:rFonts w:ascii="Century Schoolbook" w:hAnsi="Century Schoolbook"/>
          <w:i/>
        </w:rPr>
        <w:t>Olmstead v. L.C.</w:t>
      </w:r>
      <w:r w:rsidRPr="00267100">
        <w:rPr>
          <w:rStyle w:val="FootnoteReference"/>
          <w:rFonts w:ascii="Century Schoolbook" w:hAnsi="Century Schoolbook"/>
        </w:rPr>
        <w:footnoteReference w:id="25"/>
      </w:r>
      <w:r w:rsidRPr="00A72642">
        <w:rPr>
          <w:rFonts w:ascii="Century Schoolbook" w:hAnsi="Century Schoolbook"/>
        </w:rPr>
        <w:t xml:space="preserve">  </w:t>
      </w:r>
      <w:r>
        <w:rPr>
          <w:rFonts w:ascii="Century Schoolbook" w:hAnsi="Century Schoolbook"/>
        </w:rPr>
        <w:t xml:space="preserve">The Department’s technical assistance guide on </w:t>
      </w:r>
      <w:r>
        <w:rPr>
          <w:rFonts w:ascii="Century Schoolbook" w:hAnsi="Century Schoolbook"/>
          <w:i/>
        </w:rPr>
        <w:t xml:space="preserve">Olmstead </w:t>
      </w:r>
      <w:r>
        <w:rPr>
          <w:rFonts w:ascii="Century Schoolbook" w:hAnsi="Century Schoolbook"/>
        </w:rPr>
        <w:t>specifically lists “</w:t>
      </w:r>
      <w:r w:rsidRPr="00267100">
        <w:rPr>
          <w:rFonts w:ascii="Century Schoolbook" w:hAnsi="Century Schoolbook"/>
        </w:rPr>
        <w:t>individuals spending their days in sheltered workshops</w:t>
      </w:r>
      <w:r>
        <w:rPr>
          <w:rFonts w:ascii="Century Schoolbook" w:hAnsi="Century Schoolbook"/>
        </w:rPr>
        <w:t>” as an example of the unnecessary segregation of people with disabilities.</w:t>
      </w:r>
      <w:r>
        <w:rPr>
          <w:rStyle w:val="FootnoteReference"/>
          <w:rFonts w:ascii="Century Schoolbook" w:hAnsi="Century Schoolbook"/>
        </w:rPr>
        <w:footnoteReference w:id="26"/>
      </w:r>
      <w:r>
        <w:rPr>
          <w:rFonts w:ascii="Century Schoolbook" w:hAnsi="Century Schoolbook"/>
        </w:rPr>
        <w:t xml:space="preserve">  </w:t>
      </w:r>
      <w:r w:rsidR="007B46DB">
        <w:rPr>
          <w:rFonts w:ascii="Century Schoolbook" w:hAnsi="Century Schoolbook"/>
        </w:rPr>
        <w:t>The Department recently sued the State of Oregon to challenge the state’s provision of employment services to people with disabilities through sheltered workshops,</w:t>
      </w:r>
      <w:r w:rsidR="007B46DB">
        <w:rPr>
          <w:rStyle w:val="FootnoteReference"/>
          <w:rFonts w:ascii="Century Schoolbook" w:hAnsi="Century Schoolbook"/>
        </w:rPr>
        <w:footnoteReference w:id="27"/>
      </w:r>
      <w:r w:rsidR="007B46DB">
        <w:rPr>
          <w:rFonts w:ascii="Century Schoolbook" w:hAnsi="Century Schoolbook"/>
        </w:rPr>
        <w:t xml:space="preserve"> and it entered into an interim settlement with the State o</w:t>
      </w:r>
      <w:r w:rsidR="002746F2">
        <w:rPr>
          <w:rFonts w:ascii="Century Schoolbook" w:hAnsi="Century Schoolbook"/>
        </w:rPr>
        <w:t>f</w:t>
      </w:r>
      <w:r w:rsidR="007B46DB">
        <w:rPr>
          <w:rFonts w:ascii="Century Schoolbook" w:hAnsi="Century Schoolbook"/>
        </w:rPr>
        <w:t xml:space="preserve"> Rhode Island and the City of Providence regarding the same issue.</w:t>
      </w:r>
      <w:r w:rsidR="007B46DB">
        <w:rPr>
          <w:rStyle w:val="FootnoteReference"/>
          <w:rFonts w:ascii="Century Schoolbook" w:hAnsi="Century Schoolbook"/>
        </w:rPr>
        <w:footnoteReference w:id="28"/>
      </w:r>
      <w:r w:rsidR="007B46DB">
        <w:rPr>
          <w:rFonts w:ascii="Century Schoolbook" w:hAnsi="Century Schoolbook"/>
        </w:rPr>
        <w:t xml:space="preserve"> </w:t>
      </w:r>
      <w:r w:rsidR="000F4717">
        <w:rPr>
          <w:rFonts w:ascii="Century Schoolbook" w:hAnsi="Century Schoolbook"/>
        </w:rPr>
        <w:t xml:space="preserve"> </w:t>
      </w:r>
    </w:p>
    <w:p w:rsidR="00A72642" w:rsidRDefault="00267100" w:rsidP="00493605">
      <w:pPr>
        <w:spacing w:after="120"/>
        <w:ind w:firstLine="720"/>
        <w:rPr>
          <w:rFonts w:ascii="Century Schoolbook" w:hAnsi="Century Schoolbook"/>
        </w:rPr>
      </w:pPr>
      <w:r w:rsidRPr="00A72642">
        <w:rPr>
          <w:rFonts w:ascii="Century Schoolbook" w:hAnsi="Century Schoolbook"/>
        </w:rPr>
        <w:t>The Rhode Island settlement in particular rests on the proposition that every young person with a disability should receive training and supports in an integrated work setting.</w:t>
      </w:r>
      <w:r w:rsidR="000F4717">
        <w:rPr>
          <w:rStyle w:val="FootnoteReference"/>
          <w:rFonts w:ascii="Century Schoolbook" w:hAnsi="Century Schoolbook"/>
        </w:rPr>
        <w:footnoteReference w:id="29"/>
      </w:r>
      <w:r w:rsidRPr="00A72642">
        <w:rPr>
          <w:rFonts w:ascii="Century Schoolbook" w:hAnsi="Century Schoolbook"/>
        </w:rPr>
        <w:t xml:space="preserve">  </w:t>
      </w:r>
      <w:r w:rsidR="000F4717">
        <w:rPr>
          <w:rFonts w:ascii="Century Schoolbook" w:hAnsi="Century Schoolbook"/>
        </w:rPr>
        <w:t xml:space="preserve">Section 511, unfortunately, would mark a step backward from that proposition.  Section 511 would affirmatively embrace subminimum wage employment (which typically takes place in a sheltered workshop) for people under 24—at least </w:t>
      </w:r>
      <w:r w:rsidR="009B2054">
        <w:rPr>
          <w:rFonts w:ascii="Century Schoolbook" w:hAnsi="Century Schoolbook"/>
        </w:rPr>
        <w:t>under</w:t>
      </w:r>
      <w:r w:rsidR="000F4717">
        <w:rPr>
          <w:rFonts w:ascii="Century Schoolbook" w:hAnsi="Century Schoolbook"/>
        </w:rPr>
        <w:t xml:space="preserve"> the very broad circumstances in which the state vocational rehabilitation system says </w:t>
      </w:r>
      <w:r w:rsidR="002746F2">
        <w:rPr>
          <w:rFonts w:ascii="Century Schoolbook" w:hAnsi="Century Schoolbook"/>
        </w:rPr>
        <w:t xml:space="preserve">that </w:t>
      </w:r>
      <w:r w:rsidR="000F4717">
        <w:rPr>
          <w:rFonts w:ascii="Century Schoolbook" w:hAnsi="Century Schoolbook"/>
        </w:rPr>
        <w:t>no integrated employment outcome is possible or the sheltered workshop purports to be providing training services.  That position stands in sharp contrast to the recent positions of the Department of Justice</w:t>
      </w:r>
      <w:r w:rsidRPr="00A72642">
        <w:rPr>
          <w:rFonts w:ascii="Century Schoolbook" w:hAnsi="Century Schoolbook"/>
        </w:rPr>
        <w:t>.</w:t>
      </w:r>
    </w:p>
    <w:p w:rsidR="000F4717" w:rsidRPr="000F4717" w:rsidRDefault="000F4717" w:rsidP="00493605">
      <w:pPr>
        <w:spacing w:after="120"/>
        <w:rPr>
          <w:rFonts w:ascii="Century Schoolbook" w:hAnsi="Century Schoolbook"/>
          <w:b/>
          <w:i/>
        </w:rPr>
      </w:pPr>
      <w:r>
        <w:rPr>
          <w:rFonts w:ascii="Century Schoolbook" w:hAnsi="Century Schoolbook"/>
          <w:b/>
          <w:i/>
        </w:rPr>
        <w:lastRenderedPageBreak/>
        <w:t>Conclusion</w:t>
      </w:r>
    </w:p>
    <w:p w:rsidR="000F4717" w:rsidRDefault="000F4717" w:rsidP="00493605">
      <w:pPr>
        <w:spacing w:after="120"/>
        <w:ind w:firstLine="720"/>
        <w:rPr>
          <w:rFonts w:ascii="Century Schoolbook" w:hAnsi="Century Schoolbook"/>
        </w:rPr>
      </w:pPr>
      <w:r>
        <w:rPr>
          <w:rFonts w:ascii="Century Schoolbook" w:hAnsi="Century Schoolbook"/>
        </w:rPr>
        <w:t>Section 511 reflects a good-faith effort at reaching a compromise that will limit subminimum wage employment.  But despite the good intentions of its author, Section 511 is exceedingly unlikely to achieve that result.</w:t>
      </w:r>
    </w:p>
    <w:p w:rsidR="00A72642" w:rsidRPr="00A72642" w:rsidRDefault="00A72642" w:rsidP="00493605">
      <w:pPr>
        <w:spacing w:after="120"/>
        <w:ind w:firstLine="720"/>
        <w:rPr>
          <w:rFonts w:ascii="Century Schoolbook" w:hAnsi="Century Schoolbook"/>
        </w:rPr>
      </w:pPr>
      <w:r w:rsidRPr="00A72642">
        <w:rPr>
          <w:rFonts w:ascii="Century Schoolbook" w:hAnsi="Century Schoolbook"/>
        </w:rPr>
        <w:t>It is unclear whether any compromise that would write the recognition of the subminimum wage into the Rehab</w:t>
      </w:r>
      <w:r w:rsidR="000F4717">
        <w:rPr>
          <w:rFonts w:ascii="Century Schoolbook" w:hAnsi="Century Schoolbook"/>
        </w:rPr>
        <w:t>ilitation</w:t>
      </w:r>
      <w:r w:rsidRPr="00A72642">
        <w:rPr>
          <w:rFonts w:ascii="Century Schoolbook" w:hAnsi="Century Schoolbook"/>
        </w:rPr>
        <w:t xml:space="preserve"> Act would make sense.  But at a minimum</w:t>
      </w:r>
      <w:r w:rsidR="00EB2F30">
        <w:rPr>
          <w:rFonts w:ascii="Century Schoolbook" w:hAnsi="Century Schoolbook"/>
        </w:rPr>
        <w:t>,</w:t>
      </w:r>
      <w:r w:rsidRPr="00A72642">
        <w:rPr>
          <w:rFonts w:ascii="Century Schoolbook" w:hAnsi="Century Schoolbook"/>
        </w:rPr>
        <w:t xml:space="preserve"> any such compromise would have to do two things that </w:t>
      </w:r>
      <w:r w:rsidR="000F4717">
        <w:rPr>
          <w:rFonts w:ascii="Century Schoolbook" w:hAnsi="Century Schoolbook"/>
        </w:rPr>
        <w:t>Section 511</w:t>
      </w:r>
      <w:r w:rsidRPr="00A72642">
        <w:rPr>
          <w:rFonts w:ascii="Century Schoolbook" w:hAnsi="Century Schoolbook"/>
        </w:rPr>
        <w:t xml:space="preserve"> does not do: (</w:t>
      </w:r>
      <w:r w:rsidR="002B695A">
        <w:rPr>
          <w:rFonts w:ascii="Century Schoolbook" w:hAnsi="Century Schoolbook"/>
        </w:rPr>
        <w:t>a) prohibit any new issuance of</w:t>
      </w:r>
      <w:r w:rsidRPr="00A72642">
        <w:rPr>
          <w:rFonts w:ascii="Century Schoolbook" w:hAnsi="Century Schoolbook"/>
        </w:rPr>
        <w:t xml:space="preserve"> certificates</w:t>
      </w:r>
      <w:r w:rsidR="002B695A">
        <w:rPr>
          <w:rFonts w:ascii="Century Schoolbook" w:hAnsi="Century Schoolbook"/>
        </w:rPr>
        <w:t xml:space="preserve"> authorizing the payment of subminimum wages under the Fair Labor Standards Act</w:t>
      </w:r>
      <w:r w:rsidRPr="00A72642">
        <w:rPr>
          <w:rFonts w:ascii="Century Schoolbook" w:hAnsi="Century Schoolbook"/>
        </w:rPr>
        <w:t>; and (b) require that those who receive the subminimum wage work not in sheltered workshops</w:t>
      </w:r>
      <w:r w:rsidR="002746F2">
        <w:rPr>
          <w:rFonts w:ascii="Century Schoolbook" w:hAnsi="Century Schoolbook"/>
        </w:rPr>
        <w:t>,</w:t>
      </w:r>
      <w:r w:rsidRPr="00A72642">
        <w:rPr>
          <w:rFonts w:ascii="Century Schoolbook" w:hAnsi="Century Schoolbook"/>
        </w:rPr>
        <w:t xml:space="preserve"> but in integrated, competitive environments.  The first require</w:t>
      </w:r>
      <w:r w:rsidR="000F4717">
        <w:rPr>
          <w:rFonts w:ascii="Century Schoolbook" w:hAnsi="Century Schoolbook"/>
        </w:rPr>
        <w:t>ment would serve Senator Harkin’s goal of preventing “</w:t>
      </w:r>
      <w:r w:rsidRPr="00A72642">
        <w:rPr>
          <w:rFonts w:ascii="Century Schoolbook" w:hAnsi="Century Schoolbook"/>
        </w:rPr>
        <w:t xml:space="preserve">another generation of young people with significant </w:t>
      </w:r>
      <w:r w:rsidR="000F4717">
        <w:rPr>
          <w:rFonts w:ascii="Century Schoolbook" w:hAnsi="Century Schoolbook"/>
        </w:rPr>
        <w:t>disabilities” from “</w:t>
      </w:r>
      <w:r w:rsidRPr="00A72642">
        <w:rPr>
          <w:rFonts w:ascii="Century Schoolbook" w:hAnsi="Century Schoolbook"/>
        </w:rPr>
        <w:t>end[</w:t>
      </w:r>
      <w:proofErr w:type="spellStart"/>
      <w:r w:rsidRPr="00A72642">
        <w:rPr>
          <w:rFonts w:ascii="Century Schoolbook" w:hAnsi="Century Schoolbook"/>
        </w:rPr>
        <w:t>ing</w:t>
      </w:r>
      <w:proofErr w:type="spellEnd"/>
      <w:r w:rsidRPr="00A72642">
        <w:rPr>
          <w:rFonts w:ascii="Century Schoolbook" w:hAnsi="Century Schoolbook"/>
        </w:rPr>
        <w:t>] up getting tracked directly from</w:t>
      </w:r>
      <w:r w:rsidR="000F4717">
        <w:rPr>
          <w:rFonts w:ascii="Century Schoolbook" w:hAnsi="Century Schoolbook"/>
        </w:rPr>
        <w:t xml:space="preserve"> school to sheltered settings.”</w:t>
      </w:r>
      <w:r w:rsidRPr="00A72642">
        <w:rPr>
          <w:rFonts w:ascii="Century Schoolbook" w:hAnsi="Century Schoolbook"/>
        </w:rPr>
        <w:t> </w:t>
      </w:r>
      <w:r w:rsidR="000F4717">
        <w:rPr>
          <w:rFonts w:ascii="Century Schoolbook" w:hAnsi="Century Schoolbook"/>
        </w:rPr>
        <w:t xml:space="preserve"> </w:t>
      </w:r>
      <w:r w:rsidRPr="00A72642">
        <w:rPr>
          <w:rFonts w:ascii="Century Schoolbook" w:hAnsi="Century Schoolbook"/>
        </w:rPr>
        <w:t xml:space="preserve">And the second would align the disability subminimum wage provision with the other subminimum wage provisions in the </w:t>
      </w:r>
      <w:r w:rsidR="000F4717">
        <w:rPr>
          <w:rFonts w:ascii="Century Schoolbook" w:hAnsi="Century Schoolbook"/>
        </w:rPr>
        <w:t>Fair Labor Standards Act</w:t>
      </w:r>
      <w:r w:rsidRPr="00A72642">
        <w:rPr>
          <w:rFonts w:ascii="Century Schoolbook" w:hAnsi="Century Schoolbook"/>
        </w:rPr>
        <w:t xml:space="preserve"> for learners, apprentices, and students by ensuring that subminimum wages are truly only a temporary way station for people who are in fact learning skills appropr</w:t>
      </w:r>
      <w:r w:rsidR="000F4717">
        <w:rPr>
          <w:rFonts w:ascii="Century Schoolbook" w:hAnsi="Century Schoolbook"/>
        </w:rPr>
        <w:t>iate to the competitive economy—</w:t>
      </w:r>
      <w:r w:rsidRPr="00A72642">
        <w:rPr>
          <w:rFonts w:ascii="Century Schoolbook" w:hAnsi="Century Schoolbook"/>
        </w:rPr>
        <w:t>rather than a long-term subsidy to dead-end sheltered workshops.  Section 511 as currently drafted does neither of these things.  It simply entrenches sheltered wo</w:t>
      </w:r>
      <w:r w:rsidR="000F4717">
        <w:rPr>
          <w:rFonts w:ascii="Century Schoolbook" w:hAnsi="Century Schoolbook"/>
        </w:rPr>
        <w:t>rkshops and the subminimum wage—</w:t>
      </w:r>
      <w:r w:rsidRPr="00A72642">
        <w:rPr>
          <w:rFonts w:ascii="Century Schoolbook" w:hAnsi="Century Schoolbook"/>
        </w:rPr>
        <w:t>and for the first time recognizes them as acceptable under the rights provisions of the Rehabilitation Act, our Nation's first disability rights law.  This is a stunning step backwards.</w:t>
      </w:r>
    </w:p>
    <w:p w:rsidR="00A72642" w:rsidRPr="00A72642" w:rsidRDefault="00A72642" w:rsidP="002B695A">
      <w:pPr>
        <w:spacing w:after="120"/>
        <w:jc w:val="both"/>
        <w:rPr>
          <w:rFonts w:ascii="Century Schoolbook" w:hAnsi="Century Schoolbook"/>
        </w:rPr>
      </w:pPr>
    </w:p>
    <w:p w:rsidR="00A72642" w:rsidRPr="00A72642" w:rsidRDefault="00A72642" w:rsidP="002B695A">
      <w:pPr>
        <w:spacing w:after="120"/>
        <w:jc w:val="both"/>
        <w:rPr>
          <w:rFonts w:ascii="Century Schoolbook" w:hAnsi="Century Schoolbook"/>
        </w:rPr>
      </w:pPr>
      <w:r w:rsidRPr="00A72642">
        <w:rPr>
          <w:rFonts w:ascii="Century Schoolbook" w:hAnsi="Century Schoolbook"/>
        </w:rPr>
        <w:t> </w:t>
      </w:r>
    </w:p>
    <w:p w:rsidR="00A72642" w:rsidRPr="00A72642" w:rsidRDefault="00A72642" w:rsidP="002B695A">
      <w:pPr>
        <w:spacing w:after="120"/>
        <w:jc w:val="both"/>
        <w:rPr>
          <w:rFonts w:ascii="Century Schoolbook" w:hAnsi="Century Schoolbook"/>
        </w:rPr>
      </w:pPr>
    </w:p>
    <w:p w:rsidR="00A72642" w:rsidRPr="00A72642" w:rsidRDefault="00A72642" w:rsidP="002B695A">
      <w:pPr>
        <w:spacing w:after="120"/>
        <w:jc w:val="both"/>
        <w:rPr>
          <w:rFonts w:ascii="Century Schoolbook" w:hAnsi="Century Schoolbook"/>
        </w:rPr>
      </w:pPr>
    </w:p>
    <w:sectPr w:rsidR="00A72642" w:rsidRPr="00A72642" w:rsidSect="003A75A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C73" w:rsidRDefault="006A2C73" w:rsidP="00A72642">
      <w:r>
        <w:separator/>
      </w:r>
    </w:p>
  </w:endnote>
  <w:endnote w:type="continuationSeparator" w:id="0">
    <w:p w:rsidR="006A2C73" w:rsidRDefault="006A2C73" w:rsidP="00A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0000000000000000000"/>
    <w:charset w:val="00"/>
    <w:family w:val="roman"/>
    <w:notTrueType/>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D4" w:rsidRDefault="00EB52D4" w:rsidP="00B60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52D4" w:rsidRDefault="00EB5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D4" w:rsidRDefault="00EB52D4" w:rsidP="00B60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7B5A">
      <w:rPr>
        <w:rStyle w:val="PageNumber"/>
        <w:noProof/>
      </w:rPr>
      <w:t>1</w:t>
    </w:r>
    <w:r>
      <w:rPr>
        <w:rStyle w:val="PageNumber"/>
      </w:rPr>
      <w:fldChar w:fldCharType="end"/>
    </w:r>
  </w:p>
  <w:p w:rsidR="00EB52D4" w:rsidRDefault="00EB5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C73" w:rsidRDefault="006A2C73" w:rsidP="00A72642">
      <w:r>
        <w:separator/>
      </w:r>
    </w:p>
  </w:footnote>
  <w:footnote w:type="continuationSeparator" w:id="0">
    <w:p w:rsidR="006A2C73" w:rsidRDefault="006A2C73" w:rsidP="00A72642">
      <w:r>
        <w:continuationSeparator/>
      </w:r>
    </w:p>
  </w:footnote>
  <w:footnote w:id="1">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t>*</w:t>
      </w:r>
      <w:r w:rsidRPr="000F4717">
        <w:rPr>
          <w:rFonts w:ascii="Century Schoolbook" w:hAnsi="Century Schoolbook"/>
          <w:sz w:val="20"/>
          <w:szCs w:val="20"/>
        </w:rPr>
        <w:t xml:space="preserve"> </w:t>
      </w:r>
      <w:proofErr w:type="gramStart"/>
      <w:r w:rsidRPr="000F4717">
        <w:rPr>
          <w:rFonts w:ascii="Century Schoolbook" w:hAnsi="Century Schoolbook"/>
          <w:sz w:val="20"/>
          <w:szCs w:val="20"/>
        </w:rPr>
        <w:t>Professor of Law, University of Michigan Law School.</w:t>
      </w:r>
      <w:proofErr w:type="gramEnd"/>
      <w:r w:rsidRPr="000F4717">
        <w:rPr>
          <w:rFonts w:ascii="Century Schoolbook" w:hAnsi="Century Schoolbook"/>
          <w:sz w:val="20"/>
          <w:szCs w:val="20"/>
        </w:rPr>
        <w:t xml:space="preserve">  Former Principal Deputy Assistant Attorney General for Civil </w:t>
      </w:r>
      <w:proofErr w:type="gramStart"/>
      <w:r w:rsidRPr="000F4717">
        <w:rPr>
          <w:rFonts w:ascii="Century Schoolbook" w:hAnsi="Century Schoolbook"/>
          <w:sz w:val="20"/>
          <w:szCs w:val="20"/>
        </w:rPr>
        <w:t>Rights,</w:t>
      </w:r>
      <w:proofErr w:type="gramEnd"/>
      <w:r w:rsidRPr="000F4717">
        <w:rPr>
          <w:rFonts w:ascii="Century Schoolbook" w:hAnsi="Century Schoolbook"/>
          <w:sz w:val="20"/>
          <w:szCs w:val="20"/>
        </w:rPr>
        <w:t xml:space="preserve"> United States Department of Justice.  Institutional affiliation for identification purposes only.</w:t>
      </w:r>
    </w:p>
  </w:footnote>
  <w:footnote w:id="2">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Michelle </w:t>
      </w:r>
      <w:proofErr w:type="spellStart"/>
      <w:r w:rsidRPr="000F4717">
        <w:rPr>
          <w:rFonts w:ascii="Century Schoolbook" w:hAnsi="Century Schoolbook"/>
          <w:sz w:val="20"/>
          <w:szCs w:val="20"/>
        </w:rPr>
        <w:t>Diament</w:t>
      </w:r>
      <w:proofErr w:type="spellEnd"/>
      <w:r w:rsidRPr="000F4717">
        <w:rPr>
          <w:rFonts w:ascii="Century Schoolbook" w:hAnsi="Century Schoolbook"/>
          <w:sz w:val="20"/>
          <w:szCs w:val="20"/>
        </w:rPr>
        <w:t xml:space="preserve">, </w:t>
      </w:r>
      <w:r w:rsidRPr="000F4717">
        <w:rPr>
          <w:rFonts w:ascii="Century Schoolbook" w:hAnsi="Century Schoolbook"/>
          <w:i/>
          <w:sz w:val="20"/>
          <w:szCs w:val="20"/>
        </w:rPr>
        <w:t>Subminimum Wage Plan Divides Disability Advocates</w:t>
      </w:r>
      <w:r w:rsidRPr="000F4717">
        <w:rPr>
          <w:rFonts w:ascii="Century Schoolbook" w:hAnsi="Century Schoolbook"/>
          <w:sz w:val="20"/>
          <w:szCs w:val="20"/>
        </w:rPr>
        <w:t xml:space="preserve">, </w:t>
      </w:r>
      <w:r>
        <w:rPr>
          <w:rFonts w:ascii="Century Schoolbook" w:hAnsi="Century Schoolbook"/>
          <w:sz w:val="20"/>
          <w:szCs w:val="20"/>
        </w:rPr>
        <w:t>D</w:t>
      </w:r>
      <w:r w:rsidRPr="000F4717">
        <w:rPr>
          <w:rFonts w:ascii="Century Schoolbook" w:hAnsi="Century Schoolbook"/>
          <w:sz w:val="20"/>
          <w:szCs w:val="20"/>
        </w:rPr>
        <w:t>isability</w:t>
      </w:r>
      <w:r>
        <w:rPr>
          <w:rFonts w:ascii="Century Schoolbook" w:hAnsi="Century Schoolbook"/>
          <w:sz w:val="20"/>
          <w:szCs w:val="20"/>
        </w:rPr>
        <w:t xml:space="preserve"> S</w:t>
      </w:r>
      <w:r w:rsidRPr="000F4717">
        <w:rPr>
          <w:rFonts w:ascii="Century Schoolbook" w:hAnsi="Century Schoolbook"/>
          <w:sz w:val="20"/>
          <w:szCs w:val="20"/>
        </w:rPr>
        <w:t xml:space="preserve">coop, </w:t>
      </w:r>
      <w:proofErr w:type="gramStart"/>
      <w:r w:rsidRPr="000F4717">
        <w:rPr>
          <w:rFonts w:ascii="Century Schoolbook" w:hAnsi="Century Schoolbook"/>
          <w:sz w:val="20"/>
          <w:szCs w:val="20"/>
        </w:rPr>
        <w:t xml:space="preserve">July 30, 2013, available at </w:t>
      </w:r>
      <w:hyperlink r:id="rId1" w:history="1">
        <w:r w:rsidRPr="000F4717">
          <w:rPr>
            <w:rStyle w:val="Hyperlink"/>
            <w:rFonts w:ascii="Century Schoolbook" w:hAnsi="Century Schoolbook"/>
            <w:sz w:val="20"/>
            <w:szCs w:val="20"/>
          </w:rPr>
          <w:t>http://www.disabilityscoop.com/2013/07/30/subminimum-wage-divides/18409</w:t>
        </w:r>
        <w:proofErr w:type="gramEnd"/>
        <w:r w:rsidRPr="000F4717">
          <w:rPr>
            <w:rStyle w:val="Hyperlink"/>
            <w:rFonts w:ascii="Century Schoolbook" w:hAnsi="Century Schoolbook"/>
            <w:sz w:val="20"/>
            <w:szCs w:val="20"/>
          </w:rPr>
          <w:t>/</w:t>
        </w:r>
      </w:hyperlink>
      <w:r w:rsidRPr="000F4717">
        <w:rPr>
          <w:rFonts w:ascii="Century Schoolbook" w:hAnsi="Century Schoolbook"/>
          <w:sz w:val="20"/>
          <w:szCs w:val="20"/>
        </w:rPr>
        <w:t xml:space="preserve">. </w:t>
      </w:r>
    </w:p>
  </w:footnote>
  <w:footnote w:id="3">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w:t>
      </w:r>
      <w:r w:rsidRPr="000F4717">
        <w:rPr>
          <w:rFonts w:ascii="Century Schoolbook" w:hAnsi="Century Schoolbook"/>
          <w:i/>
          <w:sz w:val="20"/>
          <w:szCs w:val="20"/>
        </w:rPr>
        <w:t xml:space="preserve">The Case </w:t>
      </w:r>
      <w:proofErr w:type="gramStart"/>
      <w:r w:rsidRPr="000F4717">
        <w:rPr>
          <w:rFonts w:ascii="Century Schoolbook" w:hAnsi="Century Schoolbook"/>
          <w:i/>
          <w:sz w:val="20"/>
          <w:szCs w:val="20"/>
        </w:rPr>
        <w:t>Against</w:t>
      </w:r>
      <w:proofErr w:type="gramEnd"/>
      <w:r w:rsidRPr="000F4717">
        <w:rPr>
          <w:rFonts w:ascii="Century Schoolbook" w:hAnsi="Century Schoolbook"/>
          <w:i/>
          <w:sz w:val="20"/>
          <w:szCs w:val="20"/>
        </w:rPr>
        <w:t xml:space="preserve"> the Section 14(c) Subminimum Wage Program</w:t>
      </w:r>
      <w:r w:rsidRPr="000F4717">
        <w:rPr>
          <w:rFonts w:ascii="Century Schoolbook" w:hAnsi="Century Schoolbook"/>
          <w:sz w:val="20"/>
          <w:szCs w:val="20"/>
        </w:rPr>
        <w:t>, available at http://</w:t>
      </w:r>
      <w:r w:rsidRPr="000F4717">
        <w:rPr>
          <w:rFonts w:ascii="Century Schoolbook" w:hAnsi="Century Schoolbook" w:cs="Arial"/>
          <w:sz w:val="20"/>
          <w:szCs w:val="20"/>
        </w:rPr>
        <w:t>nfb.org/images/nfb/documents/word/14c_report_sam_</w:t>
      </w:r>
      <w:r w:rsidRPr="000F4717">
        <w:rPr>
          <w:rFonts w:ascii="Century Schoolbook" w:hAnsi="Century Schoolbook" w:cs="Arial"/>
          <w:bCs/>
          <w:sz w:val="20"/>
          <w:szCs w:val="20"/>
        </w:rPr>
        <w:t>bagenstos</w:t>
      </w:r>
      <w:r w:rsidRPr="000F4717">
        <w:rPr>
          <w:rFonts w:ascii="Century Schoolbook" w:hAnsi="Century Schoolbook" w:cs="Arial"/>
          <w:sz w:val="20"/>
          <w:szCs w:val="20"/>
        </w:rPr>
        <w:t>.doc</w:t>
      </w:r>
      <w:r w:rsidRPr="000F4717">
        <w:rPr>
          <w:rFonts w:ascii="Times New Roman" w:hAnsi="Times New Roman"/>
          <w:color w:val="535353"/>
          <w:sz w:val="20"/>
          <w:szCs w:val="20"/>
        </w:rPr>
        <w:t>‎</w:t>
      </w:r>
      <w:r w:rsidRPr="000F4717">
        <w:rPr>
          <w:rFonts w:ascii="Century Schoolbook" w:hAnsi="Century Schoolbook" w:cs="Arial"/>
          <w:color w:val="535353"/>
          <w:sz w:val="20"/>
          <w:szCs w:val="20"/>
        </w:rPr>
        <w:t xml:space="preserve">. </w:t>
      </w:r>
    </w:p>
  </w:footnote>
  <w:footnote w:id="4">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1) (allowing subminimum wage if “[t]he individual is currently employed, as of the effective date of this section, by an entity that holds a valid certificate pursuant to section 14(c) of the Fair Labor Standards Act”), (a)(2) (allowing subminimum wage if “[t]he individual is older than age 24 on the date when the individual begins employment at a subminimum wage”).</w:t>
      </w:r>
    </w:p>
  </w:footnote>
  <w:footnote w:id="5">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Letter from Thomas E. Perez, Assistant Attorney General, to Mary Ann Carroll, Esq., June 7, 2013 (describing DOJ’s findings that young people with disabilities often went directly, on turning 21, from a sheltered workshop operated by the Providence schools to a sheltered workshop operated by a state contractor that paid below-minimum wages); Interim Settlement Agreement, United States v. Rhode Island, No. </w:t>
      </w:r>
      <w:r w:rsidRPr="000F4717">
        <w:rPr>
          <w:rFonts w:ascii="Century Schoolbook" w:hAnsi="Century Schoolbook" w:cs="Arial"/>
          <w:bCs/>
          <w:sz w:val="20"/>
          <w:szCs w:val="20"/>
        </w:rPr>
        <w:t>1:13-cv-00442, (D.R.I., filed June 13, 2013) (requiring the city and state to end sheltered work at those sheltered workshops and provide integrated supported employment services to individuals with disabilities who currently or recently worked in them).</w:t>
      </w:r>
    </w:p>
  </w:footnote>
  <w:footnote w:id="6">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3)(B)(</w:t>
      </w:r>
      <w:proofErr w:type="spellStart"/>
      <w:r w:rsidRPr="000F4717">
        <w:rPr>
          <w:rFonts w:ascii="Century Schoolbook" w:hAnsi="Century Schoolbook"/>
          <w:sz w:val="20"/>
          <w:szCs w:val="20"/>
        </w:rPr>
        <w:t>i</w:t>
      </w:r>
      <w:proofErr w:type="spellEnd"/>
      <w:r w:rsidRPr="000F4717">
        <w:rPr>
          <w:rFonts w:ascii="Century Schoolbook" w:hAnsi="Century Schoolbook"/>
          <w:sz w:val="20"/>
          <w:szCs w:val="20"/>
        </w:rPr>
        <w:t>).</w:t>
      </w:r>
    </w:p>
  </w:footnote>
  <w:footnote w:id="7">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3)(B)(ii).</w:t>
      </w:r>
    </w:p>
  </w:footnote>
  <w:footnote w:id="8">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4).</w:t>
      </w:r>
    </w:p>
  </w:footnote>
  <w:footnote w:id="9">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3)(B)(</w:t>
      </w:r>
      <w:proofErr w:type="spellStart"/>
      <w:r w:rsidRPr="000F4717">
        <w:rPr>
          <w:rFonts w:ascii="Century Schoolbook" w:hAnsi="Century Schoolbook"/>
          <w:sz w:val="20"/>
          <w:szCs w:val="20"/>
        </w:rPr>
        <w:t>i</w:t>
      </w:r>
      <w:proofErr w:type="spellEnd"/>
      <w:r w:rsidRPr="000F4717">
        <w:rPr>
          <w:rFonts w:ascii="Century Schoolbook" w:hAnsi="Century Schoolbook"/>
          <w:sz w:val="20"/>
          <w:szCs w:val="20"/>
        </w:rPr>
        <w:t>).</w:t>
      </w:r>
    </w:p>
  </w:footnote>
  <w:footnote w:id="10">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Letter from Thomas E. Perez, Assistant Attorney General, to John Kroger, Attorney General, June 29, 2012, at 15-16.</w:t>
      </w:r>
    </w:p>
  </w:footnote>
  <w:footnote w:id="11">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TASH, Non-Legislative Changes to Improve Integrated Employment Outcomes 6-7 (Feb. 21, 2013).</w:t>
      </w:r>
    </w:p>
  </w:footnote>
  <w:footnote w:id="12">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3)(C).</w:t>
      </w:r>
    </w:p>
  </w:footnote>
  <w:footnote w:id="13">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w:t>
      </w:r>
      <w:proofErr w:type="gramStart"/>
      <w:r w:rsidRPr="000F4717">
        <w:rPr>
          <w:rFonts w:ascii="Century Schoolbook" w:hAnsi="Century Schoolbook"/>
          <w:sz w:val="20"/>
          <w:szCs w:val="20"/>
        </w:rPr>
        <w:t>See, e.g., 34 C.F.R. 361.37.</w:t>
      </w:r>
      <w:proofErr w:type="gramEnd"/>
    </w:p>
  </w:footnote>
  <w:footnote w:id="14">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3)(B)(ii)(III).</w:t>
      </w:r>
    </w:p>
  </w:footnote>
  <w:footnote w:id="15">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3)(B)(ii)(IV).</w:t>
      </w:r>
    </w:p>
  </w:footnote>
  <w:footnote w:id="16">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TASH, </w:t>
      </w:r>
      <w:r w:rsidRPr="000F4717">
        <w:rPr>
          <w:rFonts w:ascii="Century Schoolbook" w:hAnsi="Century Schoolbook"/>
          <w:i/>
          <w:sz w:val="20"/>
          <w:szCs w:val="20"/>
        </w:rPr>
        <w:t xml:space="preserve">supra </w:t>
      </w:r>
      <w:r w:rsidRPr="000F4717">
        <w:rPr>
          <w:rFonts w:ascii="Century Schoolbook" w:hAnsi="Century Schoolbook"/>
          <w:sz w:val="20"/>
          <w:szCs w:val="20"/>
        </w:rPr>
        <w:t xml:space="preserve">note </w:t>
      </w:r>
      <w:r w:rsidRPr="000F4717">
        <w:rPr>
          <w:rFonts w:ascii="Century Schoolbook" w:hAnsi="Century Schoolbook"/>
          <w:sz w:val="20"/>
          <w:szCs w:val="20"/>
        </w:rPr>
        <w:fldChar w:fldCharType="begin"/>
      </w:r>
      <w:r w:rsidRPr="000F4717">
        <w:rPr>
          <w:rFonts w:ascii="Century Schoolbook" w:hAnsi="Century Schoolbook"/>
          <w:sz w:val="20"/>
          <w:szCs w:val="20"/>
        </w:rPr>
        <w:instrText xml:space="preserve"> NOTEREF _Ref237857578 \h </w:instrText>
      </w:r>
      <w:r w:rsidRPr="000F4717">
        <w:rPr>
          <w:rFonts w:ascii="Century Schoolbook" w:hAnsi="Century Schoolbook"/>
          <w:sz w:val="20"/>
          <w:szCs w:val="20"/>
        </w:rPr>
      </w:r>
      <w:r w:rsidRPr="000F4717">
        <w:rPr>
          <w:rFonts w:ascii="Century Schoolbook" w:hAnsi="Century Schoolbook"/>
          <w:sz w:val="20"/>
          <w:szCs w:val="20"/>
        </w:rPr>
        <w:fldChar w:fldCharType="separate"/>
      </w:r>
      <w:r w:rsidR="001E547C">
        <w:rPr>
          <w:rFonts w:ascii="Century Schoolbook" w:hAnsi="Century Schoolbook"/>
          <w:sz w:val="20"/>
          <w:szCs w:val="20"/>
        </w:rPr>
        <w:t>10</w:t>
      </w:r>
      <w:r w:rsidRPr="000F4717">
        <w:rPr>
          <w:rFonts w:ascii="Century Schoolbook" w:hAnsi="Century Schoolbook"/>
          <w:sz w:val="20"/>
          <w:szCs w:val="20"/>
        </w:rPr>
        <w:fldChar w:fldCharType="end"/>
      </w:r>
      <w:r w:rsidRPr="000F4717">
        <w:rPr>
          <w:rFonts w:ascii="Century Schoolbook" w:hAnsi="Century Schoolbook"/>
          <w:sz w:val="20"/>
          <w:szCs w:val="20"/>
        </w:rPr>
        <w:t>, at 6-7 (of all individuals with disabilities who were initially found eligible for VR services and whose cases were closed in 2011, 48% had their cases closed unsuccessfully after a determination that they would not obtain an integrated employment outcome).</w:t>
      </w:r>
    </w:p>
  </w:footnote>
  <w:footnote w:id="17">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4).</w:t>
      </w:r>
    </w:p>
  </w:footnote>
  <w:footnote w:id="18">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4)(A).</w:t>
      </w:r>
    </w:p>
  </w:footnote>
  <w:footnote w:id="19">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4)(B).</w:t>
      </w:r>
    </w:p>
  </w:footnote>
  <w:footnote w:id="20">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w:t>
      </w:r>
      <w:r w:rsidRPr="000F4717">
        <w:rPr>
          <w:rFonts w:ascii="Century Schoolbook" w:hAnsi="Century Schoolbook"/>
          <w:i/>
          <w:sz w:val="20"/>
          <w:szCs w:val="20"/>
        </w:rPr>
        <w:t xml:space="preserve">The Case </w:t>
      </w:r>
      <w:proofErr w:type="gramStart"/>
      <w:r w:rsidRPr="000F4717">
        <w:rPr>
          <w:rFonts w:ascii="Century Schoolbook" w:hAnsi="Century Schoolbook"/>
          <w:i/>
          <w:sz w:val="20"/>
          <w:szCs w:val="20"/>
        </w:rPr>
        <w:t>Against</w:t>
      </w:r>
      <w:proofErr w:type="gramEnd"/>
      <w:r w:rsidRPr="000F4717">
        <w:rPr>
          <w:rFonts w:ascii="Century Schoolbook" w:hAnsi="Century Schoolbook"/>
          <w:i/>
          <w:sz w:val="20"/>
          <w:szCs w:val="20"/>
        </w:rPr>
        <w:t xml:space="preserve"> the Section 14(c) Subminimum Wage Program</w:t>
      </w:r>
      <w:r w:rsidRPr="000F4717">
        <w:rPr>
          <w:rFonts w:ascii="Century Schoolbook" w:hAnsi="Century Schoolbook"/>
          <w:sz w:val="20"/>
          <w:szCs w:val="20"/>
        </w:rPr>
        <w:t xml:space="preserve">, </w:t>
      </w:r>
      <w:r w:rsidRPr="000F4717">
        <w:rPr>
          <w:rFonts w:ascii="Century Schoolbook" w:hAnsi="Century Schoolbook"/>
          <w:i/>
          <w:sz w:val="20"/>
          <w:szCs w:val="20"/>
        </w:rPr>
        <w:t>supra</w:t>
      </w:r>
      <w:r w:rsidRPr="000F4717">
        <w:rPr>
          <w:rFonts w:ascii="Century Schoolbook" w:hAnsi="Century Schoolbook"/>
          <w:sz w:val="20"/>
          <w:szCs w:val="20"/>
        </w:rPr>
        <w:t xml:space="preserve"> note </w:t>
      </w:r>
      <w:r w:rsidRPr="000F4717">
        <w:rPr>
          <w:rFonts w:ascii="Century Schoolbook" w:hAnsi="Century Schoolbook"/>
          <w:sz w:val="20"/>
          <w:szCs w:val="20"/>
        </w:rPr>
        <w:fldChar w:fldCharType="begin"/>
      </w:r>
      <w:r w:rsidRPr="000F4717">
        <w:rPr>
          <w:rFonts w:ascii="Century Schoolbook" w:hAnsi="Century Schoolbook"/>
          <w:sz w:val="20"/>
          <w:szCs w:val="20"/>
        </w:rPr>
        <w:instrText xml:space="preserve"> NOTEREF _Ref237858869 \h </w:instrText>
      </w:r>
      <w:r w:rsidRPr="000F4717">
        <w:rPr>
          <w:rFonts w:ascii="Century Schoolbook" w:hAnsi="Century Schoolbook"/>
          <w:sz w:val="20"/>
          <w:szCs w:val="20"/>
        </w:rPr>
      </w:r>
      <w:r w:rsidRPr="000F4717">
        <w:rPr>
          <w:rFonts w:ascii="Century Schoolbook" w:hAnsi="Century Schoolbook"/>
          <w:sz w:val="20"/>
          <w:szCs w:val="20"/>
        </w:rPr>
        <w:fldChar w:fldCharType="separate"/>
      </w:r>
      <w:r w:rsidR="001E547C">
        <w:rPr>
          <w:rFonts w:ascii="Century Schoolbook" w:hAnsi="Century Schoolbook"/>
          <w:sz w:val="20"/>
          <w:szCs w:val="20"/>
        </w:rPr>
        <w:t>2</w:t>
      </w:r>
      <w:r w:rsidRPr="000F4717">
        <w:rPr>
          <w:rFonts w:ascii="Century Schoolbook" w:hAnsi="Century Schoolbook"/>
          <w:sz w:val="20"/>
          <w:szCs w:val="20"/>
        </w:rPr>
        <w:fldChar w:fldCharType="end"/>
      </w:r>
      <w:r w:rsidRPr="000F4717">
        <w:rPr>
          <w:rFonts w:ascii="Century Schoolbook" w:hAnsi="Century Schoolbook"/>
          <w:sz w:val="20"/>
          <w:szCs w:val="20"/>
        </w:rPr>
        <w:t>, at 4-5.</w:t>
      </w:r>
    </w:p>
  </w:footnote>
  <w:footnote w:id="21">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Gary R. Bond, </w:t>
      </w:r>
      <w:r w:rsidRPr="000F4717">
        <w:rPr>
          <w:rFonts w:ascii="Century Schoolbook" w:hAnsi="Century Schoolbook"/>
          <w:i/>
          <w:sz w:val="20"/>
          <w:szCs w:val="20"/>
        </w:rPr>
        <w:t>Supported Employment: Evidence for an Evidence-Based Practice</w:t>
      </w:r>
      <w:r w:rsidRPr="000F4717">
        <w:rPr>
          <w:rFonts w:ascii="Century Schoolbook" w:hAnsi="Century Schoolbook"/>
          <w:sz w:val="20"/>
          <w:szCs w:val="20"/>
        </w:rPr>
        <w:t xml:space="preserve">, </w:t>
      </w:r>
      <w:proofErr w:type="gramStart"/>
      <w:r w:rsidRPr="000F4717">
        <w:rPr>
          <w:rFonts w:ascii="Century Schoolbook" w:hAnsi="Century Schoolbook"/>
          <w:sz w:val="20"/>
          <w:szCs w:val="20"/>
        </w:rPr>
        <w:t>27 Psychiatric Rehab</w:t>
      </w:r>
      <w:proofErr w:type="gramEnd"/>
      <w:r w:rsidRPr="000F4717">
        <w:rPr>
          <w:rFonts w:ascii="Century Schoolbook" w:hAnsi="Century Schoolbook"/>
          <w:sz w:val="20"/>
          <w:szCs w:val="20"/>
        </w:rPr>
        <w:t>. J. 345, 353 (2004).</w:t>
      </w:r>
    </w:p>
  </w:footnote>
  <w:footnote w:id="22">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Stephen T. Murphy &amp; Patricia M. Rogan, Closing the Shop: Conversion from Sheltered to Integrated Work 20 (1995).</w:t>
      </w:r>
    </w:p>
  </w:footnote>
  <w:footnote w:id="23">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Letter from Thomas E. Perez to Mary Ann </w:t>
      </w:r>
      <w:proofErr w:type="gramStart"/>
      <w:r w:rsidRPr="000F4717">
        <w:rPr>
          <w:rFonts w:ascii="Century Schoolbook" w:hAnsi="Century Schoolbook"/>
          <w:sz w:val="20"/>
          <w:szCs w:val="20"/>
        </w:rPr>
        <w:t>Carroll,</w:t>
      </w:r>
      <w:proofErr w:type="gramEnd"/>
      <w:r w:rsidRPr="000F4717">
        <w:rPr>
          <w:rFonts w:ascii="Century Schoolbook" w:hAnsi="Century Schoolbook"/>
          <w:sz w:val="20"/>
          <w:szCs w:val="20"/>
        </w:rPr>
        <w:t xml:space="preserve"> </w:t>
      </w:r>
      <w:r w:rsidRPr="000F4717">
        <w:rPr>
          <w:rFonts w:ascii="Century Schoolbook" w:hAnsi="Century Schoolbook"/>
          <w:i/>
          <w:sz w:val="20"/>
          <w:szCs w:val="20"/>
        </w:rPr>
        <w:t>supra</w:t>
      </w:r>
      <w:r w:rsidRPr="000F4717">
        <w:rPr>
          <w:rFonts w:ascii="Century Schoolbook" w:hAnsi="Century Schoolbook"/>
          <w:sz w:val="20"/>
          <w:szCs w:val="20"/>
        </w:rPr>
        <w:t xml:space="preserve"> note </w:t>
      </w:r>
      <w:r w:rsidRPr="000F4717">
        <w:rPr>
          <w:rFonts w:ascii="Century Schoolbook" w:hAnsi="Century Schoolbook"/>
          <w:sz w:val="20"/>
          <w:szCs w:val="20"/>
        </w:rPr>
        <w:fldChar w:fldCharType="begin"/>
      </w:r>
      <w:r w:rsidRPr="000F4717">
        <w:rPr>
          <w:rFonts w:ascii="Century Schoolbook" w:hAnsi="Century Schoolbook"/>
          <w:sz w:val="20"/>
          <w:szCs w:val="20"/>
        </w:rPr>
        <w:instrText xml:space="preserve"> NOTEREF _Ref237859946 \h </w:instrText>
      </w:r>
      <w:r w:rsidRPr="000F4717">
        <w:rPr>
          <w:rFonts w:ascii="Century Schoolbook" w:hAnsi="Century Schoolbook"/>
          <w:sz w:val="20"/>
          <w:szCs w:val="20"/>
        </w:rPr>
      </w:r>
      <w:r w:rsidRPr="000F4717">
        <w:rPr>
          <w:rFonts w:ascii="Century Schoolbook" w:hAnsi="Century Schoolbook"/>
          <w:sz w:val="20"/>
          <w:szCs w:val="20"/>
        </w:rPr>
        <w:fldChar w:fldCharType="separate"/>
      </w:r>
      <w:r w:rsidR="001E547C">
        <w:rPr>
          <w:rFonts w:ascii="Century Schoolbook" w:hAnsi="Century Schoolbook"/>
          <w:sz w:val="20"/>
          <w:szCs w:val="20"/>
        </w:rPr>
        <w:t>4</w:t>
      </w:r>
      <w:r w:rsidRPr="000F4717">
        <w:rPr>
          <w:rFonts w:ascii="Century Schoolbook" w:hAnsi="Century Schoolbook"/>
          <w:sz w:val="20"/>
          <w:szCs w:val="20"/>
        </w:rPr>
        <w:fldChar w:fldCharType="end"/>
      </w:r>
      <w:r w:rsidRPr="000F4717">
        <w:rPr>
          <w:rFonts w:ascii="Century Schoolbook" w:hAnsi="Century Schoolbook"/>
          <w:sz w:val="20"/>
          <w:szCs w:val="20"/>
        </w:rPr>
        <w:t>, at 12.</w:t>
      </w:r>
    </w:p>
  </w:footnote>
  <w:footnote w:id="24">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 511(a</w:t>
      </w:r>
      <w:proofErr w:type="gramStart"/>
      <w:r w:rsidRPr="000F4717">
        <w:rPr>
          <w:rFonts w:ascii="Century Schoolbook" w:hAnsi="Century Schoolbook"/>
          <w:sz w:val="20"/>
          <w:szCs w:val="20"/>
        </w:rPr>
        <w:t>)(</w:t>
      </w:r>
      <w:proofErr w:type="gramEnd"/>
      <w:r w:rsidRPr="000F4717">
        <w:rPr>
          <w:rFonts w:ascii="Century Schoolbook" w:hAnsi="Century Schoolbook"/>
          <w:sz w:val="20"/>
          <w:szCs w:val="20"/>
        </w:rPr>
        <w:t>4).</w:t>
      </w:r>
    </w:p>
  </w:footnote>
  <w:footnote w:id="25">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w:t>
      </w:r>
      <w:proofErr w:type="gramStart"/>
      <w:r w:rsidRPr="000F4717">
        <w:rPr>
          <w:rFonts w:ascii="Century Schoolbook" w:hAnsi="Century Schoolbook"/>
          <w:sz w:val="20"/>
          <w:szCs w:val="20"/>
        </w:rPr>
        <w:t>527 U.S. 581 (1999).</w:t>
      </w:r>
      <w:proofErr w:type="gramEnd"/>
    </w:p>
  </w:footnote>
  <w:footnote w:id="26">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w:t>
      </w:r>
      <w:r w:rsidRPr="000F4717">
        <w:rPr>
          <w:rFonts w:ascii="Century Schoolbook" w:hAnsi="Century Schoolbook" w:cs="Verdana"/>
          <w:bCs/>
          <w:sz w:val="20"/>
          <w:szCs w:val="20"/>
        </w:rPr>
        <w:t xml:space="preserve">Statement of the Department of Justice on Enforcement of the Integration Mandate of Title II of the Americans with Disabilities Act and </w:t>
      </w:r>
      <w:r w:rsidRPr="000F4717">
        <w:rPr>
          <w:rFonts w:ascii="Century Schoolbook" w:hAnsi="Century Schoolbook" w:cs="Verdana"/>
          <w:bCs/>
          <w:i/>
          <w:iCs/>
          <w:sz w:val="20"/>
          <w:szCs w:val="20"/>
        </w:rPr>
        <w:t>Olmstead v. L.C.</w:t>
      </w:r>
      <w:r w:rsidRPr="000F4717">
        <w:rPr>
          <w:rFonts w:ascii="Century Schoolbook" w:hAnsi="Century Schoolbook" w:cs="Verdana"/>
          <w:bCs/>
          <w:iCs/>
          <w:sz w:val="20"/>
          <w:szCs w:val="20"/>
        </w:rPr>
        <w:t xml:space="preserve">, available at </w:t>
      </w:r>
      <w:hyperlink r:id="rId2" w:history="1">
        <w:r w:rsidRPr="000F4717">
          <w:rPr>
            <w:rStyle w:val="Hyperlink"/>
            <w:rFonts w:ascii="Century Schoolbook" w:hAnsi="Century Schoolbook" w:cs="Verdana"/>
            <w:bCs/>
            <w:iCs/>
            <w:sz w:val="20"/>
            <w:szCs w:val="20"/>
          </w:rPr>
          <w:t>http://www.ada.gov/olmstead/q&amp;a_olmstead.htm</w:t>
        </w:r>
      </w:hyperlink>
      <w:r w:rsidRPr="000F4717">
        <w:rPr>
          <w:rFonts w:ascii="Century Schoolbook" w:hAnsi="Century Schoolbook" w:cs="Verdana"/>
          <w:bCs/>
          <w:iCs/>
          <w:sz w:val="20"/>
          <w:szCs w:val="20"/>
        </w:rPr>
        <w:t xml:space="preserve">. </w:t>
      </w:r>
    </w:p>
  </w:footnote>
  <w:footnote w:id="27">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Complaint in Intervention of the United States of America, Lane v. Kitzhaber, No. 3:12-cv-00138-ST (intervention granted May 22, 2013).</w:t>
      </w:r>
    </w:p>
  </w:footnote>
  <w:footnote w:id="28">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Interim Settlement Agreement, United States v. Rhode Island, </w:t>
      </w:r>
      <w:r w:rsidRPr="000F4717">
        <w:rPr>
          <w:rFonts w:ascii="Century Schoolbook" w:hAnsi="Century Schoolbook"/>
          <w:i/>
          <w:sz w:val="20"/>
          <w:szCs w:val="20"/>
        </w:rPr>
        <w:t xml:space="preserve">supra </w:t>
      </w:r>
      <w:r w:rsidRPr="000F4717">
        <w:rPr>
          <w:rFonts w:ascii="Century Schoolbook" w:hAnsi="Century Schoolbook"/>
          <w:sz w:val="20"/>
          <w:szCs w:val="20"/>
        </w:rPr>
        <w:t xml:space="preserve">note </w:t>
      </w:r>
      <w:r w:rsidRPr="000F4717">
        <w:rPr>
          <w:rFonts w:ascii="Century Schoolbook" w:hAnsi="Century Schoolbook"/>
          <w:sz w:val="20"/>
          <w:szCs w:val="20"/>
        </w:rPr>
        <w:fldChar w:fldCharType="begin"/>
      </w:r>
      <w:r w:rsidRPr="000F4717">
        <w:rPr>
          <w:rFonts w:ascii="Century Schoolbook" w:hAnsi="Century Schoolbook"/>
          <w:sz w:val="20"/>
          <w:szCs w:val="20"/>
        </w:rPr>
        <w:instrText xml:space="preserve"> NOTEREF _Ref237859946 \h </w:instrText>
      </w:r>
      <w:r w:rsidRPr="000F4717">
        <w:rPr>
          <w:rFonts w:ascii="Century Schoolbook" w:hAnsi="Century Schoolbook"/>
          <w:sz w:val="20"/>
          <w:szCs w:val="20"/>
        </w:rPr>
      </w:r>
      <w:r w:rsidRPr="000F4717">
        <w:rPr>
          <w:rFonts w:ascii="Century Schoolbook" w:hAnsi="Century Schoolbook"/>
          <w:sz w:val="20"/>
          <w:szCs w:val="20"/>
        </w:rPr>
        <w:fldChar w:fldCharType="separate"/>
      </w:r>
      <w:r w:rsidR="001E547C">
        <w:rPr>
          <w:rFonts w:ascii="Century Schoolbook" w:hAnsi="Century Schoolbook"/>
          <w:sz w:val="20"/>
          <w:szCs w:val="20"/>
        </w:rPr>
        <w:t>4</w:t>
      </w:r>
      <w:r w:rsidRPr="000F4717">
        <w:rPr>
          <w:rFonts w:ascii="Century Schoolbook" w:hAnsi="Century Schoolbook"/>
          <w:sz w:val="20"/>
          <w:szCs w:val="20"/>
        </w:rPr>
        <w:fldChar w:fldCharType="end"/>
      </w:r>
      <w:r w:rsidRPr="000F4717">
        <w:rPr>
          <w:rFonts w:ascii="Century Schoolbook" w:hAnsi="Century Schoolbook"/>
          <w:sz w:val="20"/>
          <w:szCs w:val="20"/>
        </w:rPr>
        <w:t>.</w:t>
      </w:r>
    </w:p>
  </w:footnote>
  <w:footnote w:id="29">
    <w:p w:rsidR="00EB52D4" w:rsidRPr="000F4717" w:rsidRDefault="00EB52D4" w:rsidP="00A72C4E">
      <w:pPr>
        <w:pStyle w:val="FootnoteText"/>
        <w:rPr>
          <w:rFonts w:ascii="Century Schoolbook" w:hAnsi="Century Schoolbook"/>
          <w:sz w:val="20"/>
          <w:szCs w:val="20"/>
        </w:rPr>
      </w:pPr>
      <w:r w:rsidRPr="000F4717">
        <w:rPr>
          <w:rStyle w:val="FootnoteReference"/>
          <w:rFonts w:ascii="Century Schoolbook" w:hAnsi="Century Schoolbook"/>
          <w:sz w:val="20"/>
          <w:szCs w:val="20"/>
        </w:rPr>
        <w:footnoteRef/>
      </w:r>
      <w:r w:rsidRPr="000F4717">
        <w:rPr>
          <w:rFonts w:ascii="Century Schoolbook" w:hAnsi="Century Schoolbook"/>
          <w:sz w:val="20"/>
          <w:szCs w:val="20"/>
        </w:rPr>
        <w:t xml:space="preserve"> See </w:t>
      </w:r>
      <w:r w:rsidRPr="000F4717">
        <w:rPr>
          <w:rFonts w:ascii="Century Schoolbook" w:hAnsi="Century Schoolbook"/>
          <w:i/>
          <w:sz w:val="20"/>
          <w:szCs w:val="20"/>
        </w:rPr>
        <w:t>id.</w:t>
      </w:r>
      <w:r w:rsidRPr="000F4717">
        <w:rPr>
          <w:rFonts w:ascii="Century Schoolbook" w:hAnsi="Century Schoolbook"/>
          <w:sz w:val="20"/>
          <w:szCs w:val="20"/>
        </w:rPr>
        <w:t xml:space="preserve"> (</w:t>
      </w:r>
      <w:proofErr w:type="gramStart"/>
      <w:r w:rsidRPr="000F4717">
        <w:rPr>
          <w:rFonts w:ascii="Century Schoolbook" w:hAnsi="Century Schoolbook"/>
          <w:sz w:val="20"/>
          <w:szCs w:val="20"/>
        </w:rPr>
        <w:t>requiring</w:t>
      </w:r>
      <w:proofErr w:type="gramEnd"/>
      <w:r w:rsidRPr="000F4717">
        <w:rPr>
          <w:rFonts w:ascii="Century Schoolbook" w:hAnsi="Century Schoolbook"/>
          <w:sz w:val="20"/>
          <w:szCs w:val="20"/>
        </w:rPr>
        <w:t xml:space="preserve"> the closure of a sheltered workshop program at a Providence High School, and requiring integrated employment services for those who had been served by that program).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42"/>
    <w:rsid w:val="00054284"/>
    <w:rsid w:val="00070AE8"/>
    <w:rsid w:val="00096EB2"/>
    <w:rsid w:val="000A220C"/>
    <w:rsid w:val="000B7BA2"/>
    <w:rsid w:val="000F4717"/>
    <w:rsid w:val="0014104F"/>
    <w:rsid w:val="00143EB1"/>
    <w:rsid w:val="001A2A6F"/>
    <w:rsid w:val="001E547C"/>
    <w:rsid w:val="00241219"/>
    <w:rsid w:val="002660BB"/>
    <w:rsid w:val="00267100"/>
    <w:rsid w:val="002746F2"/>
    <w:rsid w:val="002B695A"/>
    <w:rsid w:val="002E18CE"/>
    <w:rsid w:val="00340718"/>
    <w:rsid w:val="00346A24"/>
    <w:rsid w:val="003A75A2"/>
    <w:rsid w:val="003C07BA"/>
    <w:rsid w:val="00432C5D"/>
    <w:rsid w:val="00456DEC"/>
    <w:rsid w:val="004845E0"/>
    <w:rsid w:val="00493605"/>
    <w:rsid w:val="004B461C"/>
    <w:rsid w:val="004D0DF3"/>
    <w:rsid w:val="004F5FBB"/>
    <w:rsid w:val="005337AF"/>
    <w:rsid w:val="0054334B"/>
    <w:rsid w:val="005456C9"/>
    <w:rsid w:val="005B201E"/>
    <w:rsid w:val="005C1CA9"/>
    <w:rsid w:val="005C5345"/>
    <w:rsid w:val="005C6717"/>
    <w:rsid w:val="00607C12"/>
    <w:rsid w:val="006A2C73"/>
    <w:rsid w:val="006E7BFB"/>
    <w:rsid w:val="00783C15"/>
    <w:rsid w:val="007A77B7"/>
    <w:rsid w:val="007B46DB"/>
    <w:rsid w:val="007D1A01"/>
    <w:rsid w:val="008265DC"/>
    <w:rsid w:val="0083360B"/>
    <w:rsid w:val="00895E04"/>
    <w:rsid w:val="00897202"/>
    <w:rsid w:val="008D5564"/>
    <w:rsid w:val="00917B5A"/>
    <w:rsid w:val="009310FE"/>
    <w:rsid w:val="00940BC8"/>
    <w:rsid w:val="00984D56"/>
    <w:rsid w:val="009B2054"/>
    <w:rsid w:val="00A72642"/>
    <w:rsid w:val="00A72C4E"/>
    <w:rsid w:val="00B0680D"/>
    <w:rsid w:val="00B11BFB"/>
    <w:rsid w:val="00B22C00"/>
    <w:rsid w:val="00B50BD7"/>
    <w:rsid w:val="00B60ED0"/>
    <w:rsid w:val="00BC563D"/>
    <w:rsid w:val="00C02F16"/>
    <w:rsid w:val="00C242AB"/>
    <w:rsid w:val="00C54C59"/>
    <w:rsid w:val="00CF1A24"/>
    <w:rsid w:val="00D17A25"/>
    <w:rsid w:val="00D33E77"/>
    <w:rsid w:val="00D41EA5"/>
    <w:rsid w:val="00D71491"/>
    <w:rsid w:val="00DB2120"/>
    <w:rsid w:val="00DE68FD"/>
    <w:rsid w:val="00DF1C12"/>
    <w:rsid w:val="00E82714"/>
    <w:rsid w:val="00EA4A00"/>
    <w:rsid w:val="00EB2F30"/>
    <w:rsid w:val="00EB52D4"/>
    <w:rsid w:val="00EE2818"/>
    <w:rsid w:val="00EE641C"/>
    <w:rsid w:val="00EF39EC"/>
    <w:rsid w:val="00F067D9"/>
    <w:rsid w:val="00F077F2"/>
    <w:rsid w:val="00F67D06"/>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72642"/>
    <w:rPr>
      <w:rFonts w:ascii="Cambria" w:eastAsia="MS ??" w:hAnsi="Cambria" w:cs="Times New Roman"/>
    </w:rPr>
  </w:style>
  <w:style w:type="character" w:customStyle="1" w:styleId="FootnoteTextChar">
    <w:name w:val="Footnote Text Char"/>
    <w:basedOn w:val="DefaultParagraphFont"/>
    <w:link w:val="FootnoteText"/>
    <w:rsid w:val="00A72642"/>
    <w:rPr>
      <w:rFonts w:ascii="Cambria" w:eastAsia="MS ??" w:hAnsi="Cambria" w:cs="Times New Roman"/>
    </w:rPr>
  </w:style>
  <w:style w:type="character" w:styleId="FootnoteReference">
    <w:name w:val="footnote reference"/>
    <w:rsid w:val="00A72642"/>
    <w:rPr>
      <w:rFonts w:cs="Times New Roman"/>
      <w:vertAlign w:val="superscript"/>
    </w:rPr>
  </w:style>
  <w:style w:type="character" w:styleId="Hyperlink">
    <w:name w:val="Hyperlink"/>
    <w:basedOn w:val="DefaultParagraphFont"/>
    <w:uiPriority w:val="99"/>
    <w:unhideWhenUsed/>
    <w:rsid w:val="00897202"/>
    <w:rPr>
      <w:color w:val="0000FF" w:themeColor="hyperlink"/>
      <w:u w:val="single"/>
    </w:rPr>
  </w:style>
  <w:style w:type="paragraph" w:styleId="BalloonText">
    <w:name w:val="Balloon Text"/>
    <w:basedOn w:val="Normal"/>
    <w:link w:val="BalloonTextChar"/>
    <w:uiPriority w:val="99"/>
    <w:semiHidden/>
    <w:unhideWhenUsed/>
    <w:rsid w:val="00070A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AE8"/>
    <w:rPr>
      <w:rFonts w:ascii="Lucida Grande" w:hAnsi="Lucida Grande" w:cs="Lucida Grande"/>
      <w:sz w:val="18"/>
      <w:szCs w:val="18"/>
    </w:rPr>
  </w:style>
  <w:style w:type="paragraph" w:styleId="Footer">
    <w:name w:val="footer"/>
    <w:basedOn w:val="Normal"/>
    <w:link w:val="FooterChar"/>
    <w:uiPriority w:val="99"/>
    <w:unhideWhenUsed/>
    <w:rsid w:val="0083360B"/>
    <w:pPr>
      <w:tabs>
        <w:tab w:val="center" w:pos="4320"/>
        <w:tab w:val="right" w:pos="8640"/>
      </w:tabs>
    </w:pPr>
  </w:style>
  <w:style w:type="character" w:customStyle="1" w:styleId="FooterChar">
    <w:name w:val="Footer Char"/>
    <w:basedOn w:val="DefaultParagraphFont"/>
    <w:link w:val="Footer"/>
    <w:uiPriority w:val="99"/>
    <w:rsid w:val="0083360B"/>
  </w:style>
  <w:style w:type="character" w:styleId="PageNumber">
    <w:name w:val="page number"/>
    <w:basedOn w:val="DefaultParagraphFont"/>
    <w:uiPriority w:val="99"/>
    <w:semiHidden/>
    <w:unhideWhenUsed/>
    <w:rsid w:val="0083360B"/>
  </w:style>
  <w:style w:type="paragraph" w:styleId="ListParagraph">
    <w:name w:val="List Paragraph"/>
    <w:basedOn w:val="Normal"/>
    <w:uiPriority w:val="34"/>
    <w:qFormat/>
    <w:rsid w:val="005C1CA9"/>
    <w:pPr>
      <w:ind w:left="720"/>
      <w:contextualSpacing/>
    </w:pPr>
  </w:style>
  <w:style w:type="paragraph" w:styleId="Header">
    <w:name w:val="header"/>
    <w:basedOn w:val="Normal"/>
    <w:link w:val="HeaderChar"/>
    <w:uiPriority w:val="99"/>
    <w:unhideWhenUsed/>
    <w:rsid w:val="002746F2"/>
    <w:pPr>
      <w:tabs>
        <w:tab w:val="center" w:pos="4680"/>
        <w:tab w:val="right" w:pos="9360"/>
      </w:tabs>
    </w:pPr>
  </w:style>
  <w:style w:type="character" w:customStyle="1" w:styleId="HeaderChar">
    <w:name w:val="Header Char"/>
    <w:basedOn w:val="DefaultParagraphFont"/>
    <w:link w:val="Header"/>
    <w:uiPriority w:val="99"/>
    <w:rsid w:val="002746F2"/>
  </w:style>
  <w:style w:type="character" w:styleId="FollowedHyperlink">
    <w:name w:val="FollowedHyperlink"/>
    <w:basedOn w:val="DefaultParagraphFont"/>
    <w:uiPriority w:val="99"/>
    <w:semiHidden/>
    <w:unhideWhenUsed/>
    <w:rsid w:val="002E18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72642"/>
    <w:rPr>
      <w:rFonts w:ascii="Cambria" w:eastAsia="MS ??" w:hAnsi="Cambria" w:cs="Times New Roman"/>
    </w:rPr>
  </w:style>
  <w:style w:type="character" w:customStyle="1" w:styleId="FootnoteTextChar">
    <w:name w:val="Footnote Text Char"/>
    <w:basedOn w:val="DefaultParagraphFont"/>
    <w:link w:val="FootnoteText"/>
    <w:rsid w:val="00A72642"/>
    <w:rPr>
      <w:rFonts w:ascii="Cambria" w:eastAsia="MS ??" w:hAnsi="Cambria" w:cs="Times New Roman"/>
    </w:rPr>
  </w:style>
  <w:style w:type="character" w:styleId="FootnoteReference">
    <w:name w:val="footnote reference"/>
    <w:rsid w:val="00A72642"/>
    <w:rPr>
      <w:rFonts w:cs="Times New Roman"/>
      <w:vertAlign w:val="superscript"/>
    </w:rPr>
  </w:style>
  <w:style w:type="character" w:styleId="Hyperlink">
    <w:name w:val="Hyperlink"/>
    <w:basedOn w:val="DefaultParagraphFont"/>
    <w:uiPriority w:val="99"/>
    <w:unhideWhenUsed/>
    <w:rsid w:val="00897202"/>
    <w:rPr>
      <w:color w:val="0000FF" w:themeColor="hyperlink"/>
      <w:u w:val="single"/>
    </w:rPr>
  </w:style>
  <w:style w:type="paragraph" w:styleId="BalloonText">
    <w:name w:val="Balloon Text"/>
    <w:basedOn w:val="Normal"/>
    <w:link w:val="BalloonTextChar"/>
    <w:uiPriority w:val="99"/>
    <w:semiHidden/>
    <w:unhideWhenUsed/>
    <w:rsid w:val="00070A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AE8"/>
    <w:rPr>
      <w:rFonts w:ascii="Lucida Grande" w:hAnsi="Lucida Grande" w:cs="Lucida Grande"/>
      <w:sz w:val="18"/>
      <w:szCs w:val="18"/>
    </w:rPr>
  </w:style>
  <w:style w:type="paragraph" w:styleId="Footer">
    <w:name w:val="footer"/>
    <w:basedOn w:val="Normal"/>
    <w:link w:val="FooterChar"/>
    <w:uiPriority w:val="99"/>
    <w:unhideWhenUsed/>
    <w:rsid w:val="0083360B"/>
    <w:pPr>
      <w:tabs>
        <w:tab w:val="center" w:pos="4320"/>
        <w:tab w:val="right" w:pos="8640"/>
      </w:tabs>
    </w:pPr>
  </w:style>
  <w:style w:type="character" w:customStyle="1" w:styleId="FooterChar">
    <w:name w:val="Footer Char"/>
    <w:basedOn w:val="DefaultParagraphFont"/>
    <w:link w:val="Footer"/>
    <w:uiPriority w:val="99"/>
    <w:rsid w:val="0083360B"/>
  </w:style>
  <w:style w:type="character" w:styleId="PageNumber">
    <w:name w:val="page number"/>
    <w:basedOn w:val="DefaultParagraphFont"/>
    <w:uiPriority w:val="99"/>
    <w:semiHidden/>
    <w:unhideWhenUsed/>
    <w:rsid w:val="0083360B"/>
  </w:style>
  <w:style w:type="paragraph" w:styleId="ListParagraph">
    <w:name w:val="List Paragraph"/>
    <w:basedOn w:val="Normal"/>
    <w:uiPriority w:val="34"/>
    <w:qFormat/>
    <w:rsid w:val="005C1CA9"/>
    <w:pPr>
      <w:ind w:left="720"/>
      <w:contextualSpacing/>
    </w:pPr>
  </w:style>
  <w:style w:type="paragraph" w:styleId="Header">
    <w:name w:val="header"/>
    <w:basedOn w:val="Normal"/>
    <w:link w:val="HeaderChar"/>
    <w:uiPriority w:val="99"/>
    <w:unhideWhenUsed/>
    <w:rsid w:val="002746F2"/>
    <w:pPr>
      <w:tabs>
        <w:tab w:val="center" w:pos="4680"/>
        <w:tab w:val="right" w:pos="9360"/>
      </w:tabs>
    </w:pPr>
  </w:style>
  <w:style w:type="character" w:customStyle="1" w:styleId="HeaderChar">
    <w:name w:val="Header Char"/>
    <w:basedOn w:val="DefaultParagraphFont"/>
    <w:link w:val="Header"/>
    <w:uiPriority w:val="99"/>
    <w:rsid w:val="002746F2"/>
  </w:style>
  <w:style w:type="character" w:styleId="FollowedHyperlink">
    <w:name w:val="FollowedHyperlink"/>
    <w:basedOn w:val="DefaultParagraphFont"/>
    <w:uiPriority w:val="99"/>
    <w:semiHidden/>
    <w:unhideWhenUsed/>
    <w:rsid w:val="002E18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da.gov/olmstead/q&amp;a_olmstead.htm" TargetMode="External"/><Relationship Id="rId1" Type="http://schemas.openxmlformats.org/officeDocument/2006/relationships/hyperlink" Target="http://www.disabilityscoop.com/2013/07/30/subminimum-wage-divides/18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5222-985F-447E-8F81-F43A781C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2326</Words>
  <Characters>13260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Bagenstos</dc:creator>
  <cp:lastModifiedBy>Anil Lewis</cp:lastModifiedBy>
  <cp:revision>2</cp:revision>
  <dcterms:created xsi:type="dcterms:W3CDTF">2013-08-15T18:09:00Z</dcterms:created>
  <dcterms:modified xsi:type="dcterms:W3CDTF">2013-08-15T18:09:00Z</dcterms:modified>
</cp:coreProperties>
</file>