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NFB of PA Jigsaw chapter meeting minutes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Live from NFB PA 2023 state convention Harrisburg, PA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November 10, 2023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Members President: Brian Mackey, Tom Brown, Preston Gaylor, Katheryn Clagg, Chris Westbrook,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David Miller and guests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Meeting began 3:00 PM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We did not have any elections due to tech difficulties with zoom, but we did discuss what the Jigsaw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chapter is, and how people who may join  if interested.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Next meeting will be on December 1st, 2023 at 10:00 AM.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Respectfully Submitted,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Preston Gaylor, Jigsaw chapter Secretary.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/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86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</cp:coreProperties>
</file>