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Helvetica" w:cs="Helvetica" w:hAnsi="Helvetica" w:eastAsia="Helvetica"/>
          <w:sz w:val="29"/>
          <w:szCs w:val="29"/>
        </w:rPr>
      </w:pPr>
      <w:r>
        <w:rPr>
          <w:rFonts w:ascii="Helvetica" w:hAnsi="Helvetica"/>
          <w:sz w:val="29"/>
          <w:szCs w:val="29"/>
          <w:rtl w:val="0"/>
          <w:lang w:val="en-US"/>
        </w:rPr>
        <w:t xml:space="preserve">Amendment to HB 1852: </w:t>
      </w:r>
    </w:p>
    <w:p>
      <w:pPr>
        <w:pStyle w:val="Default"/>
        <w:spacing w:before="0" w:line="240" w:lineRule="auto"/>
        <w:jc w:val="center"/>
        <w:rPr>
          <w:rFonts w:ascii="Helvetica" w:cs="Helvetica" w:hAnsi="Helvetica" w:eastAsia="Helvetica"/>
          <w:sz w:val="29"/>
          <w:szCs w:val="29"/>
        </w:rPr>
      </w:pPr>
      <w:r>
        <w:rPr>
          <w:rFonts w:ascii="Helvetica" w:hAnsi="Helvetica"/>
          <w:sz w:val="29"/>
          <w:szCs w:val="29"/>
          <w:rtl w:val="0"/>
          <w:lang w:val="en-US"/>
        </w:rPr>
        <w:t xml:space="preserve">Accessible Prescription Labels </w:t>
      </w:r>
    </w:p>
    <w:p>
      <w:pPr>
        <w:pStyle w:val="Default"/>
        <w:spacing w:before="0" w:line="240" w:lineRule="auto"/>
        <w:rPr>
          <w:rFonts w:ascii="Helvetica" w:cs="Helvetica" w:hAnsi="Helvetica" w:eastAsia="Helvetica"/>
          <w:sz w:val="29"/>
          <w:szCs w:val="29"/>
        </w:rPr>
      </w:pP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(1) A pharmacy shall notify each person to whom a prescription drug is dispensed that an accessible prescription label is available in languages referenced in this bill to the person upon request at no additional cost.</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 xml:space="preserve"> </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(2) If one of the categories of people referenced in Section 1 of this bill  informs the pharmacy that the prescription is intended for someone who is blind, low vision or otherwise print disabled the pharmacy shall provide to the person an accessible prescription label affixed to the container that is:</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(a) Available to the person in a timely manner comparable to other patient wait time and lasting for at least the duration of the prescription; and</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(b) Appropriate to the disability and language preference of the person making the request through use of audible, large print, or Braille labels; and</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(c) Conforms to the Format-Specific Best Practices for Prescription Drug Container Labels issued by the U. S. Access Board pursuant to section 904 of the Food and Drug Administration Safety and Innovation Act; and</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(d) Contains all the label information required by state statute and federal law, including cautions and warnings, and any information available to sighted individuals reading the printed label.</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 xml:space="preserve"> </w:t>
      </w:r>
    </w:p>
    <w:p>
      <w:pPr>
        <w:pStyle w:val="Default"/>
        <w:spacing w:before="0" w:line="240" w:lineRule="auto"/>
        <w:rPr>
          <w:rFonts w:ascii="Helvetica" w:cs="Helvetica" w:hAnsi="Helvetica" w:eastAsia="Helvetica"/>
          <w:sz w:val="29"/>
          <w:szCs w:val="29"/>
        </w:rPr>
      </w:pPr>
      <w:r>
        <w:rPr>
          <w:rFonts w:ascii="Helvetica" w:hAnsi="Helvetica"/>
          <w:sz w:val="29"/>
          <w:szCs w:val="29"/>
          <w:rtl w:val="0"/>
          <w:lang w:val="en-US"/>
        </w:rPr>
        <w:t>(3) Access to audible labels shall be provided either through an online app, through means affixed to the prescription container, or if the customer has no access to needed technology, through a stand-alone reader provided free of charge. A pharmacy shall ensure that the prescription label is compatible with the prescription reader if a reader is provided.</w:t>
      </w:r>
    </w:p>
    <w:p>
      <w:pPr>
        <w:pStyle w:val="Default"/>
        <w:spacing w:before="0" w:line="240" w:lineRule="auto"/>
        <w:rPr>
          <w:rFonts w:ascii="Helvetica" w:cs="Helvetica" w:hAnsi="Helvetica" w:eastAsia="Helvetica"/>
          <w:sz w:val="29"/>
          <w:szCs w:val="29"/>
        </w:rPr>
      </w:pPr>
    </w:p>
    <w:p>
      <w:pPr>
        <w:pStyle w:val="Default"/>
        <w:spacing w:before="0" w:line="240" w:lineRule="auto"/>
        <w:rPr>
          <w:rFonts w:ascii="Helvetica" w:cs="Helvetica" w:hAnsi="Helvetica" w:eastAsia="Helvetica"/>
          <w:sz w:val="29"/>
          <w:szCs w:val="29"/>
        </w:rPr>
      </w:pPr>
      <w:r>
        <w:rPr>
          <w:rFonts w:ascii="Arial" w:hAnsi="Arial"/>
          <w:sz w:val="32"/>
          <w:szCs w:val="32"/>
          <w:rtl w:val="0"/>
          <w:lang w:val="en-US"/>
        </w:rPr>
        <w:t xml:space="preserve"> </w:t>
      </w:r>
    </w:p>
    <w:p>
      <w:pPr>
        <w:pStyle w:val="Default"/>
        <w:spacing w:before="0" w:line="240" w:lineRule="auto"/>
        <w:rPr>
          <w:rFonts w:ascii="Helvetica" w:cs="Helvetica" w:hAnsi="Helvetica" w:eastAsia="Helvetica"/>
          <w:outline w:val="0"/>
          <w:color w:val="2e74b5"/>
          <w:sz w:val="43"/>
          <w:szCs w:val="43"/>
          <w:u w:color="2e74b5"/>
          <w14:textFill>
            <w14:solidFill>
              <w14:srgbClr w14:val="2E74B5"/>
            </w14:solidFill>
          </w14:textFill>
        </w:rPr>
      </w:pPr>
      <w:r>
        <w:rPr>
          <w:rFonts w:ascii="Helvetica" w:hAnsi="Helvetica"/>
          <w:outline w:val="0"/>
          <w:color w:val="2e74b5"/>
          <w:sz w:val="43"/>
          <w:szCs w:val="43"/>
          <w:u w:color="2e74b5"/>
          <w:rtl w:val="0"/>
          <w:lang w:val="en-US"/>
          <w14:textFill>
            <w14:solidFill>
              <w14:srgbClr w14:val="2E74B5"/>
            </w14:solidFill>
          </w14:textFill>
        </w:rPr>
        <w:t>Definitions</w:t>
      </w:r>
    </w:p>
    <w:p>
      <w:pPr>
        <w:pStyle w:val="Default"/>
        <w:spacing w:before="0" w:line="240" w:lineRule="auto"/>
      </w:pPr>
      <w:r>
        <w:rPr>
          <w:rFonts w:ascii="Helvetica" w:hAnsi="Helvetica"/>
          <w:sz w:val="29"/>
          <w:szCs w:val="29"/>
          <w:rtl w:val="0"/>
          <w:lang w:val="en-US"/>
        </w:rPr>
        <w:t xml:space="preserve">(1) </w:t>
      </w:r>
      <w:r>
        <w:rPr>
          <w:rFonts w:ascii="Arial Unicode MS" w:hAnsi="Arial Unicode MS" w:hint="default"/>
          <w:sz w:val="29"/>
          <w:szCs w:val="29"/>
          <w:rtl w:val="1"/>
          <w:lang w:val="ar-SA" w:bidi="ar-SA"/>
        </w:rPr>
        <w:t>“</w:t>
      </w:r>
      <w:r>
        <w:rPr>
          <w:rFonts w:ascii="Helvetica" w:hAnsi="Helvetica"/>
          <w:sz w:val="29"/>
          <w:szCs w:val="29"/>
          <w:rtl w:val="0"/>
          <w:lang w:val="en-US"/>
        </w:rPr>
        <w:t>Prescription reader</w:t>
      </w:r>
      <w:r>
        <w:rPr>
          <w:rFonts w:ascii="Helvetica" w:hAnsi="Helvetica" w:hint="default"/>
          <w:sz w:val="29"/>
          <w:szCs w:val="29"/>
          <w:rtl w:val="0"/>
          <w:lang w:val="en-US"/>
        </w:rPr>
        <w:t xml:space="preserve">” </w:t>
      </w:r>
      <w:r>
        <w:rPr>
          <w:rFonts w:ascii="Helvetica" w:hAnsi="Helvetica"/>
          <w:sz w:val="29"/>
          <w:szCs w:val="29"/>
          <w:rtl w:val="0"/>
          <w:lang w:val="en-US"/>
        </w:rPr>
        <w:t>means a device that is designed to audibly convey the information contained on the label of a prescription drug.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