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F03F8" w:rsidRPr="004F03F8" w:rsidP="004F03F8">
      <w:pPr>
        <w:widowControl w:val="0"/>
        <w:tabs>
          <w:tab w:val="left" w:pos="-720"/>
        </w:tabs>
        <w:suppressAutoHyphens/>
        <w:rPr>
          <w:rFonts w:ascii="Arial" w:hAnsi="Arial" w:cs="Arial"/>
        </w:rPr>
      </w:pPr>
      <w:bookmarkStart w:id="0" w:name="_GoBack"/>
      <w:bookmarkEnd w:id="0"/>
      <w:r>
        <w:rPr>
          <w:rFonts w:ascii="Arial" w:hAnsi="Arial" w:cs="Arial"/>
          <w:b/>
        </w:rPr>
        <w:t>To</w:t>
      </w:r>
      <w:r w:rsidRPr="004F03F8">
        <w:rPr>
          <w:rFonts w:ascii="Arial" w:hAnsi="Arial" w:cs="Arial"/>
          <w:b/>
        </w:rPr>
        <w:t>:</w:t>
      </w:r>
      <w:r w:rsidRPr="004F03F8">
        <w:rPr>
          <w:rFonts w:ascii="Arial" w:hAnsi="Arial" w:cs="Arial"/>
        </w:rPr>
        <w:tab/>
      </w:r>
      <w:r w:rsidR="008C0400">
        <w:rPr>
          <w:rFonts w:ascii="Arial" w:hAnsi="Arial" w:cs="Arial"/>
        </w:rPr>
        <w:tab/>
      </w:r>
      <w:r w:rsidR="00C17288">
        <w:rPr>
          <w:rFonts w:ascii="Arial" w:hAnsi="Arial" w:cs="Arial"/>
        </w:rPr>
        <w:t xml:space="preserve">Virginia House </w:t>
      </w:r>
      <w:r w:rsidR="00CB5B11">
        <w:rPr>
          <w:rFonts w:ascii="Arial" w:hAnsi="Arial" w:cs="Arial"/>
        </w:rPr>
        <w:t>Courts of Justice Committee</w:t>
      </w:r>
    </w:p>
    <w:p w:rsidR="004F03F8" w:rsidRPr="004F03F8" w:rsidP="004F03F8">
      <w:pPr>
        <w:widowControl w:val="0"/>
        <w:tabs>
          <w:tab w:val="left" w:pos="-720"/>
        </w:tabs>
        <w:suppressAutoHyphens/>
        <w:rPr>
          <w:rFonts w:ascii="Arial" w:hAnsi="Arial" w:cs="Arial"/>
        </w:rPr>
      </w:pPr>
      <w:r w:rsidRPr="004F03F8">
        <w:rPr>
          <w:rFonts w:ascii="Arial" w:hAnsi="Arial" w:cs="Arial"/>
          <w:b/>
        </w:rPr>
        <w:t>From:</w:t>
      </w:r>
      <w:r w:rsidR="00C17288">
        <w:rPr>
          <w:rFonts w:ascii="Arial" w:hAnsi="Arial" w:cs="Arial"/>
        </w:rPr>
        <w:tab/>
      </w:r>
      <w:r w:rsidR="00F21FB9">
        <w:rPr>
          <w:rFonts w:ascii="Arial" w:hAnsi="Arial" w:cs="Arial"/>
        </w:rPr>
        <w:t>T</w:t>
      </w:r>
      <w:r w:rsidR="00C17288">
        <w:rPr>
          <w:rFonts w:ascii="Arial" w:hAnsi="Arial" w:cs="Arial"/>
        </w:rPr>
        <w:t>he National Federation of the Blind of Virginia</w:t>
      </w:r>
    </w:p>
    <w:p w:rsidR="004F03F8" w:rsidRPr="004F03F8" w:rsidP="004F03F8">
      <w:pPr>
        <w:widowControl w:val="0"/>
        <w:tabs>
          <w:tab w:val="left" w:pos="-720"/>
        </w:tabs>
        <w:suppressAutoHyphens/>
        <w:rPr>
          <w:rFonts w:ascii="Arial" w:hAnsi="Arial" w:cs="Arial"/>
        </w:rPr>
      </w:pPr>
      <w:r w:rsidRPr="0047479D">
        <w:rPr>
          <w:rFonts w:ascii="Arial" w:hAnsi="Arial" w:cs="Arial"/>
          <w:b/>
        </w:rPr>
        <w:t>Date:</w:t>
      </w:r>
      <w:r w:rsidRPr="004F03F8">
        <w:rPr>
          <w:rFonts w:ascii="Arial" w:hAnsi="Arial" w:cs="Arial"/>
        </w:rPr>
        <w:tab/>
      </w:r>
      <w:r w:rsidRPr="004F03F8">
        <w:rPr>
          <w:rFonts w:ascii="Arial" w:hAnsi="Arial" w:cs="Arial"/>
        </w:rPr>
        <w:tab/>
      </w:r>
      <w:r w:rsidR="00CB5B11">
        <w:rPr>
          <w:rFonts w:ascii="Arial" w:hAnsi="Arial" w:cs="Arial"/>
        </w:rPr>
        <w:t>February</w:t>
      </w:r>
      <w:r w:rsidR="008B0216">
        <w:rPr>
          <w:rFonts w:ascii="Arial" w:hAnsi="Arial" w:cs="Arial"/>
        </w:rPr>
        <w:t xml:space="preserve"> </w:t>
      </w:r>
      <w:r w:rsidR="00C17288">
        <w:rPr>
          <w:rFonts w:ascii="Arial" w:hAnsi="Arial" w:cs="Arial"/>
        </w:rPr>
        <w:t>2, 2017</w:t>
      </w:r>
    </w:p>
    <w:p w:rsidR="004F03F8" w:rsidRPr="0023526C" w:rsidP="004F03F8">
      <w:pPr>
        <w:rPr>
          <w:rFonts w:ascii="Arial" w:hAnsi="Arial" w:cs="Arial"/>
        </w:rPr>
      </w:pPr>
      <w:r w:rsidRPr="004F03F8">
        <w:rPr>
          <w:rFonts w:ascii="Arial" w:hAnsi="Arial" w:cs="Arial"/>
          <w:b/>
        </w:rPr>
        <w:t>Re:</w:t>
      </w:r>
      <w:r w:rsidRPr="004F03F8">
        <w:rPr>
          <w:rFonts w:ascii="Arial" w:hAnsi="Arial" w:cs="Arial"/>
        </w:rPr>
        <w:tab/>
      </w:r>
      <w:r w:rsidRPr="004F03F8">
        <w:rPr>
          <w:rFonts w:ascii="Arial" w:hAnsi="Arial" w:cs="Arial"/>
        </w:rPr>
        <w:tab/>
      </w:r>
      <w:r w:rsidR="00C17288">
        <w:rPr>
          <w:rFonts w:ascii="Arial" w:hAnsi="Arial" w:cs="Arial"/>
        </w:rPr>
        <w:t>HB 2273 / SB 1199</w:t>
      </w:r>
      <w:r w:rsidR="0023526C">
        <w:rPr>
          <w:rFonts w:ascii="Arial" w:hAnsi="Arial" w:cs="Arial"/>
        </w:rPr>
        <w:t>;</w:t>
      </w:r>
      <w:r w:rsidR="002F637A">
        <w:rPr>
          <w:rFonts w:ascii="Arial" w:hAnsi="Arial" w:cs="Arial"/>
        </w:rPr>
        <w:t xml:space="preserve"> Objections Raised by the Virginia Family Law Co</w:t>
      </w:r>
      <w:r w:rsidR="00CB5B11">
        <w:rPr>
          <w:rFonts w:ascii="Arial" w:hAnsi="Arial" w:cs="Arial"/>
        </w:rPr>
        <w:t>alition</w:t>
      </w:r>
      <w:r w:rsidR="002F637A">
        <w:rPr>
          <w:rFonts w:ascii="Arial" w:hAnsi="Arial" w:cs="Arial"/>
        </w:rPr>
        <w:t xml:space="preserve">. </w:t>
      </w:r>
    </w:p>
    <w:p w:rsidR="004F03F8" w:rsidRPr="004F03F8" w:rsidP="004F03F8">
      <w:pPr>
        <w:rPr>
          <w:rFonts w:ascii="Arial" w:hAnsi="Arial" w:eastAsiaTheme="minorHAnsi" w:cs="Arial"/>
          <w:sz w:val="24"/>
        </w:rPr>
      </w:pPr>
    </w:p>
    <w:p w:rsidR="0047479D" w:rsidP="004F03F8">
      <w:pPr>
        <w:numPr>
          <w:ilvl w:val="0"/>
          <w:numId w:val="1"/>
        </w:numPr>
        <w:ind w:left="0" w:firstLine="0"/>
        <w:contextualSpacing/>
        <w:rPr>
          <w:rFonts w:ascii="Arial" w:hAnsi="Arial" w:eastAsiaTheme="minorHAnsi" w:cs="Arial"/>
          <w:b/>
          <w:sz w:val="24"/>
        </w:rPr>
      </w:pPr>
      <w:r>
        <w:rPr>
          <w:rFonts w:ascii="Arial" w:hAnsi="Arial" w:eastAsiaTheme="minorHAnsi" w:cs="Arial"/>
          <w:b/>
          <w:sz w:val="24"/>
        </w:rPr>
        <w:t>Introduction</w:t>
      </w:r>
    </w:p>
    <w:p w:rsidR="0047479D" w:rsidP="0047479D">
      <w:pPr>
        <w:contextualSpacing/>
        <w:rPr>
          <w:rFonts w:ascii="Arial" w:hAnsi="Arial" w:eastAsiaTheme="minorHAnsi" w:cs="Arial"/>
          <w:b/>
          <w:sz w:val="24"/>
        </w:rPr>
      </w:pPr>
    </w:p>
    <w:p w:rsidR="00F22DA2" w:rsidP="0047479D">
      <w:pPr>
        <w:contextualSpacing/>
        <w:rPr>
          <w:rFonts w:ascii="Arial" w:hAnsi="Arial" w:eastAsiaTheme="minorHAnsi" w:cs="Arial"/>
          <w:sz w:val="24"/>
        </w:rPr>
      </w:pPr>
      <w:r>
        <w:rPr>
          <w:rFonts w:ascii="Arial" w:hAnsi="Arial" w:eastAsiaTheme="minorHAnsi" w:cs="Arial"/>
          <w:sz w:val="24"/>
        </w:rPr>
        <w:t xml:space="preserve">At </w:t>
      </w:r>
      <w:r w:rsidR="00FB24D4">
        <w:rPr>
          <w:rFonts w:ascii="Arial" w:hAnsi="Arial" w:eastAsiaTheme="minorHAnsi" w:cs="Arial"/>
          <w:sz w:val="24"/>
        </w:rPr>
        <w:t xml:space="preserve">the House </w:t>
      </w:r>
      <w:r>
        <w:rPr>
          <w:rFonts w:ascii="Arial" w:hAnsi="Arial" w:eastAsiaTheme="minorHAnsi" w:cs="Arial"/>
          <w:sz w:val="24"/>
        </w:rPr>
        <w:t>Civil Law</w:t>
      </w:r>
      <w:r w:rsidR="00C17288">
        <w:rPr>
          <w:rFonts w:ascii="Arial" w:hAnsi="Arial" w:eastAsiaTheme="minorHAnsi" w:cs="Arial"/>
          <w:sz w:val="24"/>
        </w:rPr>
        <w:t xml:space="preserve"> subcommittee hearing on Wednesday, January 18, the </w:t>
      </w:r>
      <w:r w:rsidR="00A645E3">
        <w:rPr>
          <w:rFonts w:ascii="Arial" w:hAnsi="Arial" w:eastAsiaTheme="minorHAnsi" w:cs="Arial"/>
          <w:sz w:val="24"/>
        </w:rPr>
        <w:t xml:space="preserve">Virginia Bar Association </w:t>
      </w:r>
      <w:r>
        <w:rPr>
          <w:rFonts w:ascii="Arial" w:hAnsi="Arial" w:eastAsiaTheme="minorHAnsi" w:cs="Arial"/>
          <w:sz w:val="24"/>
        </w:rPr>
        <w:t xml:space="preserve">Virginia </w:t>
      </w:r>
      <w:r w:rsidR="00FB24D4">
        <w:rPr>
          <w:rFonts w:ascii="Arial" w:hAnsi="Arial" w:eastAsiaTheme="minorHAnsi" w:cs="Arial"/>
          <w:sz w:val="24"/>
        </w:rPr>
        <w:t>Family Law Co</w:t>
      </w:r>
      <w:r w:rsidR="00CB5B11">
        <w:rPr>
          <w:rFonts w:ascii="Arial" w:hAnsi="Arial" w:eastAsiaTheme="minorHAnsi" w:cs="Arial"/>
          <w:sz w:val="24"/>
        </w:rPr>
        <w:t xml:space="preserve">alition, </w:t>
      </w:r>
      <w:r w:rsidR="00FB24D4">
        <w:rPr>
          <w:rFonts w:ascii="Arial" w:hAnsi="Arial" w:eastAsiaTheme="minorHAnsi" w:cs="Arial"/>
          <w:sz w:val="24"/>
        </w:rPr>
        <w:t xml:space="preserve"> </w:t>
      </w:r>
      <w:r w:rsidR="009E1341">
        <w:rPr>
          <w:rFonts w:ascii="Arial" w:hAnsi="Arial" w:eastAsiaTheme="minorHAnsi" w:cs="Arial"/>
          <w:sz w:val="24"/>
        </w:rPr>
        <w:t xml:space="preserve">while experts on </w:t>
      </w:r>
      <w:r w:rsidR="00CB5B11">
        <w:rPr>
          <w:rFonts w:ascii="Arial" w:hAnsi="Arial" w:eastAsiaTheme="minorHAnsi" w:cs="Arial"/>
          <w:sz w:val="24"/>
        </w:rPr>
        <w:t xml:space="preserve">Virginia </w:t>
      </w:r>
      <w:r w:rsidR="009E1341">
        <w:rPr>
          <w:rFonts w:ascii="Arial" w:hAnsi="Arial" w:eastAsiaTheme="minorHAnsi" w:cs="Arial"/>
          <w:sz w:val="24"/>
        </w:rPr>
        <w:t xml:space="preserve">family law, </w:t>
      </w:r>
      <w:r w:rsidR="00FB24D4">
        <w:rPr>
          <w:rFonts w:ascii="Arial" w:hAnsi="Arial" w:eastAsiaTheme="minorHAnsi" w:cs="Arial"/>
          <w:sz w:val="24"/>
        </w:rPr>
        <w:t xml:space="preserve">made </w:t>
      </w:r>
      <w:r w:rsidR="0042335C">
        <w:rPr>
          <w:rFonts w:ascii="Arial" w:hAnsi="Arial" w:eastAsiaTheme="minorHAnsi" w:cs="Arial"/>
          <w:sz w:val="24"/>
        </w:rPr>
        <w:t>four</w:t>
      </w:r>
      <w:r w:rsidR="00FB24D4">
        <w:rPr>
          <w:rFonts w:ascii="Arial" w:hAnsi="Arial" w:eastAsiaTheme="minorHAnsi" w:cs="Arial"/>
          <w:sz w:val="24"/>
        </w:rPr>
        <w:t xml:space="preserve"> claims about HB 2273 / SB 1199</w:t>
      </w:r>
      <w:r w:rsidR="00A645E3">
        <w:rPr>
          <w:rFonts w:ascii="Arial" w:hAnsi="Arial" w:eastAsiaTheme="minorHAnsi" w:cs="Arial"/>
          <w:sz w:val="24"/>
        </w:rPr>
        <w:t xml:space="preserve"> </w:t>
      </w:r>
      <w:r w:rsidR="009E1341">
        <w:rPr>
          <w:rFonts w:ascii="Arial" w:hAnsi="Arial" w:eastAsiaTheme="minorHAnsi" w:cs="Arial"/>
          <w:sz w:val="24"/>
        </w:rPr>
        <w:t xml:space="preserve">relating to disability law </w:t>
      </w:r>
      <w:r w:rsidR="00A645E3">
        <w:rPr>
          <w:rFonts w:ascii="Arial" w:hAnsi="Arial" w:eastAsiaTheme="minorHAnsi" w:cs="Arial"/>
          <w:sz w:val="24"/>
        </w:rPr>
        <w:t>unsupported by law or fact</w:t>
      </w:r>
      <w:r w:rsidR="00690961">
        <w:rPr>
          <w:rFonts w:ascii="Arial" w:hAnsi="Arial" w:eastAsiaTheme="minorHAnsi" w:cs="Arial"/>
          <w:sz w:val="24"/>
        </w:rPr>
        <w:t xml:space="preserve"> that led to HB 2273 being tabled</w:t>
      </w:r>
      <w:r w:rsidR="00FB24D4">
        <w:rPr>
          <w:rFonts w:ascii="Arial" w:hAnsi="Arial" w:eastAsiaTheme="minorHAnsi" w:cs="Arial"/>
          <w:sz w:val="24"/>
        </w:rPr>
        <w:t xml:space="preserve">.  </w:t>
      </w:r>
      <w:r w:rsidR="00CB5B11">
        <w:rPr>
          <w:rFonts w:ascii="Arial" w:hAnsi="Arial" w:eastAsiaTheme="minorHAnsi" w:cs="Arial"/>
          <w:sz w:val="24"/>
        </w:rPr>
        <w:t xml:space="preserve">After the subcommittee hearing, we reached out to head of the Family Law Coalition and discussed our objections to their statements. During the Senate Courts </w:t>
      </w:r>
      <w:r w:rsidR="00F04EDF">
        <w:rPr>
          <w:rFonts w:ascii="Arial" w:hAnsi="Arial" w:eastAsiaTheme="minorHAnsi" w:cs="Arial"/>
          <w:sz w:val="24"/>
        </w:rPr>
        <w:t xml:space="preserve">of Justice </w:t>
      </w:r>
      <w:r w:rsidR="00CB5B11">
        <w:rPr>
          <w:rFonts w:ascii="Arial" w:hAnsi="Arial" w:eastAsiaTheme="minorHAnsi" w:cs="Arial"/>
          <w:sz w:val="24"/>
        </w:rPr>
        <w:t>Co</w:t>
      </w:r>
      <w:r w:rsidR="00F04EDF">
        <w:rPr>
          <w:rFonts w:ascii="Arial" w:hAnsi="Arial" w:eastAsiaTheme="minorHAnsi" w:cs="Arial"/>
          <w:sz w:val="24"/>
        </w:rPr>
        <w:t>mmittee hearing on February 2, 2013</w:t>
      </w:r>
      <w:r>
        <w:rPr>
          <w:rFonts w:ascii="Arial" w:hAnsi="Arial" w:eastAsiaTheme="minorHAnsi" w:cs="Arial"/>
          <w:sz w:val="24"/>
        </w:rPr>
        <w:t xml:space="preserve">, they were not present.  We are uncertain as to whether we have convinced them of our point of view or whether they maintain their initial objections.  Therefore, we wanted to briefly discuss each point and provide our point of view.  </w:t>
      </w:r>
    </w:p>
    <w:p w:rsidR="00F22DA2" w:rsidP="0047479D">
      <w:pPr>
        <w:contextualSpacing/>
        <w:rPr>
          <w:rFonts w:ascii="Arial" w:hAnsi="Arial" w:eastAsiaTheme="minorHAnsi" w:cs="Arial"/>
          <w:sz w:val="24"/>
        </w:rPr>
      </w:pPr>
    </w:p>
    <w:p w:rsidR="00FB24D4" w:rsidP="0047479D">
      <w:pPr>
        <w:contextualSpacing/>
        <w:rPr>
          <w:rFonts w:ascii="Arial" w:hAnsi="Arial" w:eastAsiaTheme="minorHAnsi" w:cs="Arial"/>
          <w:sz w:val="24"/>
        </w:rPr>
      </w:pPr>
      <w:r>
        <w:rPr>
          <w:rFonts w:ascii="Arial" w:hAnsi="Arial" w:eastAsiaTheme="minorHAnsi" w:cs="Arial"/>
          <w:sz w:val="24"/>
        </w:rPr>
        <w:t xml:space="preserve">First, they claimed that the Americans with Disabilities Act (ADA) already provides substantive protections to parents with disabilities.  </w:t>
      </w:r>
      <w:r w:rsidR="00A645E3">
        <w:rPr>
          <w:rFonts w:ascii="Arial" w:hAnsi="Arial" w:eastAsiaTheme="minorHAnsi" w:cs="Arial"/>
          <w:sz w:val="24"/>
        </w:rPr>
        <w:t>However, numerous court opinions make it clear that the ADA does not provide substantive rights to parents with disabilities but merely ensures accessible court proceedings</w:t>
      </w:r>
      <w:r w:rsidR="002F637A">
        <w:rPr>
          <w:rFonts w:ascii="Arial" w:hAnsi="Arial" w:eastAsiaTheme="minorHAnsi" w:cs="Arial"/>
          <w:sz w:val="24"/>
        </w:rPr>
        <w:t>.</w:t>
      </w:r>
      <w:r w:rsidR="00A645E3">
        <w:rPr>
          <w:rFonts w:ascii="Arial" w:hAnsi="Arial" w:eastAsiaTheme="minorHAnsi" w:cs="Arial"/>
          <w:sz w:val="24"/>
        </w:rPr>
        <w:t xml:space="preserve"> </w:t>
      </w:r>
      <w:r>
        <w:rPr>
          <w:rFonts w:ascii="Arial" w:hAnsi="Arial" w:eastAsiaTheme="minorHAnsi" w:cs="Arial"/>
          <w:sz w:val="24"/>
        </w:rPr>
        <w:t>Second, they claimed that parents with disabilities do not face heightened removal rates of children.</w:t>
      </w:r>
      <w:r w:rsidR="00A645E3">
        <w:rPr>
          <w:rFonts w:ascii="Arial" w:hAnsi="Arial" w:eastAsiaTheme="minorHAnsi" w:cs="Arial"/>
          <w:sz w:val="24"/>
        </w:rPr>
        <w:t xml:space="preserve">  However, the </w:t>
      </w:r>
      <w:r w:rsidR="009653EF">
        <w:rPr>
          <w:rFonts w:ascii="Arial" w:hAnsi="Arial" w:eastAsiaTheme="minorHAnsi" w:cs="Arial"/>
          <w:sz w:val="24"/>
        </w:rPr>
        <w:t>Civil Rights Division</w:t>
      </w:r>
      <w:r w:rsidR="00A645E3">
        <w:rPr>
          <w:rFonts w:ascii="Arial" w:hAnsi="Arial" w:eastAsiaTheme="minorHAnsi" w:cs="Arial"/>
          <w:sz w:val="24"/>
        </w:rPr>
        <w:t xml:space="preserve"> of the Department of Justice (</w:t>
      </w:r>
      <w:r w:rsidR="009653EF">
        <w:rPr>
          <w:rFonts w:ascii="Arial" w:hAnsi="Arial" w:eastAsiaTheme="minorHAnsi" w:cs="Arial"/>
          <w:sz w:val="24"/>
        </w:rPr>
        <w:t>DOJ</w:t>
      </w:r>
      <w:r w:rsidR="00A645E3">
        <w:rPr>
          <w:rFonts w:ascii="Arial" w:hAnsi="Arial" w:eastAsiaTheme="minorHAnsi" w:cs="Arial"/>
          <w:sz w:val="24"/>
        </w:rPr>
        <w:t xml:space="preserve">) and the </w:t>
      </w:r>
      <w:r w:rsidR="00F22DA2">
        <w:rPr>
          <w:rFonts w:ascii="Arial" w:hAnsi="Arial" w:eastAsiaTheme="minorHAnsi" w:cs="Arial"/>
          <w:sz w:val="24"/>
        </w:rPr>
        <w:t>American Bar Association (</w:t>
      </w:r>
      <w:r w:rsidR="009653EF">
        <w:rPr>
          <w:rFonts w:ascii="Arial" w:hAnsi="Arial" w:eastAsiaTheme="minorHAnsi" w:cs="Arial"/>
          <w:sz w:val="24"/>
        </w:rPr>
        <w:t>ABA</w:t>
      </w:r>
      <w:r w:rsidR="00F22DA2">
        <w:rPr>
          <w:rFonts w:ascii="Arial" w:hAnsi="Arial" w:eastAsiaTheme="minorHAnsi" w:cs="Arial"/>
          <w:sz w:val="24"/>
        </w:rPr>
        <w:t>)</w:t>
      </w:r>
      <w:r w:rsidR="00A645E3">
        <w:rPr>
          <w:rFonts w:ascii="Arial" w:hAnsi="Arial" w:eastAsiaTheme="minorHAnsi" w:cs="Arial"/>
          <w:sz w:val="24"/>
        </w:rPr>
        <w:t xml:space="preserve"> have found that parents with disabilities do face higher rates of removal.</w:t>
      </w:r>
      <w:r w:rsidR="00F22DA2">
        <w:rPr>
          <w:rFonts w:ascii="Arial" w:hAnsi="Arial" w:eastAsiaTheme="minorHAnsi" w:cs="Arial"/>
          <w:sz w:val="24"/>
        </w:rPr>
        <w:t xml:space="preserve"> Third, they objected to subsection C</w:t>
      </w:r>
      <w:r w:rsidR="00B1277C">
        <w:rPr>
          <w:rFonts w:ascii="Arial" w:hAnsi="Arial" w:eastAsiaTheme="minorHAnsi" w:cs="Arial"/>
          <w:sz w:val="24"/>
        </w:rPr>
        <w:t xml:space="preserve"> in each section because they </w:t>
      </w:r>
      <w:r w:rsidR="00F00750">
        <w:rPr>
          <w:rFonts w:ascii="Arial" w:hAnsi="Arial" w:eastAsiaTheme="minorHAnsi" w:cs="Arial"/>
          <w:sz w:val="24"/>
        </w:rPr>
        <w:t xml:space="preserve">say they </w:t>
      </w:r>
      <w:r w:rsidR="00B1277C">
        <w:rPr>
          <w:rFonts w:ascii="Arial" w:hAnsi="Arial" w:eastAsiaTheme="minorHAnsi" w:cs="Arial"/>
          <w:sz w:val="24"/>
        </w:rPr>
        <w:t>have never seen burden shifting in other aspects of family law</w:t>
      </w:r>
      <w:r w:rsidR="009B6A70">
        <w:rPr>
          <w:rFonts w:ascii="Arial" w:hAnsi="Arial" w:eastAsiaTheme="minorHAnsi" w:cs="Arial"/>
          <w:sz w:val="24"/>
        </w:rPr>
        <w:t xml:space="preserve"> requiring clear and convincing evidence</w:t>
      </w:r>
      <w:r w:rsidR="00B1277C">
        <w:rPr>
          <w:rFonts w:ascii="Arial" w:hAnsi="Arial" w:eastAsiaTheme="minorHAnsi" w:cs="Arial"/>
          <w:sz w:val="24"/>
        </w:rPr>
        <w:t xml:space="preserve">.  </w:t>
      </w:r>
      <w:r w:rsidR="0042335C">
        <w:rPr>
          <w:rFonts w:ascii="Arial" w:hAnsi="Arial" w:eastAsiaTheme="minorHAnsi" w:cs="Arial"/>
          <w:sz w:val="24"/>
        </w:rPr>
        <w:t>However,</w:t>
      </w:r>
      <w:r w:rsidR="00F00750">
        <w:rPr>
          <w:rFonts w:ascii="Arial" w:hAnsi="Arial" w:eastAsiaTheme="minorHAnsi" w:cs="Arial"/>
          <w:sz w:val="24"/>
        </w:rPr>
        <w:t xml:space="preserve"> </w:t>
      </w:r>
      <w:r w:rsidRPr="00F00750" w:rsidR="00F00750">
        <w:rPr>
          <w:rFonts w:ascii="Arial" w:hAnsi="Arial" w:eastAsiaTheme="minorHAnsi" w:cs="Arial"/>
          <w:smallCaps/>
          <w:sz w:val="24"/>
        </w:rPr>
        <w:t>Va. Code Ann</w:t>
      </w:r>
      <w:r w:rsidR="00F00750">
        <w:rPr>
          <w:rFonts w:ascii="Arial" w:hAnsi="Arial" w:eastAsiaTheme="minorHAnsi" w:cs="Arial"/>
          <w:sz w:val="24"/>
        </w:rPr>
        <w:t xml:space="preserve">. §16.1-283(C)(2) requires a court to find, by clear and convincing evidence, that it is in the child’s best interest to terminate a parent’s residual parental rights.  </w:t>
      </w:r>
      <w:r w:rsidR="002F637A">
        <w:rPr>
          <w:rFonts w:ascii="Arial" w:hAnsi="Arial" w:eastAsiaTheme="minorHAnsi" w:cs="Arial"/>
          <w:sz w:val="24"/>
        </w:rPr>
        <w:t xml:space="preserve">Finally, </w:t>
      </w:r>
      <w:r>
        <w:rPr>
          <w:rFonts w:ascii="Arial" w:hAnsi="Arial" w:eastAsiaTheme="minorHAnsi" w:cs="Arial"/>
          <w:sz w:val="24"/>
        </w:rPr>
        <w:t xml:space="preserve">they </w:t>
      </w:r>
      <w:r w:rsidR="002F637A">
        <w:rPr>
          <w:rFonts w:ascii="Arial" w:hAnsi="Arial" w:eastAsiaTheme="minorHAnsi" w:cs="Arial"/>
          <w:sz w:val="24"/>
        </w:rPr>
        <w:t xml:space="preserve">also </w:t>
      </w:r>
      <w:r>
        <w:rPr>
          <w:rFonts w:ascii="Arial" w:hAnsi="Arial" w:eastAsiaTheme="minorHAnsi" w:cs="Arial"/>
          <w:sz w:val="24"/>
        </w:rPr>
        <w:t xml:space="preserve">objected to the bill only addressing the rights of blind parents.  </w:t>
      </w:r>
      <w:r w:rsidR="00E1405F">
        <w:rPr>
          <w:rFonts w:ascii="Arial" w:hAnsi="Arial" w:eastAsiaTheme="minorHAnsi" w:cs="Arial"/>
          <w:sz w:val="24"/>
        </w:rPr>
        <w:t xml:space="preserve">However, a one-size-fits-all approach to disability </w:t>
      </w:r>
      <w:r w:rsidR="009E1341">
        <w:rPr>
          <w:rFonts w:ascii="Arial" w:hAnsi="Arial" w:eastAsiaTheme="minorHAnsi" w:cs="Arial"/>
          <w:sz w:val="24"/>
        </w:rPr>
        <w:t>may fail to protect the rights of all parents with disabilities</w:t>
      </w:r>
      <w:r w:rsidR="00E1405F">
        <w:rPr>
          <w:rFonts w:ascii="Arial" w:hAnsi="Arial" w:eastAsiaTheme="minorHAnsi" w:cs="Arial"/>
          <w:sz w:val="24"/>
        </w:rPr>
        <w:t>.</w:t>
      </w:r>
    </w:p>
    <w:p w:rsidR="00FB24D4" w:rsidP="0047479D">
      <w:pPr>
        <w:contextualSpacing/>
        <w:rPr>
          <w:rFonts w:ascii="Arial" w:hAnsi="Arial" w:eastAsiaTheme="minorHAnsi" w:cs="Arial"/>
          <w:sz w:val="24"/>
        </w:rPr>
      </w:pPr>
    </w:p>
    <w:p w:rsidR="004F03F8" w:rsidRPr="004F03F8" w:rsidP="004F03F8">
      <w:pPr>
        <w:numPr>
          <w:ilvl w:val="0"/>
          <w:numId w:val="1"/>
        </w:numPr>
        <w:ind w:left="0" w:firstLine="0"/>
        <w:contextualSpacing/>
        <w:rPr>
          <w:rFonts w:ascii="Arial" w:hAnsi="Arial" w:eastAsiaTheme="minorHAnsi" w:cs="Arial"/>
          <w:b/>
          <w:sz w:val="24"/>
        </w:rPr>
      </w:pPr>
      <w:r>
        <w:rPr>
          <w:rFonts w:ascii="Arial" w:hAnsi="Arial" w:eastAsiaTheme="minorHAnsi" w:cs="Arial"/>
          <w:b/>
          <w:sz w:val="24"/>
        </w:rPr>
        <w:t>Applicability of the ADA</w:t>
      </w:r>
    </w:p>
    <w:p w:rsidR="004F03F8" w:rsidRPr="004F03F8" w:rsidP="004F03F8">
      <w:pPr>
        <w:rPr>
          <w:rFonts w:ascii="Arial" w:hAnsi="Arial" w:eastAsiaTheme="minorHAnsi" w:cs="Arial"/>
          <w:sz w:val="24"/>
        </w:rPr>
      </w:pPr>
    </w:p>
    <w:p w:rsidR="00E335B0" w:rsidP="00E55FF8">
      <w:pPr>
        <w:rPr>
          <w:rFonts w:ascii="Arial" w:hAnsi="Arial" w:eastAsiaTheme="minorHAnsi" w:cs="Arial"/>
          <w:sz w:val="24"/>
        </w:rPr>
      </w:pPr>
      <w:r>
        <w:rPr>
          <w:rFonts w:ascii="Arial" w:hAnsi="Arial" w:eastAsiaTheme="minorHAnsi" w:cs="Arial"/>
          <w:sz w:val="24"/>
        </w:rPr>
        <w:t xml:space="preserve">Federal courts interpreting the ADA have long held that courts must provide accessible materials and ensure that a person with a disability </w:t>
      </w:r>
      <w:r w:rsidR="00E55FF8">
        <w:rPr>
          <w:rFonts w:ascii="Arial" w:hAnsi="Arial" w:eastAsiaTheme="minorHAnsi" w:cs="Arial"/>
          <w:sz w:val="24"/>
        </w:rPr>
        <w:t xml:space="preserve">has meaningful access to proceedings; but that there are no substantive rights regarding a disable parent’s rights.  For example, in Arneson v. Arneson, the Court </w:t>
      </w:r>
      <w:r w:rsidR="0077105D">
        <w:rPr>
          <w:rFonts w:ascii="Arial" w:hAnsi="Arial" w:eastAsiaTheme="minorHAnsi" w:cs="Arial"/>
          <w:sz w:val="24"/>
        </w:rPr>
        <w:t>held</w:t>
      </w:r>
      <w:r w:rsidR="00E55FF8">
        <w:rPr>
          <w:rFonts w:ascii="Arial" w:hAnsi="Arial" w:eastAsiaTheme="minorHAnsi" w:cs="Arial"/>
          <w:sz w:val="24"/>
        </w:rPr>
        <w:t xml:space="preserve"> that, “</w:t>
      </w:r>
      <w:r w:rsidRPr="00E55FF8" w:rsidR="00E55FF8">
        <w:rPr>
          <w:rFonts w:ascii="Arial" w:hAnsi="Arial" w:eastAsiaTheme="minorHAnsi" w:cs="Arial"/>
          <w:sz w:val="24"/>
        </w:rPr>
        <w:t xml:space="preserve">A court has been considered a “public entity” for purposes of the ADA. Galloway v. Superior Court, 816 F.Supp. 12, 18 (D.D.C.1993) (court system is a “public entity” under the ADA and must provide reasonable accommodations for juror's visual limitations).   For our case, however, no authority supports the extension of the ADA into parental custody disputes.   Most cases concerning the application of the ADA in court proceedings deal with reasonable courthouse accommodations.   See Matthews v. Jefferson, 29 FSupp2d 525 (W.D.Ark.1998) (county courthouse in violation of ADA by failing to make courthouse readily accessible to paraplegic);  Ann K. Wooster, J.D., Annotation, When Are Public Entities Required to Provide Services, Programs, or Activities to Disabled Individuals Under Americans with Disabilities Act, 42 U.S.C.A. § 12132, 160 A.L.R. Fed. 637 (2000).   A custody proceeding is not a “service, program, or activity” under the provisions of the ADA. In re Adoption of Gregory, 434 Mass. 117, </w:t>
      </w:r>
      <w:r w:rsidRPr="00E55FF8" w:rsidR="00E55FF8">
        <w:rPr>
          <w:rFonts w:ascii="Arial" w:hAnsi="Arial" w:eastAsiaTheme="minorHAnsi" w:cs="Arial"/>
          <w:sz w:val="24"/>
        </w:rPr>
        <w:t>747 N.E.2d 120 (2001) (proceedings to terminate parental rights are not “services, programs, or activities,” under the ADA). We conclude that the ADA does not apply to this custody litigation</w:t>
      </w:r>
      <w:r>
        <w:rPr>
          <w:rFonts w:ascii="Arial" w:hAnsi="Arial" w:eastAsiaTheme="minorHAnsi" w:cs="Arial"/>
          <w:sz w:val="24"/>
        </w:rPr>
        <w:t>.</w:t>
      </w:r>
      <w:r w:rsidR="0077105D">
        <w:rPr>
          <w:rFonts w:ascii="Arial" w:hAnsi="Arial" w:eastAsiaTheme="minorHAnsi" w:cs="Arial"/>
          <w:sz w:val="24"/>
        </w:rPr>
        <w:t>”</w:t>
      </w:r>
      <w:r w:rsidRPr="00F21FB9" w:rsidR="00F21FB9">
        <w:rPr>
          <w:rStyle w:val="FootnoteReference"/>
          <w:rFonts w:ascii="Arial" w:hAnsi="Arial" w:eastAsiaTheme="minorHAnsi" w:cs="Arial"/>
          <w:sz w:val="24"/>
        </w:rPr>
        <w:t xml:space="preserve"> </w:t>
      </w:r>
      <w:r>
        <w:rPr>
          <w:rStyle w:val="FootnoteReference"/>
          <w:rFonts w:ascii="Arial" w:hAnsi="Arial" w:eastAsiaTheme="minorHAnsi" w:cs="Arial"/>
          <w:sz w:val="24"/>
        </w:rPr>
        <w:footnoteReference w:id="2"/>
      </w:r>
      <w:r>
        <w:rPr>
          <w:rFonts w:ascii="Arial" w:hAnsi="Arial" w:eastAsiaTheme="minorHAnsi" w:cs="Arial"/>
          <w:sz w:val="24"/>
        </w:rPr>
        <w:t xml:space="preserve">  </w:t>
      </w:r>
    </w:p>
    <w:p w:rsidR="004F03F8" w:rsidP="004F03F8">
      <w:pPr>
        <w:rPr>
          <w:rFonts w:ascii="Arial" w:hAnsi="Arial" w:eastAsiaTheme="minorHAnsi" w:cs="Arial"/>
          <w:sz w:val="24"/>
        </w:rPr>
      </w:pPr>
    </w:p>
    <w:p w:rsidR="00E335B0" w:rsidP="004F03F8">
      <w:pPr>
        <w:rPr>
          <w:rFonts w:ascii="Arial" w:hAnsi="Arial" w:eastAsiaTheme="minorHAnsi" w:cs="Arial"/>
          <w:sz w:val="24"/>
        </w:rPr>
      </w:pPr>
      <w:r>
        <w:rPr>
          <w:rFonts w:ascii="Arial" w:hAnsi="Arial" w:eastAsiaTheme="minorHAnsi" w:cs="Arial"/>
          <w:sz w:val="24"/>
        </w:rPr>
        <w:t>Given this widely held view among federal courts</w:t>
      </w:r>
      <w:r w:rsidR="00690961">
        <w:rPr>
          <w:rFonts w:ascii="Arial" w:hAnsi="Arial" w:eastAsiaTheme="minorHAnsi" w:cs="Arial"/>
          <w:sz w:val="24"/>
        </w:rPr>
        <w:t>,</w:t>
      </w:r>
      <w:r>
        <w:rPr>
          <w:rFonts w:ascii="Arial" w:hAnsi="Arial" w:eastAsiaTheme="minorHAnsi" w:cs="Arial"/>
          <w:sz w:val="24"/>
        </w:rPr>
        <w:t xml:space="preserve"> it is clear that </w:t>
      </w:r>
      <w:r w:rsidR="00690961">
        <w:rPr>
          <w:rFonts w:ascii="Arial" w:hAnsi="Arial" w:eastAsiaTheme="minorHAnsi" w:cs="Arial"/>
          <w:sz w:val="24"/>
        </w:rPr>
        <w:t xml:space="preserve">the ADA </w:t>
      </w:r>
      <w:r>
        <w:rPr>
          <w:rFonts w:ascii="Arial" w:hAnsi="Arial" w:eastAsiaTheme="minorHAnsi" w:cs="Arial"/>
          <w:sz w:val="24"/>
        </w:rPr>
        <w:t>does not provide substantive protections to parents with disabilities but merely ensures that a court</w:t>
      </w:r>
      <w:r w:rsidR="009E1341">
        <w:rPr>
          <w:rFonts w:ascii="Arial" w:hAnsi="Arial" w:eastAsiaTheme="minorHAnsi" w:cs="Arial"/>
          <w:sz w:val="24"/>
        </w:rPr>
        <w:t xml:space="preserve"> proceedings are </w:t>
      </w:r>
      <w:r>
        <w:rPr>
          <w:rFonts w:ascii="Arial" w:hAnsi="Arial" w:eastAsiaTheme="minorHAnsi" w:cs="Arial"/>
          <w:sz w:val="24"/>
        </w:rPr>
        <w:t>accessible</w:t>
      </w:r>
      <w:r w:rsidR="009E1341">
        <w:rPr>
          <w:rFonts w:ascii="Arial" w:hAnsi="Arial" w:eastAsiaTheme="minorHAnsi" w:cs="Arial"/>
          <w:sz w:val="24"/>
        </w:rPr>
        <w:t>.</w:t>
      </w:r>
      <w:r>
        <w:rPr>
          <w:rFonts w:ascii="Arial" w:hAnsi="Arial" w:eastAsiaTheme="minorHAnsi" w:cs="Arial"/>
          <w:sz w:val="24"/>
        </w:rPr>
        <w:t xml:space="preserve"> Being provided court documents in Braille or an accessible electronic format is little comfort to a parent whose child has been removed due solely to</w:t>
      </w:r>
      <w:r w:rsidR="00F95766">
        <w:rPr>
          <w:rFonts w:ascii="Arial" w:hAnsi="Arial" w:eastAsiaTheme="minorHAnsi" w:cs="Arial"/>
          <w:sz w:val="24"/>
        </w:rPr>
        <w:t xml:space="preserve"> the parent’s </w:t>
      </w:r>
      <w:r w:rsidR="0087151B">
        <w:rPr>
          <w:rFonts w:ascii="Arial" w:hAnsi="Arial" w:eastAsiaTheme="minorHAnsi" w:cs="Arial"/>
          <w:sz w:val="24"/>
        </w:rPr>
        <w:t>blindness</w:t>
      </w:r>
      <w:r>
        <w:rPr>
          <w:rFonts w:ascii="Arial" w:hAnsi="Arial" w:eastAsiaTheme="minorHAnsi" w:cs="Arial"/>
          <w:sz w:val="24"/>
        </w:rPr>
        <w:t xml:space="preserve">. </w:t>
      </w:r>
    </w:p>
    <w:p w:rsidR="00E335B0" w:rsidRPr="004F03F8" w:rsidP="004F03F8">
      <w:pPr>
        <w:rPr>
          <w:rFonts w:ascii="Arial" w:hAnsi="Arial" w:eastAsiaTheme="minorHAnsi" w:cs="Arial"/>
          <w:sz w:val="24"/>
        </w:rPr>
      </w:pPr>
    </w:p>
    <w:p w:rsidR="004F03F8" w:rsidRPr="004F03F8" w:rsidP="004F03F8">
      <w:pPr>
        <w:numPr>
          <w:ilvl w:val="0"/>
          <w:numId w:val="1"/>
        </w:numPr>
        <w:ind w:left="0" w:firstLine="0"/>
        <w:contextualSpacing/>
        <w:rPr>
          <w:rFonts w:ascii="Arial" w:hAnsi="Arial" w:eastAsiaTheme="minorHAnsi" w:cs="Arial"/>
          <w:b/>
          <w:sz w:val="24"/>
        </w:rPr>
      </w:pPr>
      <w:r>
        <w:rPr>
          <w:rFonts w:ascii="Arial" w:hAnsi="Arial" w:eastAsiaTheme="minorHAnsi" w:cs="Arial"/>
          <w:b/>
          <w:sz w:val="24"/>
        </w:rPr>
        <w:t>Discrimination Faced by Parents with Disabilities</w:t>
      </w:r>
      <w:r w:rsidRPr="004F03F8">
        <w:rPr>
          <w:rFonts w:ascii="Arial" w:hAnsi="Arial" w:eastAsiaTheme="minorHAnsi" w:cs="Arial"/>
          <w:b/>
          <w:sz w:val="24"/>
        </w:rPr>
        <w:t xml:space="preserve"> </w:t>
      </w:r>
    </w:p>
    <w:p w:rsidR="004F03F8" w:rsidP="004F03F8">
      <w:pPr>
        <w:rPr>
          <w:rFonts w:ascii="Arial" w:hAnsi="Arial" w:eastAsiaTheme="minorHAnsi" w:cs="Arial"/>
          <w:sz w:val="24"/>
        </w:rPr>
      </w:pPr>
    </w:p>
    <w:p w:rsidR="009653EF" w:rsidP="009653EF">
      <w:pPr>
        <w:rPr>
          <w:rFonts w:ascii="Arial" w:hAnsi="Arial" w:eastAsiaTheme="minorHAnsi" w:cs="Arial"/>
          <w:sz w:val="24"/>
        </w:rPr>
      </w:pPr>
      <w:r>
        <w:rPr>
          <w:rFonts w:ascii="Arial" w:hAnsi="Arial" w:eastAsiaTheme="minorHAnsi" w:cs="Arial"/>
          <w:sz w:val="24"/>
        </w:rPr>
        <w:t xml:space="preserve">Despite the Family Law Coalition’s </w:t>
      </w:r>
      <w:r w:rsidR="009E1341">
        <w:rPr>
          <w:rFonts w:ascii="Arial" w:hAnsi="Arial" w:eastAsiaTheme="minorHAnsi" w:cs="Arial"/>
          <w:sz w:val="24"/>
        </w:rPr>
        <w:t>lack of experience, which is likely a result of the low incidence of blindness</w:t>
      </w:r>
      <w:r w:rsidR="0077105D">
        <w:rPr>
          <w:rFonts w:ascii="Arial" w:hAnsi="Arial" w:eastAsiaTheme="minorHAnsi" w:cs="Arial"/>
          <w:sz w:val="24"/>
        </w:rPr>
        <w:t>, the</w:t>
      </w:r>
      <w:r>
        <w:rPr>
          <w:rFonts w:ascii="Arial" w:hAnsi="Arial" w:eastAsiaTheme="minorHAnsi" w:cs="Arial"/>
          <w:sz w:val="24"/>
        </w:rPr>
        <w:t xml:space="preserve"> ABA</w:t>
      </w:r>
      <w:r>
        <w:rPr>
          <w:rFonts w:ascii="Arial" w:hAnsi="Arial" w:eastAsiaTheme="minorHAnsi" w:cs="Arial"/>
          <w:sz w:val="24"/>
        </w:rPr>
        <w:t xml:space="preserve"> and the </w:t>
      </w:r>
      <w:r w:rsidR="0077105D">
        <w:rPr>
          <w:rFonts w:ascii="Arial" w:hAnsi="Arial" w:eastAsiaTheme="minorHAnsi" w:cs="Arial"/>
          <w:sz w:val="24"/>
        </w:rPr>
        <w:t>D</w:t>
      </w:r>
      <w:r>
        <w:rPr>
          <w:rFonts w:ascii="Arial" w:hAnsi="Arial" w:eastAsiaTheme="minorHAnsi" w:cs="Arial"/>
          <w:sz w:val="24"/>
        </w:rPr>
        <w:t>O</w:t>
      </w:r>
      <w:r w:rsidR="0077105D">
        <w:rPr>
          <w:rFonts w:ascii="Arial" w:hAnsi="Arial" w:eastAsiaTheme="minorHAnsi" w:cs="Arial"/>
          <w:sz w:val="24"/>
        </w:rPr>
        <w:t>J</w:t>
      </w:r>
      <w:r>
        <w:rPr>
          <w:rFonts w:ascii="Arial" w:hAnsi="Arial" w:eastAsiaTheme="minorHAnsi" w:cs="Arial"/>
          <w:sz w:val="24"/>
        </w:rPr>
        <w:t xml:space="preserve"> </w:t>
      </w:r>
      <w:r w:rsidR="0077105D">
        <w:rPr>
          <w:rFonts w:ascii="Arial" w:hAnsi="Arial" w:eastAsiaTheme="minorHAnsi" w:cs="Arial"/>
          <w:sz w:val="24"/>
        </w:rPr>
        <w:t>have found that</w:t>
      </w:r>
      <w:r w:rsidR="00B70186">
        <w:rPr>
          <w:rFonts w:ascii="Arial" w:hAnsi="Arial" w:eastAsiaTheme="minorHAnsi" w:cs="Arial"/>
          <w:sz w:val="24"/>
        </w:rPr>
        <w:t xml:space="preserve"> disabled</w:t>
      </w:r>
      <w:r w:rsidR="0077105D">
        <w:rPr>
          <w:rFonts w:ascii="Arial" w:hAnsi="Arial" w:eastAsiaTheme="minorHAnsi" w:cs="Arial"/>
          <w:sz w:val="24"/>
        </w:rPr>
        <w:t xml:space="preserve"> parents face </w:t>
      </w:r>
      <w:r w:rsidR="00B70186">
        <w:rPr>
          <w:rFonts w:ascii="Arial" w:hAnsi="Arial" w:eastAsiaTheme="minorHAnsi" w:cs="Arial"/>
          <w:sz w:val="24"/>
        </w:rPr>
        <w:t>higher rates</w:t>
      </w:r>
      <w:r w:rsidR="0077105D">
        <w:rPr>
          <w:rFonts w:ascii="Arial" w:hAnsi="Arial" w:eastAsiaTheme="minorHAnsi" w:cs="Arial"/>
          <w:sz w:val="24"/>
        </w:rPr>
        <w:t xml:space="preserve"> of removal of their children.  For example, in a </w:t>
      </w:r>
      <w:r w:rsidR="00690961">
        <w:rPr>
          <w:rFonts w:ascii="Arial" w:hAnsi="Arial" w:eastAsiaTheme="minorHAnsi" w:cs="Arial"/>
          <w:sz w:val="24"/>
        </w:rPr>
        <w:t xml:space="preserve">2017 </w:t>
      </w:r>
      <w:r w:rsidR="00B70186">
        <w:rPr>
          <w:rFonts w:ascii="Arial" w:hAnsi="Arial" w:eastAsiaTheme="minorHAnsi" w:cs="Arial"/>
          <w:sz w:val="24"/>
        </w:rPr>
        <w:t>report supporting</w:t>
      </w:r>
      <w:r w:rsidR="0077105D">
        <w:rPr>
          <w:rFonts w:ascii="Arial" w:hAnsi="Arial" w:eastAsiaTheme="minorHAnsi" w:cs="Arial"/>
          <w:sz w:val="24"/>
        </w:rPr>
        <w:t xml:space="preserve"> </w:t>
      </w:r>
      <w:r w:rsidR="00B70186">
        <w:rPr>
          <w:rFonts w:ascii="Arial" w:hAnsi="Arial" w:eastAsiaTheme="minorHAnsi" w:cs="Arial"/>
          <w:sz w:val="24"/>
        </w:rPr>
        <w:t xml:space="preserve">ABA </w:t>
      </w:r>
      <w:r w:rsidR="0077105D">
        <w:rPr>
          <w:rFonts w:ascii="Arial" w:hAnsi="Arial" w:eastAsiaTheme="minorHAnsi" w:cs="Arial"/>
          <w:sz w:val="24"/>
        </w:rPr>
        <w:t>resolution 114, urging states to pass legislation similar to HB</w:t>
      </w:r>
      <w:r w:rsidR="00B70186">
        <w:rPr>
          <w:rFonts w:ascii="Arial" w:hAnsi="Arial" w:eastAsiaTheme="minorHAnsi" w:cs="Arial"/>
          <w:sz w:val="24"/>
        </w:rPr>
        <w:t xml:space="preserve"> 2273 / SB 1199, the ABA states</w:t>
      </w:r>
      <w:r w:rsidR="0077105D">
        <w:rPr>
          <w:rFonts w:ascii="Arial" w:hAnsi="Arial" w:eastAsiaTheme="minorHAnsi" w:cs="Arial"/>
          <w:sz w:val="24"/>
        </w:rPr>
        <w:t>, “The blind and deaf communities also report heightened rates of child removal and loss of parental rights.  In a study of more than 1,200 parents with predominately physical disabilities, 12.6 percent reported experiencing discriminatory treatment related to custody litigation. Persons with disabilities who seek to become foster or adoptive parents also encounter barriers based on biases and stereotypes about their parenting abilities.” (footnotes removed)</w:t>
      </w:r>
      <w:r w:rsidR="00690961">
        <w:rPr>
          <w:rFonts w:ascii="Arial" w:hAnsi="Arial" w:eastAsiaTheme="minorHAnsi" w:cs="Arial"/>
          <w:sz w:val="24"/>
        </w:rPr>
        <w:t>.</w:t>
      </w:r>
      <w:r>
        <w:rPr>
          <w:rStyle w:val="FootnoteReference"/>
          <w:rFonts w:ascii="Arial" w:hAnsi="Arial" w:eastAsiaTheme="minorHAnsi" w:cs="Arial"/>
          <w:sz w:val="24"/>
        </w:rPr>
        <w:footnoteReference w:id="3"/>
      </w:r>
      <w:r w:rsidR="0077105D">
        <w:rPr>
          <w:rFonts w:ascii="Arial" w:hAnsi="Arial" w:eastAsiaTheme="minorHAnsi" w:cs="Arial"/>
          <w:sz w:val="24"/>
        </w:rPr>
        <w:t xml:space="preserve">  </w:t>
      </w:r>
    </w:p>
    <w:p w:rsidR="009653EF" w:rsidP="009653EF">
      <w:pPr>
        <w:rPr>
          <w:rFonts w:ascii="Arial" w:hAnsi="Arial" w:eastAsiaTheme="minorHAnsi" w:cs="Arial"/>
          <w:sz w:val="24"/>
        </w:rPr>
      </w:pPr>
    </w:p>
    <w:p w:rsidR="0077105D" w:rsidRPr="004F03F8" w:rsidP="009653EF">
      <w:pPr>
        <w:rPr>
          <w:rFonts w:ascii="Arial" w:hAnsi="Arial" w:eastAsiaTheme="minorHAnsi" w:cs="Arial"/>
          <w:sz w:val="24"/>
        </w:rPr>
      </w:pPr>
      <w:r>
        <w:rPr>
          <w:rFonts w:ascii="Arial" w:hAnsi="Arial" w:eastAsiaTheme="minorHAnsi" w:cs="Arial"/>
          <w:sz w:val="24"/>
        </w:rPr>
        <w:t xml:space="preserve">Additionally, </w:t>
      </w:r>
      <w:r w:rsidR="00E9354A">
        <w:rPr>
          <w:rFonts w:ascii="Arial" w:hAnsi="Arial" w:eastAsiaTheme="minorHAnsi" w:cs="Arial"/>
          <w:sz w:val="24"/>
        </w:rPr>
        <w:t>in an August 2015 report</w:t>
      </w:r>
      <w:r w:rsidR="009653EF">
        <w:rPr>
          <w:rFonts w:ascii="Arial" w:hAnsi="Arial" w:eastAsiaTheme="minorHAnsi" w:cs="Arial"/>
          <w:sz w:val="24"/>
        </w:rPr>
        <w:t>,</w:t>
      </w:r>
      <w:r w:rsidR="00E9354A">
        <w:rPr>
          <w:rFonts w:ascii="Arial" w:hAnsi="Arial" w:eastAsiaTheme="minorHAnsi" w:cs="Arial"/>
          <w:sz w:val="24"/>
        </w:rPr>
        <w:t xml:space="preserve"> the Department of Health and Human Services</w:t>
      </w:r>
      <w:r w:rsidR="00E1405F">
        <w:rPr>
          <w:rFonts w:ascii="Arial" w:hAnsi="Arial" w:eastAsiaTheme="minorHAnsi" w:cs="Arial"/>
          <w:sz w:val="24"/>
        </w:rPr>
        <w:t xml:space="preserve"> (HHS)</w:t>
      </w:r>
      <w:r w:rsidR="00E9354A">
        <w:rPr>
          <w:rFonts w:ascii="Arial" w:hAnsi="Arial" w:eastAsiaTheme="minorHAnsi" w:cs="Arial"/>
          <w:sz w:val="24"/>
        </w:rPr>
        <w:t xml:space="preserve"> and the D</w:t>
      </w:r>
      <w:r w:rsidR="00E1405F">
        <w:rPr>
          <w:rFonts w:ascii="Arial" w:hAnsi="Arial" w:eastAsiaTheme="minorHAnsi" w:cs="Arial"/>
          <w:sz w:val="24"/>
        </w:rPr>
        <w:t>OJ</w:t>
      </w:r>
      <w:r w:rsidR="009653EF">
        <w:rPr>
          <w:rFonts w:ascii="Arial" w:hAnsi="Arial" w:eastAsiaTheme="minorHAnsi" w:cs="Arial"/>
          <w:sz w:val="24"/>
        </w:rPr>
        <w:t xml:space="preserve"> </w:t>
      </w:r>
      <w:r w:rsidR="00E9354A">
        <w:rPr>
          <w:rFonts w:ascii="Arial" w:hAnsi="Arial" w:eastAsiaTheme="minorHAnsi" w:cs="Arial"/>
          <w:sz w:val="24"/>
        </w:rPr>
        <w:t>stated that, “</w:t>
      </w:r>
      <w:r w:rsidRPr="00E9354A" w:rsidR="00E9354A">
        <w:rPr>
          <w:rFonts w:ascii="Arial" w:hAnsi="Arial" w:eastAsiaTheme="minorHAnsi" w:cs="Arial"/>
          <w:sz w:val="24"/>
        </w:rPr>
        <w:t>Both the HHS Office for Civil Rights (OCR) and DOJ Civil Rights Division have received numerous complaints of discrimination from individuals with disabilities involved with the child welfare system, and the frequency of such complaints is rising</w:t>
      </w:r>
      <w:r w:rsidR="009653EF">
        <w:rPr>
          <w:rFonts w:ascii="Arial" w:hAnsi="Arial" w:eastAsiaTheme="minorHAnsi" w:cs="Arial"/>
          <w:sz w:val="24"/>
        </w:rPr>
        <w:t xml:space="preserve">…. </w:t>
      </w:r>
      <w:r w:rsidRPr="009653EF" w:rsidR="009653EF">
        <w:rPr>
          <w:rFonts w:ascii="Arial" w:hAnsi="Arial" w:eastAsiaTheme="minorHAnsi" w:cs="Arial"/>
          <w:sz w:val="24"/>
        </w:rPr>
        <w:t>Parents who are blind or deaf also report significant discrimination in the custody process, as do parents with other physical disabilities</w:t>
      </w:r>
      <w:r w:rsidR="00E1405F">
        <w:rPr>
          <w:rFonts w:ascii="Arial" w:hAnsi="Arial" w:eastAsiaTheme="minorHAnsi" w:cs="Arial"/>
          <w:sz w:val="24"/>
        </w:rPr>
        <w:t xml:space="preserve">…. </w:t>
      </w:r>
      <w:r w:rsidRPr="009653EF" w:rsidR="009653EF">
        <w:rPr>
          <w:rFonts w:ascii="Arial" w:hAnsi="Arial" w:eastAsiaTheme="minorHAnsi" w:cs="Arial"/>
          <w:sz w:val="24"/>
        </w:rPr>
        <w:t>For example, a child welfare agency removed a newborn for 57 days from a couple because of assumptions and stereotypes about their blindness, undermining precious moments for the baby and parents that can never be replaced.</w:t>
      </w:r>
      <w:r w:rsidR="009653EF">
        <w:rPr>
          <w:rFonts w:ascii="Arial" w:hAnsi="Arial" w:eastAsiaTheme="minorHAnsi" w:cs="Arial"/>
          <w:sz w:val="24"/>
        </w:rPr>
        <w:t>”</w:t>
      </w:r>
      <w:r w:rsidR="00F21FB9">
        <w:rPr>
          <w:rFonts w:ascii="Arial" w:hAnsi="Arial" w:eastAsiaTheme="minorHAnsi" w:cs="Arial"/>
          <w:sz w:val="24"/>
        </w:rPr>
        <w:t xml:space="preserve"> (footnotes removed).</w:t>
      </w:r>
      <w:r>
        <w:rPr>
          <w:rStyle w:val="FootnoteReference"/>
          <w:rFonts w:ascii="Arial" w:hAnsi="Arial" w:eastAsiaTheme="minorHAnsi" w:cs="Arial"/>
          <w:sz w:val="24"/>
        </w:rPr>
        <w:footnoteReference w:id="4"/>
      </w:r>
    </w:p>
    <w:p w:rsidR="0047479D" w:rsidRPr="004F03F8" w:rsidP="0047479D">
      <w:pPr>
        <w:rPr>
          <w:rFonts w:ascii="Arial" w:hAnsi="Arial" w:eastAsiaTheme="minorHAnsi" w:cs="Arial"/>
          <w:sz w:val="24"/>
        </w:rPr>
      </w:pPr>
    </w:p>
    <w:p w:rsidR="0030042D" w:rsidP="004F03F8">
      <w:pPr>
        <w:numPr>
          <w:ilvl w:val="0"/>
          <w:numId w:val="1"/>
        </w:numPr>
        <w:ind w:left="0" w:firstLine="0"/>
        <w:contextualSpacing/>
        <w:rPr>
          <w:rFonts w:ascii="Arial" w:hAnsi="Arial" w:eastAsiaTheme="minorHAnsi" w:cs="Arial"/>
          <w:b/>
          <w:sz w:val="24"/>
        </w:rPr>
      </w:pPr>
      <w:r>
        <w:rPr>
          <w:rFonts w:ascii="Arial" w:hAnsi="Arial" w:eastAsiaTheme="minorHAnsi" w:cs="Arial"/>
          <w:b/>
          <w:sz w:val="24"/>
        </w:rPr>
        <w:t>Rationale for Requiring Clear and Convincing Evidence</w:t>
      </w:r>
      <w:r w:rsidR="00281095">
        <w:rPr>
          <w:rFonts w:ascii="Arial" w:hAnsi="Arial" w:eastAsiaTheme="minorHAnsi" w:cs="Arial"/>
          <w:b/>
          <w:sz w:val="24"/>
        </w:rPr>
        <w:t xml:space="preserve"> before Restricting Parental Rights of Blind Parents</w:t>
      </w:r>
    </w:p>
    <w:p w:rsidR="0030042D" w:rsidP="0030042D">
      <w:pPr>
        <w:contextualSpacing/>
        <w:rPr>
          <w:rFonts w:ascii="Arial" w:hAnsi="Arial" w:eastAsiaTheme="minorHAnsi" w:cs="Arial"/>
          <w:b/>
          <w:sz w:val="24"/>
        </w:rPr>
      </w:pPr>
    </w:p>
    <w:p w:rsidR="00B30E6B" w:rsidP="00315A85">
      <w:pPr>
        <w:contextualSpacing/>
        <w:rPr>
          <w:rFonts w:ascii="Arial" w:hAnsi="Arial" w:eastAsiaTheme="minorHAnsi" w:cs="Arial"/>
          <w:sz w:val="24"/>
        </w:rPr>
      </w:pPr>
      <w:r>
        <w:rPr>
          <w:rFonts w:ascii="Arial" w:hAnsi="Arial" w:eastAsiaTheme="minorHAnsi" w:cs="Arial"/>
          <w:sz w:val="24"/>
        </w:rPr>
        <w:t>Subsection C of each section of code implemented by HB 2273 / SB 1199 requires a party alleging</w:t>
      </w:r>
      <w:r w:rsidRPr="0030042D">
        <w:rPr>
          <w:rFonts w:ascii="Arial" w:hAnsi="Arial" w:eastAsiaTheme="minorHAnsi" w:cs="Arial"/>
          <w:sz w:val="24"/>
        </w:rPr>
        <w:t xml:space="preserve"> </w:t>
      </w:r>
      <w:r>
        <w:rPr>
          <w:rFonts w:ascii="Arial" w:hAnsi="Arial" w:eastAsiaTheme="minorHAnsi" w:cs="Arial"/>
          <w:sz w:val="24"/>
        </w:rPr>
        <w:t>“</w:t>
      </w:r>
      <w:r w:rsidRPr="0030042D">
        <w:rPr>
          <w:rFonts w:ascii="Arial" w:hAnsi="Arial" w:eastAsiaTheme="minorHAnsi" w:cs="Arial"/>
          <w:sz w:val="24"/>
        </w:rPr>
        <w:t xml:space="preserve">that such parent's blindness should (i) be a factor to be considered as not in the best interests of the child or (ii) otherwise be a reason for the denial or restriction of </w:t>
      </w:r>
      <w:r>
        <w:rPr>
          <w:rFonts w:ascii="Arial" w:hAnsi="Arial" w:eastAsiaTheme="minorHAnsi" w:cs="Arial"/>
          <w:sz w:val="24"/>
        </w:rPr>
        <w:t>[parental rights]</w:t>
      </w:r>
      <w:r w:rsidRPr="0030042D">
        <w:rPr>
          <w:rFonts w:ascii="Arial" w:hAnsi="Arial" w:eastAsiaTheme="minorHAnsi" w:cs="Arial"/>
          <w:sz w:val="24"/>
        </w:rPr>
        <w:t>, such party making such allegation must prove by clear and convincing evidence that the best interests of the child would not be served or met due to such parent's blindness or that such parent's blindness should serve as the basis for such denial or restriction.</w:t>
      </w:r>
      <w:r>
        <w:rPr>
          <w:rFonts w:ascii="Arial" w:hAnsi="Arial" w:eastAsiaTheme="minorHAnsi" w:cs="Arial"/>
          <w:sz w:val="24"/>
        </w:rPr>
        <w:t xml:space="preserve">”  </w:t>
      </w:r>
    </w:p>
    <w:p w:rsidR="00B30E6B" w:rsidP="00315A85">
      <w:pPr>
        <w:contextualSpacing/>
        <w:rPr>
          <w:rFonts w:ascii="Arial" w:hAnsi="Arial" w:eastAsiaTheme="minorHAnsi" w:cs="Arial"/>
          <w:sz w:val="24"/>
        </w:rPr>
      </w:pPr>
    </w:p>
    <w:p w:rsidR="0030042D" w:rsidP="0053296E">
      <w:pPr>
        <w:contextualSpacing/>
        <w:rPr>
          <w:rFonts w:ascii="Arial" w:hAnsi="Arial" w:eastAsiaTheme="minorHAnsi" w:cs="Arial"/>
          <w:sz w:val="24"/>
        </w:rPr>
      </w:pPr>
      <w:r>
        <w:rPr>
          <w:rFonts w:ascii="Arial" w:hAnsi="Arial" w:eastAsiaTheme="minorHAnsi" w:cs="Arial"/>
          <w:sz w:val="24"/>
        </w:rPr>
        <w:t>Despite the Family Law Coalition’s claim to the contrary, this w</w:t>
      </w:r>
      <w:r w:rsidR="00B30E6B">
        <w:rPr>
          <w:rFonts w:ascii="Arial" w:hAnsi="Arial" w:eastAsiaTheme="minorHAnsi" w:cs="Arial"/>
          <w:sz w:val="24"/>
        </w:rPr>
        <w:t>ould not be unique in Virginia f</w:t>
      </w:r>
      <w:r>
        <w:rPr>
          <w:rFonts w:ascii="Arial" w:hAnsi="Arial" w:eastAsiaTheme="minorHAnsi" w:cs="Arial"/>
          <w:sz w:val="24"/>
        </w:rPr>
        <w:t xml:space="preserve">amily </w:t>
      </w:r>
      <w:r w:rsidR="00B30E6B">
        <w:rPr>
          <w:rFonts w:ascii="Arial" w:hAnsi="Arial" w:eastAsiaTheme="minorHAnsi" w:cs="Arial"/>
          <w:sz w:val="24"/>
        </w:rPr>
        <w:t>l</w:t>
      </w:r>
      <w:r>
        <w:rPr>
          <w:rFonts w:ascii="Arial" w:hAnsi="Arial" w:eastAsiaTheme="minorHAnsi" w:cs="Arial"/>
          <w:sz w:val="24"/>
        </w:rPr>
        <w:t xml:space="preserve">aw.  </w:t>
      </w:r>
      <w:r w:rsidR="00315A85">
        <w:rPr>
          <w:rFonts w:ascii="Arial" w:hAnsi="Arial" w:eastAsiaTheme="minorHAnsi" w:cs="Arial"/>
          <w:sz w:val="24"/>
        </w:rPr>
        <w:t>Indeed, “</w:t>
      </w:r>
      <w:r w:rsidRPr="00315A85" w:rsidR="00315A85">
        <w:rPr>
          <w:rFonts w:ascii="Arial" w:hAnsi="Arial" w:eastAsiaTheme="minorHAnsi" w:cs="Arial"/>
          <w:sz w:val="24"/>
        </w:rPr>
        <w:t xml:space="preserve">before residual parental rights can be terminated under Code 16.1-283(C)(2), a court must find:  (1) by clear and convincing evidence; (2) that termination is in the child's best </w:t>
      </w:r>
      <w:r w:rsidRPr="00315A85" w:rsidR="00315A85">
        <w:rPr>
          <w:rFonts w:ascii="Arial" w:hAnsi="Arial" w:eastAsiaTheme="minorHAnsi" w:cs="Arial"/>
          <w:sz w:val="24"/>
        </w:rPr>
        <w:t xml:space="preserve">interests; and, (3) that the parent or parents, without good cause, have been unwilling or unable within a reasonable period of time not to exceed twelve months from the date the child was placed in foster care to remedy substantially the conditions which led to the child's foster care placement, notwithstanding the reasonable and appropriate efforts of social, medical, mental health or other rehabilitative </w:t>
      </w:r>
      <w:r w:rsidR="00315A85">
        <w:rPr>
          <w:rFonts w:ascii="Arial" w:hAnsi="Arial" w:eastAsiaTheme="minorHAnsi" w:cs="Arial"/>
          <w:sz w:val="24"/>
        </w:rPr>
        <w:t>a</w:t>
      </w:r>
      <w:r w:rsidRPr="00315A85" w:rsidR="00315A85">
        <w:rPr>
          <w:rFonts w:ascii="Arial" w:hAnsi="Arial" w:eastAsiaTheme="minorHAnsi" w:cs="Arial"/>
          <w:sz w:val="24"/>
        </w:rPr>
        <w:t>gencies to such end.</w:t>
      </w:r>
      <w:r w:rsidR="00315A85">
        <w:rPr>
          <w:rFonts w:ascii="Arial" w:hAnsi="Arial" w:eastAsiaTheme="minorHAnsi" w:cs="Arial"/>
          <w:sz w:val="24"/>
        </w:rPr>
        <w:t xml:space="preserve">” </w:t>
      </w:r>
      <w:r w:rsidR="0053296E">
        <w:rPr>
          <w:rFonts w:ascii="Arial" w:hAnsi="Arial" w:eastAsiaTheme="minorHAnsi" w:cs="Arial"/>
          <w:sz w:val="24"/>
        </w:rPr>
        <w:t xml:space="preserve">C.S. v. Virginia Beach Dep’t of Soc. Serv., Va. Ct. App. </w:t>
      </w:r>
      <w:r w:rsidRPr="0053296E" w:rsidR="0053296E">
        <w:rPr>
          <w:rFonts w:ascii="Arial" w:hAnsi="Arial" w:eastAsiaTheme="minorHAnsi" w:cs="Arial"/>
          <w:sz w:val="24"/>
        </w:rPr>
        <w:t>Record No. 3156-02-1</w:t>
      </w:r>
      <w:r w:rsidR="0053296E">
        <w:rPr>
          <w:rFonts w:ascii="Arial" w:hAnsi="Arial" w:eastAsiaTheme="minorHAnsi" w:cs="Arial"/>
          <w:sz w:val="24"/>
        </w:rPr>
        <w:t xml:space="preserve"> (Sept. 30, 2003).</w:t>
      </w:r>
      <w:r>
        <w:rPr>
          <w:rStyle w:val="FootnoteReference"/>
          <w:rFonts w:ascii="Arial" w:hAnsi="Arial" w:eastAsiaTheme="minorHAnsi" w:cs="Arial"/>
          <w:sz w:val="24"/>
        </w:rPr>
        <w:footnoteReference w:id="5"/>
      </w:r>
      <w:r w:rsidR="0053296E">
        <w:rPr>
          <w:rFonts w:ascii="Arial" w:hAnsi="Arial" w:eastAsiaTheme="minorHAnsi" w:cs="Arial"/>
          <w:sz w:val="24"/>
        </w:rPr>
        <w:t xml:space="preserve"> The reason for this is that the Constitutional right to </w:t>
      </w:r>
      <w:r w:rsidRPr="0053296E" w:rsidR="0053296E">
        <w:rPr>
          <w:rFonts w:ascii="Arial" w:hAnsi="Arial" w:eastAsiaTheme="minorHAnsi" w:cs="Arial"/>
          <w:sz w:val="24"/>
        </w:rPr>
        <w:t>due process requires that allegations of parental unfitness be supported by at least clear and convincing evidence.</w:t>
      </w:r>
      <w:r w:rsidR="0053296E">
        <w:rPr>
          <w:rFonts w:ascii="Arial" w:hAnsi="Arial" w:eastAsiaTheme="minorHAnsi" w:cs="Arial"/>
          <w:sz w:val="24"/>
        </w:rPr>
        <w:t xml:space="preserve"> </w:t>
      </w:r>
      <w:r w:rsidR="0053296E">
        <w:rPr>
          <w:rFonts w:ascii="Arial" w:hAnsi="Arial" w:eastAsiaTheme="minorHAnsi" w:cs="Arial"/>
          <w:i/>
          <w:sz w:val="24"/>
        </w:rPr>
        <w:t>See, e.g.</w:t>
      </w:r>
      <w:r w:rsidRPr="0053296E" w:rsidR="0053296E">
        <w:rPr>
          <w:rFonts w:ascii="Arial" w:hAnsi="Arial" w:eastAsiaTheme="minorHAnsi" w:cs="Arial"/>
          <w:sz w:val="24"/>
        </w:rPr>
        <w:t>,</w:t>
      </w:r>
      <w:r w:rsidR="0053296E">
        <w:rPr>
          <w:rFonts w:ascii="Arial" w:hAnsi="Arial" w:eastAsiaTheme="minorHAnsi" w:cs="Arial"/>
          <w:sz w:val="24"/>
        </w:rPr>
        <w:t xml:space="preserve"> </w:t>
      </w:r>
      <w:r w:rsidR="00B30E6B">
        <w:rPr>
          <w:rFonts w:ascii="Arial" w:hAnsi="Arial" w:eastAsiaTheme="minorHAnsi" w:cs="Arial"/>
          <w:i/>
          <w:sz w:val="24"/>
        </w:rPr>
        <w:t xml:space="preserve">id. </w:t>
      </w:r>
      <w:r w:rsidR="00B30E6B">
        <w:rPr>
          <w:rFonts w:ascii="Arial" w:hAnsi="Arial" w:eastAsiaTheme="minorHAnsi" w:cs="Arial"/>
          <w:sz w:val="24"/>
        </w:rPr>
        <w:t xml:space="preserve">citing </w:t>
      </w:r>
      <w:r w:rsidRPr="0053296E" w:rsidR="0053296E">
        <w:rPr>
          <w:rFonts w:ascii="Arial" w:hAnsi="Arial" w:eastAsiaTheme="minorHAnsi" w:cs="Arial"/>
          <w:sz w:val="24"/>
        </w:rPr>
        <w:t>Wright v. Alexandria Div. of Soc. Serv., 16 Va. App. 821, 433 S.E.2d 500 (1993)</w:t>
      </w:r>
      <w:r w:rsidR="0053296E">
        <w:rPr>
          <w:rFonts w:ascii="Arial" w:hAnsi="Arial" w:eastAsiaTheme="minorHAnsi" w:cs="Arial"/>
          <w:sz w:val="24"/>
        </w:rPr>
        <w:t xml:space="preserve">.  </w:t>
      </w:r>
    </w:p>
    <w:p w:rsidR="0053296E" w:rsidP="0053296E">
      <w:pPr>
        <w:contextualSpacing/>
        <w:rPr>
          <w:rFonts w:ascii="Arial" w:hAnsi="Arial" w:eastAsiaTheme="minorHAnsi" w:cs="Arial"/>
          <w:sz w:val="24"/>
        </w:rPr>
      </w:pPr>
    </w:p>
    <w:p w:rsidR="0053296E" w:rsidRPr="0030042D" w:rsidP="0053296E">
      <w:pPr>
        <w:contextualSpacing/>
        <w:rPr>
          <w:rFonts w:ascii="Arial" w:hAnsi="Arial" w:eastAsiaTheme="minorHAnsi" w:cs="Arial"/>
          <w:sz w:val="24"/>
        </w:rPr>
      </w:pPr>
      <w:r>
        <w:rPr>
          <w:rFonts w:ascii="Arial" w:hAnsi="Arial" w:eastAsiaTheme="minorHAnsi" w:cs="Arial"/>
          <w:sz w:val="24"/>
        </w:rPr>
        <w:t>T</w:t>
      </w:r>
      <w:r w:rsidR="003C7BF2">
        <w:rPr>
          <w:rFonts w:ascii="Arial" w:hAnsi="Arial" w:eastAsiaTheme="minorHAnsi" w:cs="Arial"/>
          <w:sz w:val="24"/>
        </w:rPr>
        <w:t>o prevent discrimination against the blind,</w:t>
      </w:r>
      <w:r>
        <w:rPr>
          <w:rFonts w:ascii="Arial" w:hAnsi="Arial" w:eastAsiaTheme="minorHAnsi" w:cs="Arial"/>
          <w:sz w:val="24"/>
        </w:rPr>
        <w:t xml:space="preserve"> HB 2273 / SB 1199</w:t>
      </w:r>
      <w:r w:rsidR="003C7BF2">
        <w:rPr>
          <w:rFonts w:ascii="Arial" w:hAnsi="Arial" w:eastAsiaTheme="minorHAnsi" w:cs="Arial"/>
          <w:sz w:val="24"/>
        </w:rPr>
        <w:t xml:space="preserve"> will accelerate the burden shifting and heightened standard of review already found </w:t>
      </w:r>
      <w:r>
        <w:rPr>
          <w:rFonts w:ascii="Arial" w:hAnsi="Arial" w:eastAsiaTheme="minorHAnsi" w:cs="Arial"/>
          <w:sz w:val="24"/>
        </w:rPr>
        <w:t xml:space="preserve">in Virginia family law required in cases to </w:t>
      </w:r>
      <w:r w:rsidR="003C7BF2">
        <w:rPr>
          <w:rFonts w:ascii="Arial" w:hAnsi="Arial" w:eastAsiaTheme="minorHAnsi" w:cs="Arial"/>
          <w:sz w:val="24"/>
        </w:rPr>
        <w:t>terminate parental rights</w:t>
      </w:r>
      <w:r>
        <w:rPr>
          <w:rFonts w:ascii="Arial" w:hAnsi="Arial" w:eastAsiaTheme="minorHAnsi" w:cs="Arial"/>
          <w:sz w:val="24"/>
        </w:rPr>
        <w:t xml:space="preserve">, which occur at the end of a long cycle of state intervention, </w:t>
      </w:r>
      <w:r w:rsidR="003C7BF2">
        <w:rPr>
          <w:rFonts w:ascii="Arial" w:hAnsi="Arial" w:eastAsiaTheme="minorHAnsi" w:cs="Arial"/>
          <w:sz w:val="24"/>
        </w:rPr>
        <w:t xml:space="preserve">to </w:t>
      </w:r>
      <w:r>
        <w:rPr>
          <w:rFonts w:ascii="Arial" w:hAnsi="Arial" w:eastAsiaTheme="minorHAnsi" w:cs="Arial"/>
          <w:sz w:val="24"/>
        </w:rPr>
        <w:t xml:space="preserve">cases that merely </w:t>
      </w:r>
      <w:r w:rsidR="003C7BF2">
        <w:rPr>
          <w:rFonts w:ascii="Arial" w:hAnsi="Arial" w:eastAsiaTheme="minorHAnsi" w:cs="Arial"/>
          <w:sz w:val="24"/>
        </w:rPr>
        <w:t>restrict</w:t>
      </w:r>
      <w:r>
        <w:rPr>
          <w:rFonts w:ascii="Arial" w:hAnsi="Arial" w:eastAsiaTheme="minorHAnsi" w:cs="Arial"/>
          <w:sz w:val="24"/>
        </w:rPr>
        <w:t xml:space="preserve"> </w:t>
      </w:r>
      <w:r w:rsidR="003C7BF2">
        <w:rPr>
          <w:rFonts w:ascii="Arial" w:hAnsi="Arial" w:eastAsiaTheme="minorHAnsi" w:cs="Arial"/>
          <w:sz w:val="24"/>
        </w:rPr>
        <w:t xml:space="preserve">parental rights of blind </w:t>
      </w:r>
      <w:r>
        <w:rPr>
          <w:rFonts w:ascii="Arial" w:hAnsi="Arial" w:eastAsiaTheme="minorHAnsi" w:cs="Arial"/>
          <w:sz w:val="24"/>
        </w:rPr>
        <w:t xml:space="preserve">Virginians which precede </w:t>
      </w:r>
      <w:r w:rsidR="00CE78F8">
        <w:rPr>
          <w:rFonts w:ascii="Arial" w:hAnsi="Arial" w:eastAsiaTheme="minorHAnsi" w:cs="Arial"/>
          <w:sz w:val="24"/>
        </w:rPr>
        <w:t>termination proceedings.</w:t>
      </w:r>
      <w:r w:rsidR="00B30E6B">
        <w:rPr>
          <w:rFonts w:ascii="Arial" w:hAnsi="Arial" w:eastAsiaTheme="minorHAnsi" w:cs="Arial"/>
          <w:sz w:val="24"/>
        </w:rPr>
        <w:t xml:space="preserve">  </w:t>
      </w:r>
      <w:r w:rsidR="003C7BF2">
        <w:rPr>
          <w:rFonts w:ascii="Arial" w:hAnsi="Arial" w:eastAsiaTheme="minorHAnsi" w:cs="Arial"/>
          <w:sz w:val="24"/>
        </w:rPr>
        <w:t xml:space="preserve">  </w:t>
      </w:r>
    </w:p>
    <w:p w:rsidR="0030042D" w:rsidP="0030042D">
      <w:pPr>
        <w:contextualSpacing/>
        <w:rPr>
          <w:rFonts w:ascii="Arial" w:hAnsi="Arial" w:eastAsiaTheme="minorHAnsi" w:cs="Arial"/>
          <w:b/>
          <w:sz w:val="24"/>
        </w:rPr>
      </w:pPr>
    </w:p>
    <w:p w:rsidR="004F03F8" w:rsidRPr="004F03F8" w:rsidP="004F03F8">
      <w:pPr>
        <w:numPr>
          <w:ilvl w:val="0"/>
          <w:numId w:val="1"/>
        </w:numPr>
        <w:ind w:left="0" w:firstLine="0"/>
        <w:contextualSpacing/>
        <w:rPr>
          <w:rFonts w:ascii="Arial" w:hAnsi="Arial" w:eastAsiaTheme="minorHAnsi" w:cs="Arial"/>
          <w:b/>
          <w:sz w:val="24"/>
        </w:rPr>
      </w:pPr>
      <w:r>
        <w:rPr>
          <w:rFonts w:ascii="Arial" w:hAnsi="Arial" w:eastAsiaTheme="minorHAnsi" w:cs="Arial"/>
          <w:b/>
          <w:sz w:val="24"/>
        </w:rPr>
        <w:t>Conclusion</w:t>
      </w:r>
    </w:p>
    <w:p w:rsidR="004F03F8" w:rsidP="004F03F8">
      <w:pPr>
        <w:rPr>
          <w:rFonts w:ascii="Arial" w:hAnsi="Arial" w:eastAsiaTheme="minorHAnsi" w:cs="Arial"/>
          <w:sz w:val="24"/>
        </w:rPr>
      </w:pPr>
    </w:p>
    <w:p w:rsidR="008A462B" w:rsidP="008A462B">
      <w:pPr>
        <w:rPr>
          <w:rFonts w:ascii="Arial" w:hAnsi="Arial" w:eastAsiaTheme="minorHAnsi" w:cs="Arial"/>
          <w:sz w:val="24"/>
        </w:rPr>
      </w:pPr>
      <w:r>
        <w:rPr>
          <w:rFonts w:ascii="Arial" w:hAnsi="Arial" w:eastAsiaTheme="minorHAnsi" w:cs="Arial"/>
          <w:sz w:val="24"/>
        </w:rPr>
        <w:t>T</w:t>
      </w:r>
      <w:r w:rsidR="009E1341">
        <w:rPr>
          <w:rFonts w:ascii="Arial" w:hAnsi="Arial" w:eastAsiaTheme="minorHAnsi" w:cs="Arial"/>
          <w:sz w:val="24"/>
        </w:rPr>
        <w:t xml:space="preserve">he Family Law </w:t>
      </w:r>
      <w:r w:rsidR="0030042D">
        <w:rPr>
          <w:rFonts w:ascii="Arial" w:hAnsi="Arial" w:eastAsiaTheme="minorHAnsi" w:cs="Arial"/>
          <w:sz w:val="24"/>
        </w:rPr>
        <w:t>Coalition</w:t>
      </w:r>
      <w:r w:rsidR="009E1341">
        <w:rPr>
          <w:rFonts w:ascii="Arial" w:hAnsi="Arial" w:eastAsiaTheme="minorHAnsi" w:cs="Arial"/>
          <w:sz w:val="24"/>
        </w:rPr>
        <w:t xml:space="preserve">’s relative inexperience representing disabled parents has led to a lack of </w:t>
      </w:r>
      <w:r w:rsidR="00E1405F">
        <w:rPr>
          <w:rFonts w:ascii="Arial" w:hAnsi="Arial" w:eastAsiaTheme="minorHAnsi" w:cs="Arial"/>
          <w:sz w:val="24"/>
        </w:rPr>
        <w:t>understanding of the rights</w:t>
      </w:r>
      <w:r w:rsidR="0087151B">
        <w:rPr>
          <w:rFonts w:ascii="Arial" w:hAnsi="Arial" w:eastAsiaTheme="minorHAnsi" w:cs="Arial"/>
          <w:sz w:val="24"/>
        </w:rPr>
        <w:t>, or lack thereof,</w:t>
      </w:r>
      <w:r w:rsidR="00E1405F">
        <w:rPr>
          <w:rFonts w:ascii="Arial" w:hAnsi="Arial" w:eastAsiaTheme="minorHAnsi" w:cs="Arial"/>
          <w:sz w:val="24"/>
        </w:rPr>
        <w:t xml:space="preserve"> of parents with disabilities and the dangers we face in </w:t>
      </w:r>
      <w:r>
        <w:rPr>
          <w:rFonts w:ascii="Arial" w:hAnsi="Arial" w:eastAsiaTheme="minorHAnsi" w:cs="Arial"/>
          <w:sz w:val="24"/>
        </w:rPr>
        <w:t>family court</w:t>
      </w:r>
      <w:r w:rsidR="009E1341">
        <w:rPr>
          <w:rFonts w:ascii="Arial" w:hAnsi="Arial" w:eastAsiaTheme="minorHAnsi" w:cs="Arial"/>
          <w:sz w:val="24"/>
        </w:rPr>
        <w:t>.</w:t>
      </w:r>
      <w:r w:rsidR="00E1405F">
        <w:rPr>
          <w:rFonts w:ascii="Arial" w:hAnsi="Arial" w:eastAsiaTheme="minorHAnsi" w:cs="Arial"/>
          <w:sz w:val="24"/>
        </w:rPr>
        <w:t xml:space="preserve"> </w:t>
      </w:r>
      <w:r>
        <w:rPr>
          <w:rFonts w:ascii="Arial" w:hAnsi="Arial" w:eastAsiaTheme="minorHAnsi" w:cs="Arial"/>
          <w:sz w:val="24"/>
        </w:rPr>
        <w:t>This very inexperience, due to the relatively low incidence of disability and the financial hardships we face, demonstrates why HB 2273 / S 1199 is so sorely needed; to provide us the rights most lawyers think we already have and to inform the</w:t>
      </w:r>
      <w:r w:rsidR="00E1405F">
        <w:rPr>
          <w:rFonts w:ascii="Arial" w:hAnsi="Arial" w:eastAsiaTheme="minorHAnsi" w:cs="Arial"/>
          <w:sz w:val="24"/>
        </w:rPr>
        <w:t xml:space="preserve"> advocates who are supposed to protect our rights in these proceedings</w:t>
      </w:r>
      <w:r>
        <w:rPr>
          <w:rFonts w:ascii="Arial" w:hAnsi="Arial" w:eastAsiaTheme="minorHAnsi" w:cs="Arial"/>
          <w:sz w:val="24"/>
        </w:rPr>
        <w:t xml:space="preserve"> what options are available</w:t>
      </w:r>
      <w:r w:rsidR="00E1405F">
        <w:rPr>
          <w:rFonts w:ascii="Arial" w:hAnsi="Arial" w:eastAsiaTheme="minorHAnsi" w:cs="Arial"/>
          <w:sz w:val="24"/>
        </w:rPr>
        <w:t xml:space="preserve">.  </w:t>
      </w:r>
    </w:p>
    <w:p w:rsidR="008A462B" w:rsidP="008A462B">
      <w:pPr>
        <w:rPr>
          <w:rFonts w:ascii="Arial" w:hAnsi="Arial" w:eastAsiaTheme="minorHAnsi" w:cs="Arial"/>
          <w:sz w:val="24"/>
        </w:rPr>
      </w:pPr>
    </w:p>
    <w:p w:rsidR="008A462B" w:rsidP="008A462B">
      <w:pPr>
        <w:rPr>
          <w:rFonts w:ascii="Arial" w:hAnsi="Arial" w:eastAsiaTheme="minorHAnsi" w:cs="Arial"/>
          <w:sz w:val="24"/>
        </w:rPr>
      </w:pPr>
      <w:r>
        <w:rPr>
          <w:rFonts w:ascii="Arial" w:hAnsi="Arial" w:eastAsiaTheme="minorHAnsi" w:cs="Arial"/>
          <w:sz w:val="24"/>
        </w:rPr>
        <w:t>While we agree that protect</w:t>
      </w:r>
      <w:r w:rsidR="00B70186">
        <w:rPr>
          <w:rFonts w:ascii="Arial" w:hAnsi="Arial" w:eastAsiaTheme="minorHAnsi" w:cs="Arial"/>
          <w:sz w:val="24"/>
        </w:rPr>
        <w:t>ing</w:t>
      </w:r>
      <w:r>
        <w:rPr>
          <w:rFonts w:ascii="Arial" w:hAnsi="Arial" w:eastAsiaTheme="minorHAnsi" w:cs="Arial"/>
          <w:sz w:val="24"/>
        </w:rPr>
        <w:t xml:space="preserve"> the rights of </w:t>
      </w:r>
      <w:r w:rsidR="00B70186">
        <w:rPr>
          <w:rFonts w:ascii="Arial" w:hAnsi="Arial" w:eastAsiaTheme="minorHAnsi" w:cs="Arial"/>
          <w:sz w:val="24"/>
        </w:rPr>
        <w:t xml:space="preserve">all disabled </w:t>
      </w:r>
      <w:r>
        <w:rPr>
          <w:rFonts w:ascii="Arial" w:hAnsi="Arial" w:eastAsiaTheme="minorHAnsi" w:cs="Arial"/>
          <w:sz w:val="24"/>
        </w:rPr>
        <w:t>pare</w:t>
      </w:r>
      <w:r>
        <w:rPr>
          <w:rFonts w:ascii="Arial" w:hAnsi="Arial" w:eastAsiaTheme="minorHAnsi" w:cs="Arial"/>
          <w:sz w:val="24"/>
        </w:rPr>
        <w:t xml:space="preserve">nts </w:t>
      </w:r>
      <w:r>
        <w:rPr>
          <w:rFonts w:ascii="Arial" w:hAnsi="Arial" w:eastAsiaTheme="minorHAnsi" w:cs="Arial"/>
          <w:sz w:val="24"/>
        </w:rPr>
        <w:t xml:space="preserve">is ideal, </w:t>
      </w:r>
      <w:r>
        <w:rPr>
          <w:rFonts w:ascii="Arial" w:hAnsi="Arial" w:eastAsiaTheme="minorHAnsi" w:cs="Arial"/>
          <w:sz w:val="24"/>
        </w:rPr>
        <w:t>we cannot speak for people with disabilities writ large.  These parents</w:t>
      </w:r>
      <w:r w:rsidR="00B30E6B">
        <w:rPr>
          <w:rFonts w:ascii="Arial" w:hAnsi="Arial" w:eastAsiaTheme="minorHAnsi" w:cs="Arial"/>
          <w:sz w:val="24"/>
        </w:rPr>
        <w:t>, especially those with</w:t>
      </w:r>
      <w:r>
        <w:rPr>
          <w:rFonts w:ascii="Arial" w:hAnsi="Arial" w:eastAsiaTheme="minorHAnsi" w:cs="Arial"/>
          <w:sz w:val="24"/>
        </w:rPr>
        <w:t xml:space="preserve"> mental illness, as they face the most discrimination</w:t>
      </w:r>
      <w:r w:rsidR="00690961">
        <w:rPr>
          <w:rFonts w:ascii="Arial" w:hAnsi="Arial" w:eastAsiaTheme="minorHAnsi" w:cs="Arial"/>
          <w:sz w:val="24"/>
        </w:rPr>
        <w:t xml:space="preserve"> among parents with disabilities</w:t>
      </w:r>
      <w:r>
        <w:rPr>
          <w:rFonts w:ascii="Arial" w:hAnsi="Arial" w:eastAsiaTheme="minorHAnsi" w:cs="Arial"/>
          <w:sz w:val="24"/>
        </w:rPr>
        <w:t>,</w:t>
      </w:r>
      <w:r>
        <w:rPr>
          <w:rStyle w:val="FootnoteReference"/>
          <w:rFonts w:ascii="Arial" w:hAnsi="Arial" w:eastAsiaTheme="minorHAnsi" w:cs="Arial"/>
          <w:sz w:val="24"/>
        </w:rPr>
        <w:footnoteReference w:id="6"/>
      </w:r>
      <w:r>
        <w:rPr>
          <w:rFonts w:ascii="Arial" w:hAnsi="Arial" w:eastAsiaTheme="minorHAnsi" w:cs="Arial"/>
          <w:sz w:val="24"/>
        </w:rPr>
        <w:t xml:space="preserve"> may need additional safeguards </w:t>
      </w:r>
      <w:r w:rsidR="0087151B">
        <w:rPr>
          <w:rFonts w:ascii="Arial" w:hAnsi="Arial" w:eastAsiaTheme="minorHAnsi" w:cs="Arial"/>
          <w:sz w:val="24"/>
        </w:rPr>
        <w:t>beyond</w:t>
      </w:r>
      <w:r>
        <w:rPr>
          <w:rFonts w:ascii="Arial" w:hAnsi="Arial" w:eastAsiaTheme="minorHAnsi" w:cs="Arial"/>
          <w:sz w:val="24"/>
        </w:rPr>
        <w:t xml:space="preserve"> those provided in this bill.  However, we must not let perfect be the enemy of the good.  We must start by protecting the rights of blind parents and let other groups with different disabilities</w:t>
      </w:r>
      <w:r w:rsidR="00B30E6B">
        <w:rPr>
          <w:rFonts w:ascii="Arial" w:hAnsi="Arial" w:eastAsiaTheme="minorHAnsi" w:cs="Arial"/>
          <w:sz w:val="24"/>
        </w:rPr>
        <w:t xml:space="preserve"> and their advocates</w:t>
      </w:r>
      <w:r>
        <w:rPr>
          <w:rFonts w:ascii="Arial" w:hAnsi="Arial" w:eastAsiaTheme="minorHAnsi" w:cs="Arial"/>
          <w:sz w:val="24"/>
        </w:rPr>
        <w:t xml:space="preserve"> build on this law when they determine what </w:t>
      </w:r>
      <w:r w:rsidR="00690961">
        <w:rPr>
          <w:rFonts w:ascii="Arial" w:hAnsi="Arial" w:eastAsiaTheme="minorHAnsi" w:cs="Arial"/>
          <w:sz w:val="24"/>
        </w:rPr>
        <w:t>safeguards will ensure their rights are protected as well</w:t>
      </w:r>
      <w:r>
        <w:rPr>
          <w:rFonts w:ascii="Arial" w:hAnsi="Arial" w:eastAsiaTheme="minorHAnsi" w:cs="Arial"/>
          <w:sz w:val="24"/>
        </w:rPr>
        <w:t xml:space="preserve">.  </w:t>
      </w:r>
    </w:p>
    <w:p w:rsidR="00E1405F" w:rsidP="004F03F8">
      <w:pPr>
        <w:rPr>
          <w:rFonts w:ascii="Arial" w:hAnsi="Arial" w:eastAsiaTheme="minorHAnsi" w:cs="Arial"/>
          <w:sz w:val="24"/>
        </w:rPr>
      </w:pPr>
      <w:r>
        <w:rPr>
          <w:rFonts w:ascii="Arial" w:hAnsi="Arial" w:eastAsiaTheme="minorHAnsi" w:cs="Arial"/>
          <w:sz w:val="24"/>
        </w:rPr>
        <w:t xml:space="preserve">  </w:t>
      </w:r>
    </w:p>
    <w:p w:rsidR="004F03F8" w:rsidP="00F21FB9">
      <w:pPr>
        <w:jc w:val="right"/>
        <w:rPr>
          <w:rFonts w:ascii="Arial" w:hAnsi="Arial" w:eastAsiaTheme="minorHAnsi" w:cs="Arial"/>
          <w:sz w:val="24"/>
        </w:rPr>
      </w:pPr>
      <w:r w:rsidRPr="004F03F8">
        <w:rPr>
          <w:rFonts w:ascii="Arial" w:hAnsi="Arial" w:eastAsiaTheme="minorHAnsi" w:cs="Arial"/>
          <w:sz w:val="24"/>
        </w:rPr>
        <w:t>Derek Manners</w:t>
      </w:r>
      <w:r w:rsidR="00F21FB9">
        <w:rPr>
          <w:rFonts w:ascii="Arial" w:hAnsi="Arial" w:eastAsiaTheme="minorHAnsi" w:cs="Arial"/>
          <w:sz w:val="24"/>
        </w:rPr>
        <w:t>, Esq.</w:t>
      </w:r>
    </w:p>
    <w:p w:rsidR="00F21FB9" w:rsidRPr="004F03F8" w:rsidP="00F21FB9">
      <w:pPr>
        <w:jc w:val="right"/>
        <w:rPr>
          <w:rFonts w:ascii="Arial" w:hAnsi="Arial" w:eastAsiaTheme="minorHAnsi" w:cs="Arial"/>
          <w:sz w:val="24"/>
        </w:rPr>
      </w:pPr>
      <w:r>
        <w:rPr>
          <w:rFonts w:ascii="Arial" w:hAnsi="Arial" w:eastAsiaTheme="minorHAnsi" w:cs="Arial"/>
          <w:sz w:val="24"/>
        </w:rPr>
        <w:t>Virginia Bar Number: 90894</w:t>
      </w:r>
    </w:p>
    <w:p w:rsidR="004F03F8" w:rsidP="00F21FB9">
      <w:pPr>
        <w:jc w:val="right"/>
        <w:rPr>
          <w:rFonts w:ascii="Arial" w:hAnsi="Arial" w:eastAsiaTheme="minorHAnsi" w:cs="Arial"/>
          <w:sz w:val="24"/>
        </w:rPr>
      </w:pPr>
      <w:r>
        <w:fldChar w:fldCharType="begin"/>
      </w:r>
      <w:r>
        <w:instrText xml:space="preserve"> HYPERLINK "mailto:dmanners@jd16.law.harvard.edu" </w:instrText>
      </w:r>
      <w:r>
        <w:fldChar w:fldCharType="separate"/>
      </w:r>
      <w:r w:rsidRPr="00D70885" w:rsidR="00F21FB9">
        <w:rPr>
          <w:rStyle w:val="Hyperlink"/>
          <w:rFonts w:ascii="Arial" w:hAnsi="Arial" w:eastAsiaTheme="minorHAnsi" w:cs="Arial"/>
          <w:sz w:val="24"/>
        </w:rPr>
        <w:t>dmanners@jd16.law.harvard.edu</w:t>
      </w:r>
      <w:r>
        <w:fldChar w:fldCharType="end"/>
      </w:r>
    </w:p>
    <w:p w:rsidR="00F21FB9" w:rsidRPr="004F03F8" w:rsidP="00F21FB9">
      <w:pPr>
        <w:jc w:val="right"/>
        <w:rPr>
          <w:rFonts w:ascii="Arial" w:hAnsi="Arial" w:eastAsiaTheme="minorHAnsi" w:cs="Arial"/>
          <w:sz w:val="24"/>
        </w:rPr>
      </w:pPr>
      <w:r>
        <w:rPr>
          <w:rFonts w:ascii="Arial" w:hAnsi="Arial" w:eastAsiaTheme="minorHAnsi" w:cs="Arial"/>
          <w:sz w:val="24"/>
        </w:rPr>
        <w:t>903-271-6494</w:t>
      </w:r>
    </w:p>
    <w:sectPr w:rsidSect="00444964">
      <w:footerReference w:type="default" r:id="rId6"/>
      <w:footerReference w:type="first" r:id="rId7"/>
      <w:pgSz w:w="12240" w:h="15840" w:code="1"/>
      <w:pgMar w:top="1260" w:right="900" w:bottom="1440" w:left="9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FA7">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67575" cy="4857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608" w:rsidRPr="00C226FB" w:rsidP="009F0608">
                          <w:pPr>
                            <w:jc w:val="center"/>
                            <w:rPr>
                              <w:rFonts w:ascii="Arial" w:hAnsi="Arial" w:cs="Arial"/>
                              <w:sz w:val="19"/>
                              <w:szCs w:val="19"/>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572.25pt;height:38.25pt;margin-top:-4.05pt;margin-left:-27.75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p w:rsidR="009F0608" w:rsidRPr="00C226FB"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FA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77100" cy="3714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P="0069124A">
                          <w:pPr>
                            <w:spacing w:line="260" w:lineRule="exact"/>
                            <w:jc w:val="center"/>
                            <w:rPr>
                              <w:rFonts w:ascii="Arial" w:hAnsi="Arial" w:cs="Arial"/>
                              <w:sz w:val="19"/>
                              <w:szCs w:val="19"/>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573pt;height:29.25pt;margin-top:7.2pt;margin-left:-27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24227C" w:rsidRPr="00C226FB" w:rsidP="0069124A">
                    <w:pPr>
                      <w:spacing w:line="260" w:lineRule="exact"/>
                      <w:jc w:val="center"/>
                      <w:rPr>
                        <w:rFonts w:ascii="Arial" w:hAnsi="Arial" w:cs="Arial"/>
                        <w:sz w:val="19"/>
                        <w:szCs w:val="1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52A2">
      <w:r>
        <w:separator/>
      </w:r>
    </w:p>
  </w:footnote>
  <w:footnote w:type="continuationSeparator" w:id="1">
    <w:p w:rsidR="00C452A2">
      <w:r>
        <w:continuationSeparator/>
      </w:r>
    </w:p>
  </w:footnote>
  <w:footnote w:id="2">
    <w:p w:rsidR="00F21FB9" w:rsidRPr="0077105D" w:rsidP="00F21FB9">
      <w:pPr>
        <w:pStyle w:val="FootnoteText"/>
      </w:pPr>
      <w:r>
        <w:rPr>
          <w:rStyle w:val="FootnoteReference"/>
        </w:rPr>
        <w:footnoteRef/>
      </w:r>
      <w:r>
        <w:t xml:space="preserve"> Case </w:t>
      </w:r>
      <w:r>
        <w:rPr>
          <w:i/>
        </w:rPr>
        <w:t xml:space="preserve">available at </w:t>
      </w:r>
      <w:r>
        <w:fldChar w:fldCharType="begin"/>
      </w:r>
      <w:r>
        <w:instrText xml:space="preserve"> HYPERLINK "http://caselaw.findlaw.com/sd-supreme-court/1309193.html" </w:instrText>
      </w:r>
      <w:r>
        <w:fldChar w:fldCharType="separate"/>
      </w:r>
      <w:r w:rsidRPr="00D70885">
        <w:rPr>
          <w:rStyle w:val="Hyperlink"/>
        </w:rPr>
        <w:t>http://caselaw.findlaw.com/sd-supreme-court/1309193.html</w:t>
      </w:r>
      <w:r>
        <w:fldChar w:fldCharType="end"/>
      </w:r>
      <w:r>
        <w:t xml:space="preserve"> </w:t>
      </w:r>
    </w:p>
  </w:footnote>
  <w:footnote w:id="3">
    <w:p w:rsidR="0077105D" w:rsidRPr="0077105D">
      <w:pPr>
        <w:pStyle w:val="FootnoteText"/>
      </w:pPr>
      <w:r>
        <w:rPr>
          <w:rStyle w:val="FootnoteReference"/>
        </w:rPr>
        <w:footnoteRef/>
      </w:r>
      <w:r>
        <w:t xml:space="preserve"> Report for resolution 114 </w:t>
      </w:r>
      <w:r>
        <w:rPr>
          <w:i/>
        </w:rPr>
        <w:t>available at</w:t>
      </w:r>
      <w:r w:rsidRPr="0077105D">
        <w:t xml:space="preserve"> </w:t>
      </w:r>
      <w:r>
        <w:fldChar w:fldCharType="begin"/>
      </w:r>
      <w:r>
        <w:instrText xml:space="preserve"> HYPERLINK "http://www.americanbar.org/content/dam/aba/administrative/house_of_delegates/2017_hod_midyear_electronic_report_book.authcheckdam.pdf" </w:instrText>
      </w:r>
      <w:r>
        <w:fldChar w:fldCharType="separate"/>
      </w:r>
      <w:r w:rsidRPr="00D70885">
        <w:rPr>
          <w:rStyle w:val="Hyperlink"/>
        </w:rPr>
        <w:t>http://www.americanbar.org/content/dam/aba/administrative/house_of_delegates/2017_hod_midyear_electronic_report_book.authcheckdam.pdf</w:t>
      </w:r>
      <w:r>
        <w:fldChar w:fldCharType="end"/>
      </w:r>
      <w:r>
        <w:t xml:space="preserve"> </w:t>
      </w:r>
    </w:p>
  </w:footnote>
  <w:footnote w:id="4">
    <w:p w:rsidR="009653EF">
      <w:pPr>
        <w:pStyle w:val="FootnoteText"/>
      </w:pPr>
      <w:r>
        <w:rPr>
          <w:rStyle w:val="FootnoteReference"/>
        </w:rPr>
        <w:footnoteRef/>
      </w:r>
      <w:r>
        <w:t xml:space="preserve"> </w:t>
      </w:r>
      <w:r w:rsidR="00E1405F">
        <w:t xml:space="preserve">Report </w:t>
      </w:r>
      <w:r w:rsidRPr="00E1405F" w:rsidR="00E1405F">
        <w:rPr>
          <w:i/>
        </w:rPr>
        <w:t>available at</w:t>
      </w:r>
      <w:r w:rsidR="00E1405F">
        <w:t xml:space="preserve"> </w:t>
      </w:r>
      <w:r>
        <w:fldChar w:fldCharType="begin"/>
      </w:r>
      <w:r>
        <w:instrText xml:space="preserve"> HYPERLINK "https://www.ada.gov/doj_hhs_ta/child_welfare_ta.html" \l "_ftn10" </w:instrText>
      </w:r>
      <w:r>
        <w:fldChar w:fldCharType="separate"/>
      </w:r>
      <w:r w:rsidRPr="00D70885" w:rsidR="00E1405F">
        <w:rPr>
          <w:rStyle w:val="Hyperlink"/>
        </w:rPr>
        <w:t>https://www.ada.gov/doj_hhs_ta/child_welfare_ta.html#_ftn10</w:t>
      </w:r>
      <w:r>
        <w:fldChar w:fldCharType="end"/>
      </w:r>
      <w:r w:rsidR="00E1405F">
        <w:t xml:space="preserve">  </w:t>
      </w:r>
    </w:p>
  </w:footnote>
  <w:footnote w:id="5">
    <w:p w:rsidR="00B30E6B">
      <w:pPr>
        <w:pStyle w:val="FootnoteText"/>
      </w:pPr>
      <w:r>
        <w:rPr>
          <w:rStyle w:val="FootnoteReference"/>
        </w:rPr>
        <w:footnoteRef/>
      </w:r>
      <w:r>
        <w:t xml:space="preserve"> </w:t>
      </w:r>
      <w:r w:rsidRPr="00B30E6B">
        <w:rPr>
          <w:i/>
        </w:rPr>
        <w:t>Available at</w:t>
      </w:r>
      <w:r>
        <w:t xml:space="preserve"> </w:t>
      </w:r>
      <w:r>
        <w:fldChar w:fldCharType="begin"/>
      </w:r>
      <w:r>
        <w:instrText xml:space="preserve"> HYPERLINK "http://www.courts.state.va.us/opinions/opncavtx/3156021.txt" </w:instrText>
      </w:r>
      <w:r>
        <w:fldChar w:fldCharType="separate"/>
      </w:r>
      <w:r w:rsidRPr="004738D3">
        <w:rPr>
          <w:rStyle w:val="Hyperlink"/>
        </w:rPr>
        <w:t>http://www.courts.state.va.us/opinions/opncavtx/3156021.txt</w:t>
      </w:r>
      <w:r>
        <w:fldChar w:fldCharType="end"/>
      </w:r>
      <w:r>
        <w:t xml:space="preserve">. </w:t>
      </w:r>
    </w:p>
  </w:footnote>
  <w:footnote w:id="6">
    <w:p w:rsidR="008A462B" w:rsidRPr="00F21FB9">
      <w:pPr>
        <w:pStyle w:val="FootnoteText"/>
      </w:pPr>
      <w:r>
        <w:rPr>
          <w:rStyle w:val="FootnoteReference"/>
        </w:rPr>
        <w:footnoteRef/>
      </w:r>
      <w:r>
        <w:t xml:space="preserve"> </w:t>
      </w:r>
      <w:r w:rsidR="00F21FB9">
        <w:rPr>
          <w:i/>
        </w:rPr>
        <w:t xml:space="preserve">See </w:t>
      </w:r>
      <w:r w:rsidR="00F21FB9">
        <w:t>sources in footnotes 2 and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B750449"/>
    <w:multiLevelType w:val="hybridMultilevel"/>
    <w:tmpl w:val="C00E8E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uiPriority w:val="99"/>
    <w:unhideWhenUsed/>
    <w:rsid w:val="004F03F8"/>
    <w:rPr>
      <w:rFonts w:ascii="Calibri" w:hAnsi="Calibri" w:eastAsiaTheme="minorHAnsi"/>
      <w:sz w:val="20"/>
      <w:szCs w:val="20"/>
    </w:rPr>
  </w:style>
  <w:style w:type="character" w:customStyle="1" w:styleId="FootnoteTextChar">
    <w:name w:val="Footnote Text Char"/>
    <w:basedOn w:val="DefaultParagraphFont"/>
    <w:link w:val="FootnoteText"/>
    <w:uiPriority w:val="99"/>
    <w:rsid w:val="004F03F8"/>
    <w:rPr>
      <w:rFonts w:ascii="Calibri" w:hAnsi="Calibri" w:eastAsiaTheme="minorHAnsi"/>
    </w:rPr>
  </w:style>
  <w:style w:type="character" w:styleId="FootnoteReference">
    <w:name w:val="footnote reference"/>
    <w:basedOn w:val="DefaultParagraphFont"/>
    <w:uiPriority w:val="99"/>
    <w:unhideWhenUsed/>
    <w:rsid w:val="004F0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KKuhnke\Desktop\Letterhead\NFB%20Letterhead%20Final%20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CEFE-A474-4704-94F0-80BC8E33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K.dotx</Template>
  <TotalTime>0</TotalTime>
  <Pages>3</Pages>
  <Words>1435</Words>
  <Characters>7663</Characters>
  <Application>Microsoft Office Word</Application>
  <DocSecurity>0</DocSecurity>
  <Lines>124</Lines>
  <Paragraphs>24</Paragraphs>
  <ScaleCrop>false</ScaleCrop>
  <HeadingPairs>
    <vt:vector size="2" baseType="variant">
      <vt:variant>
        <vt:lpstr>Title</vt:lpstr>
      </vt:variant>
      <vt:variant>
        <vt:i4>1</vt:i4>
      </vt:variant>
    </vt:vector>
  </HeadingPairs>
  <TitlesOfParts>
    <vt:vector size="1" baseType="lpstr">
      <vt:lpstr>July 24, 2002</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2017-02-15T14:58:49Z</dcterms:created>
  <dcterms:modified xsi:type="dcterms:W3CDTF">2017-02-15T14:58:49Z</dcterms:modified>
</cp:coreProperties>
</file>