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D" w:rsidRPr="00655977" w:rsidRDefault="003E194D" w:rsidP="003E194D">
      <w:pPr>
        <w:jc w:val="center"/>
        <w:rPr>
          <w:rFonts w:cs="Arial"/>
          <w:b/>
          <w:bCs/>
          <w:caps/>
          <w:sz w:val="4"/>
          <w:szCs w:val="4"/>
        </w:rPr>
      </w:pPr>
    </w:p>
    <w:p w:rsidR="00B85B06" w:rsidRDefault="00B85B06" w:rsidP="000574B3">
      <w:pPr>
        <w:pStyle w:val="Heading1"/>
        <w:rPr>
          <w:sz w:val="28"/>
          <w:szCs w:val="28"/>
        </w:rPr>
      </w:pPr>
    </w:p>
    <w:p w:rsidR="000574B3" w:rsidRPr="00EB3B34" w:rsidRDefault="000574B3" w:rsidP="000574B3">
      <w:pPr>
        <w:pStyle w:val="Heading1"/>
        <w:rPr>
          <w:sz w:val="28"/>
          <w:szCs w:val="28"/>
        </w:rPr>
      </w:pPr>
      <w:r w:rsidRPr="00EB3B34">
        <w:rPr>
          <w:sz w:val="28"/>
          <w:szCs w:val="28"/>
        </w:rPr>
        <w:t>Legislative Agenda of Blind Americans</w:t>
      </w:r>
    </w:p>
    <w:p w:rsidR="000574B3" w:rsidRDefault="0008346B" w:rsidP="0033116D">
      <w:pPr>
        <w:pStyle w:val="Subtitle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color w:val="auto"/>
          <w:sz w:val="28"/>
          <w:szCs w:val="28"/>
        </w:rPr>
        <w:t>PRIORITIES FOR THE 116TH CONGRESS, FIRST</w:t>
      </w:r>
      <w:r w:rsidR="0033116D" w:rsidRPr="0033116D">
        <w:rPr>
          <w:rFonts w:ascii="Helvetica" w:hAnsi="Helvetica"/>
          <w:b/>
          <w:color w:val="auto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ab/>
      </w:r>
      <w:r w:rsidR="0033116D" w:rsidRPr="0033116D">
        <w:rPr>
          <w:rFonts w:ascii="Helvetica" w:hAnsi="Helvetica"/>
          <w:b/>
          <w:color w:val="auto"/>
          <w:sz w:val="28"/>
          <w:szCs w:val="28"/>
        </w:rPr>
        <w:t>SESSION</w:t>
      </w:r>
      <w:r w:rsidR="00895B1F" w:rsidRPr="0033116D">
        <w:rPr>
          <w:rFonts w:ascii="Helvetica" w:hAnsi="Helvetica"/>
          <w:b/>
          <w:sz w:val="28"/>
          <w:szCs w:val="28"/>
        </w:rPr>
        <w:br/>
      </w:r>
    </w:p>
    <w:p w:rsidR="00B85B06" w:rsidRPr="00B85B06" w:rsidRDefault="00B85B06" w:rsidP="00B85B06"/>
    <w:p w:rsidR="003E194D" w:rsidRPr="003E194D" w:rsidRDefault="003E194D" w:rsidP="003E194D">
      <w:pPr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rPr>
          <w:rFonts w:cs="Arial"/>
          <w:sz w:val="12"/>
          <w:szCs w:val="12"/>
        </w:rPr>
      </w:pPr>
    </w:p>
    <w:p w:rsidR="003E194D" w:rsidRPr="00B85B06" w:rsidRDefault="006E1164" w:rsidP="003E194D">
      <w:pPr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jc w:val="center"/>
        <w:rPr>
          <w:rFonts w:cs="Arial"/>
          <w:b/>
          <w:sz w:val="24"/>
        </w:rPr>
      </w:pPr>
      <w:r w:rsidRPr="00B85B06">
        <w:rPr>
          <w:rFonts w:cs="Arial"/>
          <w:b/>
          <w:sz w:val="24"/>
        </w:rPr>
        <w:t xml:space="preserve">The National Federation of the Blind is a community of members and friends who believe in the hopes and dreams of the nation’s blind. Every day we work together to help blind people live the lives </w:t>
      </w:r>
      <w:r w:rsidR="00C961F1" w:rsidRPr="00B85B06">
        <w:rPr>
          <w:rFonts w:cs="Arial"/>
          <w:b/>
          <w:sz w:val="24"/>
        </w:rPr>
        <w:t>we</w:t>
      </w:r>
      <w:r w:rsidRPr="00B85B06">
        <w:rPr>
          <w:rFonts w:cs="Arial"/>
          <w:b/>
          <w:sz w:val="24"/>
        </w:rPr>
        <w:t xml:space="preserve"> want.</w:t>
      </w:r>
    </w:p>
    <w:p w:rsidR="003E194D" w:rsidRPr="00B85B06" w:rsidRDefault="003E194D" w:rsidP="003E194D">
      <w:pPr>
        <w:pBdr>
          <w:top w:val="single" w:sz="24" w:space="1" w:color="800080"/>
          <w:left w:val="single" w:sz="24" w:space="4" w:color="800080"/>
          <w:bottom w:val="single" w:sz="24" w:space="1" w:color="800080"/>
          <w:right w:val="single" w:sz="24" w:space="4" w:color="800080"/>
        </w:pBdr>
        <w:rPr>
          <w:rFonts w:cs="Arial"/>
          <w:b/>
          <w:sz w:val="24"/>
        </w:rPr>
      </w:pPr>
    </w:p>
    <w:p w:rsidR="003E194D" w:rsidRPr="00B85B06" w:rsidRDefault="003E194D" w:rsidP="003E194D">
      <w:pPr>
        <w:rPr>
          <w:rFonts w:cs="Arial"/>
          <w:sz w:val="24"/>
        </w:rPr>
      </w:pPr>
    </w:p>
    <w:p w:rsidR="000574B3" w:rsidRPr="00B85B06" w:rsidRDefault="000574B3" w:rsidP="000574B3">
      <w:pPr>
        <w:numPr>
          <w:ilvl w:val="0"/>
          <w:numId w:val="1"/>
        </w:numPr>
        <w:spacing w:after="120"/>
        <w:rPr>
          <w:rFonts w:cs="Arial"/>
          <w:color w:val="006699"/>
          <w:sz w:val="24"/>
          <w:u w:val="single"/>
        </w:rPr>
      </w:pPr>
      <w:r w:rsidRPr="00B85B06">
        <w:rPr>
          <w:rFonts w:cs="Arial"/>
          <w:b/>
          <w:color w:val="006699"/>
          <w:sz w:val="24"/>
        </w:rPr>
        <w:t xml:space="preserve">The </w:t>
      </w:r>
      <w:r w:rsidR="0008346B" w:rsidRPr="00B85B06">
        <w:rPr>
          <w:rFonts w:cs="Arial"/>
          <w:b/>
          <w:color w:val="006699"/>
          <w:sz w:val="24"/>
        </w:rPr>
        <w:t>Access Technology Affordability Act (ATAA)</w:t>
      </w:r>
    </w:p>
    <w:p w:rsidR="003E194D" w:rsidRPr="00B85B06" w:rsidRDefault="0008346B" w:rsidP="00976424">
      <w:pPr>
        <w:pStyle w:val="ListParagraph"/>
        <w:spacing w:after="120"/>
        <w:ind w:left="360"/>
        <w:rPr>
          <w:rFonts w:cs="Arial"/>
          <w:sz w:val="24"/>
        </w:rPr>
      </w:pPr>
      <w:bookmarkStart w:id="0" w:name="OLE_LINK1"/>
      <w:bookmarkStart w:id="1" w:name="OLE_LINK2"/>
      <w:r w:rsidRPr="00B85B06">
        <w:rPr>
          <w:rFonts w:cs="Arial"/>
          <w:sz w:val="24"/>
        </w:rPr>
        <w:t>The cost of critically needed access technology is out of reach for most blind Americans.</w:t>
      </w:r>
      <w:r w:rsidR="000574B3" w:rsidRPr="00B85B06">
        <w:rPr>
          <w:rFonts w:cs="Arial"/>
          <w:sz w:val="24"/>
        </w:rPr>
        <w:t xml:space="preserve"> By providing a refundable tax credit for qualifying purchases, Congress </w:t>
      </w:r>
      <w:r w:rsidR="00C961F1" w:rsidRPr="00B85B06">
        <w:rPr>
          <w:rFonts w:cs="Arial"/>
          <w:sz w:val="24"/>
        </w:rPr>
        <w:t>will</w:t>
      </w:r>
      <w:r w:rsidR="000574B3" w:rsidRPr="00B85B06">
        <w:rPr>
          <w:rFonts w:cs="Arial"/>
          <w:sz w:val="24"/>
        </w:rPr>
        <w:t xml:space="preserve"> stimulate individual procurement of </w:t>
      </w:r>
      <w:r w:rsidR="00AC167C" w:rsidRPr="00B85B06">
        <w:rPr>
          <w:rFonts w:cs="Arial"/>
          <w:sz w:val="24"/>
        </w:rPr>
        <w:t>this</w:t>
      </w:r>
      <w:r w:rsidR="000574B3" w:rsidRPr="00B85B06">
        <w:rPr>
          <w:rFonts w:cs="Arial"/>
          <w:sz w:val="24"/>
        </w:rPr>
        <w:t xml:space="preserve"> technology and promote affordability of these </w:t>
      </w:r>
      <w:r w:rsidR="00AC167C" w:rsidRPr="00B85B06">
        <w:rPr>
          <w:rFonts w:cs="Arial"/>
          <w:sz w:val="24"/>
        </w:rPr>
        <w:t>tools</w:t>
      </w:r>
      <w:r w:rsidR="000574B3" w:rsidRPr="00B85B06">
        <w:rPr>
          <w:rFonts w:cs="Arial"/>
          <w:sz w:val="24"/>
        </w:rPr>
        <w:t>.</w:t>
      </w:r>
    </w:p>
    <w:bookmarkEnd w:id="0"/>
    <w:bookmarkEnd w:id="1"/>
    <w:p w:rsidR="0008346B" w:rsidRPr="00B85B06" w:rsidRDefault="00836467" w:rsidP="00237C79">
      <w:pPr>
        <w:numPr>
          <w:ilvl w:val="0"/>
          <w:numId w:val="1"/>
        </w:numPr>
        <w:spacing w:after="120"/>
        <w:rPr>
          <w:rFonts w:cs="Arial"/>
          <w:sz w:val="24"/>
        </w:rPr>
      </w:pPr>
      <w:r>
        <w:rPr>
          <w:rFonts w:cs="Arial"/>
          <w:b/>
          <w:color w:val="006699"/>
          <w:sz w:val="24"/>
        </w:rPr>
        <w:t xml:space="preserve">The </w:t>
      </w:r>
      <w:bookmarkStart w:id="2" w:name="_GoBack"/>
      <w:bookmarkEnd w:id="2"/>
      <w:r w:rsidR="0008346B" w:rsidRPr="00B85B06">
        <w:rPr>
          <w:rFonts w:cs="Arial"/>
          <w:b/>
          <w:color w:val="006699"/>
          <w:sz w:val="24"/>
        </w:rPr>
        <w:t>Gr</w:t>
      </w:r>
      <w:r w:rsidR="00AC167C" w:rsidRPr="00B85B06">
        <w:rPr>
          <w:rFonts w:cs="Arial"/>
          <w:b/>
          <w:color w:val="006699"/>
          <w:sz w:val="24"/>
        </w:rPr>
        <w:t>e</w:t>
      </w:r>
      <w:r w:rsidR="0008346B" w:rsidRPr="00B85B06">
        <w:rPr>
          <w:rFonts w:cs="Arial"/>
          <w:b/>
          <w:color w:val="006699"/>
          <w:sz w:val="24"/>
        </w:rPr>
        <w:t>ater Accessibility and Independence through Nonvisual Access Technology (GAIN) Act</w:t>
      </w:r>
    </w:p>
    <w:p w:rsidR="0008346B" w:rsidRPr="00B85B06" w:rsidRDefault="00B85B06" w:rsidP="0008346B">
      <w:pPr>
        <w:spacing w:after="120"/>
        <w:ind w:left="360"/>
        <w:rPr>
          <w:rFonts w:cs="Arial"/>
          <w:sz w:val="24"/>
        </w:rPr>
      </w:pPr>
      <w:r w:rsidRPr="00B85B06">
        <w:rPr>
          <w:rFonts w:cs="Arial"/>
          <w:sz w:val="24"/>
        </w:rPr>
        <w:t>Advanced digital interfaces create barriers that prevent blind individuals from independently operating essential devices that enhance quality of life</w:t>
      </w:r>
      <w:r w:rsidR="000345D8" w:rsidRPr="00B85B06">
        <w:rPr>
          <w:rFonts w:cs="Arial"/>
          <w:sz w:val="24"/>
        </w:rPr>
        <w:t>.</w:t>
      </w:r>
      <w:r w:rsidR="002E3A6A" w:rsidRPr="00B85B06">
        <w:rPr>
          <w:rFonts w:cs="Arial"/>
          <w:sz w:val="24"/>
        </w:rPr>
        <w:t xml:space="preserve"> Congress must end the digital divide that threatens the independence of blind Americans by developing minimum accessibility requirements for such devices.</w:t>
      </w:r>
    </w:p>
    <w:p w:rsidR="002E3A6A" w:rsidRPr="00B85B06" w:rsidRDefault="002E3A6A" w:rsidP="009F735E">
      <w:pPr>
        <w:numPr>
          <w:ilvl w:val="0"/>
          <w:numId w:val="1"/>
        </w:numPr>
        <w:spacing w:after="120"/>
        <w:rPr>
          <w:rFonts w:cs="Arial"/>
          <w:sz w:val="24"/>
        </w:rPr>
      </w:pPr>
      <w:r w:rsidRPr="00B85B06">
        <w:rPr>
          <w:rFonts w:cs="Arial"/>
          <w:b/>
          <w:color w:val="006699"/>
          <w:sz w:val="24"/>
        </w:rPr>
        <w:t>The Disability Employment Act (DEA)</w:t>
      </w:r>
    </w:p>
    <w:p w:rsidR="000574B3" w:rsidRPr="00B85B06" w:rsidRDefault="00B85B06" w:rsidP="003E194D">
      <w:pPr>
        <w:tabs>
          <w:tab w:val="left" w:pos="360"/>
        </w:tabs>
        <w:ind w:left="360"/>
        <w:rPr>
          <w:rFonts w:cs="Arial"/>
          <w:sz w:val="24"/>
        </w:rPr>
      </w:pPr>
      <w:r w:rsidRPr="00B85B06">
        <w:rPr>
          <w:rFonts w:cs="Arial"/>
          <w:sz w:val="24"/>
        </w:rPr>
        <w:t>An outdated approach to employment fails to adequately equip workers with disabilities for the challenges of the twenty-first century</w:t>
      </w:r>
      <w:r w:rsidR="002E3A6A" w:rsidRPr="00B85B06">
        <w:rPr>
          <w:rFonts w:cs="Arial"/>
          <w:sz w:val="24"/>
        </w:rPr>
        <w:t>. The Disability Employment Act will spur innovation that will increase and enhance modern employment opportunities for people with disabilities.</w:t>
      </w:r>
    </w:p>
    <w:p w:rsidR="00AC167C" w:rsidRPr="00B85B06" w:rsidRDefault="00AC167C" w:rsidP="003E194D">
      <w:pPr>
        <w:tabs>
          <w:tab w:val="left" w:pos="360"/>
        </w:tabs>
        <w:ind w:left="360"/>
        <w:rPr>
          <w:rFonts w:cs="Arial"/>
          <w:sz w:val="24"/>
        </w:rPr>
      </w:pPr>
    </w:p>
    <w:p w:rsidR="003E194D" w:rsidRPr="00B85B06" w:rsidRDefault="003E194D" w:rsidP="00655977">
      <w:pPr>
        <w:pBdr>
          <w:top w:val="single" w:sz="24" w:space="1" w:color="800080"/>
          <w:left w:val="single" w:sz="24" w:space="4" w:color="800080"/>
          <w:bottom w:val="single" w:sz="24" w:space="0" w:color="800080"/>
          <w:right w:val="single" w:sz="24" w:space="4" w:color="800080"/>
        </w:pBdr>
        <w:rPr>
          <w:rFonts w:cs="Arial"/>
          <w:sz w:val="24"/>
        </w:rPr>
      </w:pPr>
    </w:p>
    <w:p w:rsidR="0000720F" w:rsidRDefault="004F766C" w:rsidP="00655977">
      <w:pPr>
        <w:pBdr>
          <w:top w:val="single" w:sz="24" w:space="1" w:color="800080"/>
          <w:left w:val="single" w:sz="24" w:space="4" w:color="800080"/>
          <w:bottom w:val="single" w:sz="24" w:space="0" w:color="800080"/>
          <w:right w:val="single" w:sz="24" w:space="4" w:color="800080"/>
        </w:pBdr>
        <w:jc w:val="center"/>
        <w:rPr>
          <w:rFonts w:cs="Arial"/>
          <w:b/>
          <w:sz w:val="22"/>
          <w:szCs w:val="22"/>
        </w:rPr>
      </w:pPr>
      <w:r w:rsidRPr="00B85B06">
        <w:rPr>
          <w:rFonts w:cs="Arial"/>
          <w:b/>
          <w:sz w:val="24"/>
        </w:rPr>
        <w:t>These priorities will remove obstacles</w:t>
      </w:r>
      <w:r w:rsidR="003E194D" w:rsidRPr="00B85B06">
        <w:rPr>
          <w:rFonts w:cs="Arial"/>
          <w:b/>
          <w:sz w:val="24"/>
        </w:rPr>
        <w:t xml:space="preserve"> </w:t>
      </w:r>
      <w:r w:rsidR="005E15BD" w:rsidRPr="00B85B06">
        <w:rPr>
          <w:rFonts w:cs="Arial"/>
          <w:b/>
          <w:sz w:val="24"/>
        </w:rPr>
        <w:t xml:space="preserve">to </w:t>
      </w:r>
      <w:r w:rsidR="00F223DC" w:rsidRPr="00B85B06">
        <w:rPr>
          <w:rFonts w:cs="Arial"/>
          <w:b/>
          <w:sz w:val="24"/>
        </w:rPr>
        <w:t>education</w:t>
      </w:r>
      <w:r w:rsidRPr="00B85B06">
        <w:rPr>
          <w:rFonts w:cs="Arial"/>
          <w:b/>
          <w:sz w:val="24"/>
        </w:rPr>
        <w:t>, e</w:t>
      </w:r>
      <w:r w:rsidR="00F223DC" w:rsidRPr="00B85B06">
        <w:rPr>
          <w:rFonts w:cs="Arial"/>
          <w:b/>
          <w:sz w:val="24"/>
        </w:rPr>
        <w:t>mployment</w:t>
      </w:r>
      <w:r w:rsidR="003E194D" w:rsidRPr="00B85B06">
        <w:rPr>
          <w:rFonts w:cs="Arial"/>
          <w:b/>
          <w:sz w:val="24"/>
        </w:rPr>
        <w:t xml:space="preserve">, and </w:t>
      </w:r>
      <w:r w:rsidR="005E15BD" w:rsidRPr="00B85B06">
        <w:rPr>
          <w:rFonts w:cs="Arial"/>
          <w:b/>
          <w:sz w:val="24"/>
        </w:rPr>
        <w:t>independent living</w:t>
      </w:r>
      <w:r w:rsidR="003E194D" w:rsidRPr="00B85B06">
        <w:rPr>
          <w:rFonts w:cs="Arial"/>
          <w:b/>
          <w:sz w:val="24"/>
        </w:rPr>
        <w:t>. We urge Congress to support our legislative initiatives.</w:t>
      </w:r>
    </w:p>
    <w:p w:rsidR="00655977" w:rsidRPr="00655977" w:rsidRDefault="00655977" w:rsidP="00655977">
      <w:pPr>
        <w:pBdr>
          <w:top w:val="single" w:sz="24" w:space="1" w:color="800080"/>
          <w:left w:val="single" w:sz="24" w:space="4" w:color="800080"/>
          <w:bottom w:val="single" w:sz="24" w:space="0" w:color="800080"/>
          <w:right w:val="single" w:sz="24" w:space="4" w:color="800080"/>
        </w:pBdr>
        <w:jc w:val="center"/>
        <w:rPr>
          <w:rFonts w:cs="Arial"/>
          <w:b/>
          <w:sz w:val="16"/>
          <w:szCs w:val="16"/>
        </w:rPr>
      </w:pPr>
    </w:p>
    <w:p w:rsidR="008D12A3" w:rsidRPr="00655977" w:rsidRDefault="008D12A3" w:rsidP="008D12A3">
      <w:pPr>
        <w:rPr>
          <w:rFonts w:cs="Arial"/>
          <w:sz w:val="4"/>
          <w:szCs w:val="4"/>
        </w:rPr>
      </w:pPr>
    </w:p>
    <w:p w:rsidR="008D12A3" w:rsidRPr="00655977" w:rsidRDefault="008D12A3" w:rsidP="008D12A3">
      <w:pPr>
        <w:rPr>
          <w:rFonts w:cs="Arial"/>
          <w:sz w:val="4"/>
          <w:szCs w:val="4"/>
        </w:rPr>
      </w:pPr>
    </w:p>
    <w:p w:rsidR="00B85B06" w:rsidRDefault="00B85B06" w:rsidP="008D12A3">
      <w:pPr>
        <w:rPr>
          <w:rFonts w:cs="Arial"/>
          <w:sz w:val="22"/>
          <w:szCs w:val="22"/>
        </w:rPr>
      </w:pPr>
    </w:p>
    <w:p w:rsidR="008D12A3" w:rsidRPr="00B85B06" w:rsidRDefault="008D12A3" w:rsidP="008D12A3">
      <w:pPr>
        <w:rPr>
          <w:rFonts w:cs="Arial"/>
          <w:sz w:val="24"/>
        </w:rPr>
      </w:pPr>
      <w:r w:rsidRPr="00B85B06">
        <w:rPr>
          <w:rFonts w:cs="Arial"/>
          <w:sz w:val="24"/>
        </w:rPr>
        <w:t>Find us on social media:</w:t>
      </w:r>
    </w:p>
    <w:p w:rsidR="00F25C90" w:rsidRPr="00B85B06" w:rsidRDefault="00895B1F" w:rsidP="00895B1F">
      <w:pPr>
        <w:jc w:val="center"/>
        <w:rPr>
          <w:rFonts w:cs="Arial"/>
          <w:sz w:val="24"/>
        </w:rPr>
      </w:pPr>
      <w:r w:rsidRPr="00B85B06">
        <w:rPr>
          <w:rFonts w:cs="Arial"/>
          <w:noProof/>
          <w:sz w:val="24"/>
        </w:rPr>
        <w:drawing>
          <wp:inline distT="0" distB="0" distL="0" distR="0">
            <wp:extent cx="285750" cy="292100"/>
            <wp:effectExtent l="0" t="0" r="0" b="0"/>
            <wp:docPr id="9" name="Picture 9" descr="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9" cy="31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B06">
        <w:rPr>
          <w:rFonts w:cs="Arial"/>
          <w:sz w:val="24"/>
        </w:rPr>
        <w:t xml:space="preserve"> </w:t>
      </w:r>
      <w:r w:rsidR="008D12A3" w:rsidRPr="00B85B06">
        <w:rPr>
          <w:rFonts w:cs="Arial"/>
          <w:sz w:val="24"/>
        </w:rPr>
        <w:t>National Federation of the Blind</w:t>
      </w:r>
      <w:r w:rsidRPr="00B85B06">
        <w:rPr>
          <w:rFonts w:cs="Arial"/>
          <w:sz w:val="24"/>
        </w:rPr>
        <w:t xml:space="preserve">   | </w:t>
      </w:r>
      <w:r w:rsidR="008D12A3" w:rsidRPr="00B85B06">
        <w:rPr>
          <w:rFonts w:cs="Arial"/>
          <w:sz w:val="24"/>
        </w:rPr>
        <w:t xml:space="preserve"> </w:t>
      </w:r>
      <w:r w:rsidRPr="00B85B06">
        <w:rPr>
          <w:rFonts w:cs="Arial"/>
          <w:noProof/>
          <w:sz w:val="24"/>
        </w:rPr>
        <w:drawing>
          <wp:inline distT="0" distB="0" distL="0" distR="0">
            <wp:extent cx="285750" cy="294280"/>
            <wp:effectExtent l="0" t="0" r="0" b="0"/>
            <wp:docPr id="8" name="Picture 8" descr="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4" cy="3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2A3" w:rsidRPr="00B85B06">
        <w:rPr>
          <w:rFonts w:cs="Arial"/>
          <w:sz w:val="24"/>
        </w:rPr>
        <w:t xml:space="preserve"> @NFB_Voice</w:t>
      </w:r>
      <w:r w:rsidRPr="00B85B06">
        <w:rPr>
          <w:rFonts w:cs="Arial"/>
          <w:sz w:val="24"/>
        </w:rPr>
        <w:t xml:space="preserve">   |</w:t>
      </w:r>
      <w:r w:rsidR="008D12A3" w:rsidRPr="00B85B06">
        <w:rPr>
          <w:rFonts w:cs="Arial"/>
          <w:sz w:val="24"/>
        </w:rPr>
        <w:t xml:space="preserve">  </w:t>
      </w:r>
      <w:r w:rsidRPr="00B85B06">
        <w:rPr>
          <w:rFonts w:cs="Arial"/>
          <w:noProof/>
          <w:sz w:val="24"/>
        </w:rPr>
        <w:drawing>
          <wp:inline distT="0" distB="0" distL="0" distR="0">
            <wp:extent cx="314325" cy="318948"/>
            <wp:effectExtent l="0" t="0" r="0" b="5080"/>
            <wp:docPr id="10" name="Picture 10" descr="Instagra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" cy="3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2A3" w:rsidRPr="00B85B06">
        <w:rPr>
          <w:rFonts w:cs="Arial"/>
          <w:sz w:val="24"/>
        </w:rPr>
        <w:t xml:space="preserve"> @nfb_voice</w:t>
      </w:r>
    </w:p>
    <w:sectPr w:rsidR="00F25C90" w:rsidRPr="00B85B06" w:rsidSect="009F0608">
      <w:footerReference w:type="default" r:id="rId11"/>
      <w:headerReference w:type="first" r:id="rId12"/>
      <w:footerReference w:type="first" r:id="rId13"/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FF" w:rsidRDefault="00CC44FF">
      <w:r>
        <w:separator/>
      </w:r>
    </w:p>
  </w:endnote>
  <w:endnote w:type="continuationSeparator" w:id="0">
    <w:p w:rsidR="00CC44FF" w:rsidRDefault="00CC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FA02B" wp14:editId="6BC06756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r w:rsidR="006D6C2C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6D6C2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| </w:t>
                          </w:r>
                          <w:r w:rsidR="006D6C2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200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4FA0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r w:rsidR="006D6C2C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6D6C2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| </w:t>
                    </w:r>
                    <w:r w:rsidR="006D6C2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200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FCDA" wp14:editId="32111A2D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3A0FC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FF" w:rsidRDefault="00CC44FF">
      <w:r>
        <w:separator/>
      </w:r>
    </w:p>
  </w:footnote>
  <w:footnote w:type="continuationSeparator" w:id="0">
    <w:p w:rsidR="00CC44FF" w:rsidRDefault="00CC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D1D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DE34AC" wp14:editId="5F978080">
          <wp:simplePos x="0" y="0"/>
          <wp:positionH relativeFrom="column">
            <wp:posOffset>1409700</wp:posOffset>
          </wp:positionH>
          <wp:positionV relativeFrom="paragraph">
            <wp:posOffset>-190500</wp:posOffset>
          </wp:positionV>
          <wp:extent cx="3593592" cy="1389888"/>
          <wp:effectExtent l="0" t="0" r="6985" b="1270"/>
          <wp:wrapTopAndBottom/>
          <wp:docPr id="6" name="Picture 6" title="National Federation of the Blind logo and tagline: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B27"/>
    <w:multiLevelType w:val="hybridMultilevel"/>
    <w:tmpl w:val="9D2E7DE8"/>
    <w:lvl w:ilvl="0" w:tplc="BDAA9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4D"/>
    <w:rsid w:val="000047AE"/>
    <w:rsid w:val="0000720F"/>
    <w:rsid w:val="00025550"/>
    <w:rsid w:val="000345D8"/>
    <w:rsid w:val="000574B3"/>
    <w:rsid w:val="00080646"/>
    <w:rsid w:val="0008134C"/>
    <w:rsid w:val="0008346B"/>
    <w:rsid w:val="00084F25"/>
    <w:rsid w:val="000931E3"/>
    <w:rsid w:val="001912EB"/>
    <w:rsid w:val="00217DEE"/>
    <w:rsid w:val="00226FA7"/>
    <w:rsid w:val="00237C79"/>
    <w:rsid w:val="0024227C"/>
    <w:rsid w:val="002D417D"/>
    <w:rsid w:val="002E3A6A"/>
    <w:rsid w:val="0031334E"/>
    <w:rsid w:val="0032488D"/>
    <w:rsid w:val="0033116D"/>
    <w:rsid w:val="003A383A"/>
    <w:rsid w:val="003E194D"/>
    <w:rsid w:val="003F265C"/>
    <w:rsid w:val="004B76E8"/>
    <w:rsid w:val="004D2C2A"/>
    <w:rsid w:val="004F766C"/>
    <w:rsid w:val="00584CF9"/>
    <w:rsid w:val="005A2CD5"/>
    <w:rsid w:val="005A621E"/>
    <w:rsid w:val="005C7D56"/>
    <w:rsid w:val="005D07AE"/>
    <w:rsid w:val="005D6A4A"/>
    <w:rsid w:val="005E15BD"/>
    <w:rsid w:val="005F6D84"/>
    <w:rsid w:val="006357D0"/>
    <w:rsid w:val="00655977"/>
    <w:rsid w:val="00665812"/>
    <w:rsid w:val="006A6FC4"/>
    <w:rsid w:val="006D6C2C"/>
    <w:rsid w:val="006E1164"/>
    <w:rsid w:val="006E4AF0"/>
    <w:rsid w:val="00771359"/>
    <w:rsid w:val="00793765"/>
    <w:rsid w:val="007C056B"/>
    <w:rsid w:val="00830537"/>
    <w:rsid w:val="00836467"/>
    <w:rsid w:val="008476B9"/>
    <w:rsid w:val="00870902"/>
    <w:rsid w:val="00894E4F"/>
    <w:rsid w:val="00895B1F"/>
    <w:rsid w:val="00896FE0"/>
    <w:rsid w:val="008D12A3"/>
    <w:rsid w:val="008F5C6E"/>
    <w:rsid w:val="009258B2"/>
    <w:rsid w:val="00976424"/>
    <w:rsid w:val="009D1D64"/>
    <w:rsid w:val="009F0608"/>
    <w:rsid w:val="009F735E"/>
    <w:rsid w:val="00A10D47"/>
    <w:rsid w:val="00AB22EE"/>
    <w:rsid w:val="00AC167C"/>
    <w:rsid w:val="00B179B5"/>
    <w:rsid w:val="00B31844"/>
    <w:rsid w:val="00B403AC"/>
    <w:rsid w:val="00B85B06"/>
    <w:rsid w:val="00BA1499"/>
    <w:rsid w:val="00BE2C5A"/>
    <w:rsid w:val="00C54BBD"/>
    <w:rsid w:val="00C961F1"/>
    <w:rsid w:val="00CC0299"/>
    <w:rsid w:val="00CC44FF"/>
    <w:rsid w:val="00D0347C"/>
    <w:rsid w:val="00D41D50"/>
    <w:rsid w:val="00DA487D"/>
    <w:rsid w:val="00E202B0"/>
    <w:rsid w:val="00EC77C7"/>
    <w:rsid w:val="00EE4721"/>
    <w:rsid w:val="00F1632A"/>
    <w:rsid w:val="00F223DC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574B3"/>
    <w:pPr>
      <w:jc w:val="center"/>
      <w:outlineLvl w:val="0"/>
    </w:pPr>
    <w:rPr>
      <w:rFonts w:cs="Arial"/>
      <w:b/>
      <w:bCs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C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74B3"/>
    <w:rPr>
      <w:rFonts w:ascii="Helvetica" w:hAnsi="Helvetica" w:cs="Arial"/>
      <w:b/>
      <w:bCs/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31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31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574B3"/>
    <w:pPr>
      <w:jc w:val="center"/>
      <w:outlineLvl w:val="0"/>
    </w:pPr>
    <w:rPr>
      <w:rFonts w:cs="Arial"/>
      <w:b/>
      <w:bCs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C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74B3"/>
    <w:rPr>
      <w:rFonts w:ascii="Helvetica" w:hAnsi="Helvetica" w:cs="Arial"/>
      <w:b/>
      <w:bCs/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31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31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hnke\Desktop\Letterhead\NFB%20Letterhead%20Final%20Only%20Use%20on%20Color%20Pri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Only Use on Color Printer</Template>
  <TotalTime>7</TotalTime>
  <Pages>1</Pages>
  <Words>221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Kristian Kuhnke</dc:creator>
  <cp:lastModifiedBy>Melissa Kroeger</cp:lastModifiedBy>
  <cp:revision>4</cp:revision>
  <cp:lastPrinted>2019-01-02T21:07:00Z</cp:lastPrinted>
  <dcterms:created xsi:type="dcterms:W3CDTF">2018-12-21T13:40:00Z</dcterms:created>
  <dcterms:modified xsi:type="dcterms:W3CDTF">2019-01-03T21:36:00Z</dcterms:modified>
</cp:coreProperties>
</file>