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4A" w:rsidRPr="00162C68" w:rsidRDefault="007B364A" w:rsidP="007B364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62C68">
        <w:rPr>
          <w:rFonts w:ascii="Arial" w:hAnsi="Arial" w:cs="Arial"/>
          <w:b/>
          <w:sz w:val="24"/>
          <w:szCs w:val="24"/>
        </w:rPr>
        <w:t>National Federation of the Blind</w:t>
      </w:r>
    </w:p>
    <w:p w:rsidR="007B364A" w:rsidRPr="00162C68" w:rsidRDefault="007B364A" w:rsidP="007B364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62C68">
        <w:rPr>
          <w:rFonts w:ascii="Arial" w:hAnsi="Arial" w:cs="Arial"/>
          <w:b/>
          <w:sz w:val="24"/>
          <w:szCs w:val="24"/>
        </w:rPr>
        <w:t>Washington Seminar 2022 Internal Presentation Notes</w:t>
      </w:r>
    </w:p>
    <w:p w:rsidR="007B364A" w:rsidRDefault="007B364A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0E51" w:rsidRPr="007B364A" w:rsidRDefault="00D95017" w:rsidP="00D9501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7B364A">
        <w:rPr>
          <w:rFonts w:ascii="Arial" w:hAnsi="Arial" w:cs="Arial"/>
          <w:b/>
          <w:sz w:val="24"/>
          <w:szCs w:val="24"/>
          <w:u w:val="single"/>
        </w:rPr>
        <w:t>Access Technology Affordability Act (H.R. 431/S. 212)</w:t>
      </w:r>
    </w:p>
    <w:p w:rsidR="00D95017" w:rsidRDefault="00D95017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Refundable tax credit </w:t>
      </w:r>
      <w:proofErr w:type="gramStart"/>
      <w:r>
        <w:rPr>
          <w:rFonts w:ascii="Arial" w:hAnsi="Arial" w:cs="Arial"/>
          <w:sz w:val="24"/>
          <w:szCs w:val="24"/>
        </w:rPr>
        <w:t>in the amount of</w:t>
      </w:r>
      <w:proofErr w:type="gramEnd"/>
      <w:r>
        <w:rPr>
          <w:rFonts w:ascii="Arial" w:hAnsi="Arial" w:cs="Arial"/>
          <w:sz w:val="24"/>
          <w:szCs w:val="24"/>
        </w:rPr>
        <w:t xml:space="preserve"> $2,000 for use over a three-year period. </w:t>
      </w:r>
    </w:p>
    <w:p w:rsidR="00D95017" w:rsidRDefault="00B80F5B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Covers blind person,</w:t>
      </w:r>
      <w:r w:rsidR="00D95017">
        <w:rPr>
          <w:rFonts w:ascii="Arial" w:hAnsi="Arial" w:cs="Arial"/>
          <w:sz w:val="24"/>
          <w:szCs w:val="24"/>
        </w:rPr>
        <w:t xml:space="preserve"> blind spouse</w:t>
      </w:r>
      <w:r>
        <w:rPr>
          <w:rFonts w:ascii="Arial" w:hAnsi="Arial" w:cs="Arial"/>
          <w:sz w:val="24"/>
          <w:szCs w:val="24"/>
        </w:rPr>
        <w:t>,</w:t>
      </w:r>
      <w:r w:rsidR="00D95017">
        <w:rPr>
          <w:rFonts w:ascii="Arial" w:hAnsi="Arial" w:cs="Arial"/>
          <w:sz w:val="24"/>
          <w:szCs w:val="24"/>
        </w:rPr>
        <w:t xml:space="preserve"> and blind dependents. </w:t>
      </w:r>
    </w:p>
    <w:p w:rsidR="00B80F5B" w:rsidRDefault="00B80F5B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Blind is defined as legal blindness.</w:t>
      </w:r>
    </w:p>
    <w:p w:rsidR="00B80F5B" w:rsidRDefault="00B80F5B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“Qualified access technology”</w:t>
      </w:r>
      <w:r w:rsidRPr="00B80F5B">
        <w:rPr>
          <w:rFonts w:ascii="Arial" w:hAnsi="Arial" w:cs="Arial"/>
          <w:sz w:val="24"/>
          <w:szCs w:val="24"/>
        </w:rPr>
        <w:t xml:space="preserve"> means hardware, software, or other information technology the primary function of which is to convert or adapt information which is visually represented into forms or formats useable by blind individuals.</w:t>
      </w:r>
    </w:p>
    <w:p w:rsidR="00D95017" w:rsidRDefault="00D95017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Includes cost-of-living adjustment. </w:t>
      </w:r>
    </w:p>
    <w:p w:rsidR="00D95017" w:rsidRDefault="00D95017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Sunsets after five years. </w:t>
      </w:r>
    </w:p>
    <w:p w:rsidR="00D95017" w:rsidRDefault="00D95017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not means </w:t>
      </w:r>
      <w:proofErr w:type="gramStart"/>
      <w:r>
        <w:rPr>
          <w:rFonts w:ascii="Arial" w:hAnsi="Arial" w:cs="Arial"/>
          <w:sz w:val="24"/>
          <w:szCs w:val="24"/>
        </w:rPr>
        <w:t>tested.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95017" w:rsidRDefault="00D95017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Score is $3.1 billion over ten years. </w:t>
      </w:r>
    </w:p>
    <w:p w:rsidR="00CC170A" w:rsidRDefault="00CC170A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2C68" w:rsidRDefault="00162C6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162C68" w:rsidRPr="00162C68" w:rsidRDefault="00162C68" w:rsidP="00162C6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62C68">
        <w:rPr>
          <w:rFonts w:ascii="Arial" w:hAnsi="Arial" w:cs="Arial"/>
          <w:b/>
          <w:sz w:val="24"/>
          <w:szCs w:val="24"/>
        </w:rPr>
        <w:lastRenderedPageBreak/>
        <w:t>National Federation of the Blind</w:t>
      </w:r>
    </w:p>
    <w:p w:rsidR="00162C68" w:rsidRPr="00162C68" w:rsidRDefault="00162C68" w:rsidP="00162C68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62C68">
        <w:rPr>
          <w:rFonts w:ascii="Arial" w:hAnsi="Arial" w:cs="Arial"/>
          <w:b/>
          <w:sz w:val="24"/>
          <w:szCs w:val="24"/>
        </w:rPr>
        <w:t>Washington Seminar 2022 Internal Presentation Notes</w:t>
      </w:r>
    </w:p>
    <w:p w:rsidR="00162C68" w:rsidRDefault="00162C68" w:rsidP="00D9501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CC170A" w:rsidRPr="007B364A" w:rsidRDefault="00CC170A" w:rsidP="00D9501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7B364A">
        <w:rPr>
          <w:rFonts w:ascii="Arial" w:hAnsi="Arial" w:cs="Arial"/>
          <w:b/>
          <w:sz w:val="24"/>
          <w:szCs w:val="24"/>
          <w:u w:val="single"/>
        </w:rPr>
        <w:t>Medical Device Nonvisual Accessibility Act (H.R. 4853)</w:t>
      </w:r>
    </w:p>
    <w:p w:rsidR="00B80F5B" w:rsidRDefault="00B80F5B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Requires all Class II and Class III medical devices with a digital interface to be </w:t>
      </w:r>
      <w:proofErr w:type="spellStart"/>
      <w:r>
        <w:rPr>
          <w:rFonts w:ascii="Arial" w:hAnsi="Arial" w:cs="Arial"/>
          <w:sz w:val="24"/>
          <w:szCs w:val="24"/>
        </w:rPr>
        <w:t>nonvisually</w:t>
      </w:r>
      <w:proofErr w:type="spellEnd"/>
      <w:r>
        <w:rPr>
          <w:rFonts w:ascii="Arial" w:hAnsi="Arial" w:cs="Arial"/>
          <w:sz w:val="24"/>
          <w:szCs w:val="24"/>
        </w:rPr>
        <w:t xml:space="preserve"> accessible. </w:t>
      </w:r>
    </w:p>
    <w:p w:rsidR="003C052E" w:rsidRDefault="003C052E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FDA has one year to publish a proposed rule. </w:t>
      </w:r>
    </w:p>
    <w:p w:rsidR="003C052E" w:rsidRDefault="003C052E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FDA has an additional year to publish the final rule.</w:t>
      </w:r>
    </w:p>
    <w:p w:rsidR="003C052E" w:rsidRDefault="003C052E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standard would go into effect one year after the publication of the final rule.</w:t>
      </w:r>
    </w:p>
    <w:p w:rsidR="00D00E2E" w:rsidRDefault="00B13B90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Uses existing penalty structure that would apply to other noncompliant, or “adulterated”, medical devices. </w:t>
      </w:r>
    </w:p>
    <w:p w:rsidR="00B13B90" w:rsidRDefault="00B13B90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FDA maintains a website listing all Class II and Class III devices. </w:t>
      </w:r>
    </w:p>
    <w:p w:rsidR="00B13B90" w:rsidRDefault="00B13B90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62C68" w:rsidRDefault="00162C6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162C68" w:rsidRPr="00162C68" w:rsidRDefault="00162C68" w:rsidP="00162C6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62C68">
        <w:rPr>
          <w:rFonts w:ascii="Arial" w:hAnsi="Arial" w:cs="Arial"/>
          <w:b/>
          <w:sz w:val="24"/>
          <w:szCs w:val="24"/>
        </w:rPr>
        <w:lastRenderedPageBreak/>
        <w:t>National Federation of the Blind</w:t>
      </w:r>
    </w:p>
    <w:p w:rsidR="00162C68" w:rsidRPr="00162C68" w:rsidRDefault="00162C68" w:rsidP="00162C68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62C68">
        <w:rPr>
          <w:rFonts w:ascii="Arial" w:hAnsi="Arial" w:cs="Arial"/>
          <w:b/>
          <w:sz w:val="24"/>
          <w:szCs w:val="24"/>
        </w:rPr>
        <w:t>Washington Seminar 2022 Internal Presentation Notes</w:t>
      </w:r>
    </w:p>
    <w:p w:rsidR="00162C68" w:rsidRDefault="00162C68" w:rsidP="00D9501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D00E2E" w:rsidRPr="007B364A" w:rsidRDefault="00D00E2E" w:rsidP="00D9501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7B364A">
        <w:rPr>
          <w:rFonts w:ascii="Arial" w:hAnsi="Arial" w:cs="Arial"/>
          <w:b/>
          <w:sz w:val="24"/>
          <w:szCs w:val="24"/>
          <w:u w:val="single"/>
        </w:rPr>
        <w:t>Twenty-First Century Websites and Applications Accessibility Act</w:t>
      </w:r>
    </w:p>
    <w:p w:rsidR="009861E4" w:rsidRDefault="00B04C0B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create</w:t>
      </w:r>
      <w:r w:rsidR="009861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9861E4">
        <w:rPr>
          <w:rFonts w:ascii="Arial" w:hAnsi="Arial" w:cs="Arial"/>
          <w:sz w:val="24"/>
          <w:szCs w:val="24"/>
        </w:rPr>
        <w:t xml:space="preserve">regulatory framework for accessibility of websites and applications. </w:t>
      </w:r>
    </w:p>
    <w:p w:rsidR="00D00E2E" w:rsidRDefault="00D00E2E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 Board directed to create accessibility guidelines for websites and apps. </w:t>
      </w:r>
    </w:p>
    <w:p w:rsidR="00D00E2E" w:rsidRDefault="00D00E2E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Board has six months to create guidelines and publish proposed rule.</w:t>
      </w:r>
    </w:p>
    <w:p w:rsidR="00D00E2E" w:rsidRDefault="00B04C0B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Board has an</w:t>
      </w:r>
      <w:r w:rsidR="00D00E2E">
        <w:rPr>
          <w:rFonts w:ascii="Arial" w:hAnsi="Arial" w:cs="Arial"/>
          <w:sz w:val="24"/>
          <w:szCs w:val="24"/>
        </w:rPr>
        <w:t xml:space="preserve"> additional six months to publish the final rule. </w:t>
      </w:r>
    </w:p>
    <w:p w:rsidR="009861E4" w:rsidRDefault="009861E4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861E4">
        <w:rPr>
          <w:rFonts w:ascii="Arial" w:hAnsi="Arial" w:cs="Arial"/>
          <w:sz w:val="24"/>
          <w:szCs w:val="24"/>
        </w:rPr>
        <w:t>Department of Justice and the Equal Employment Opportunity Commission will have</w:t>
      </w:r>
      <w:r>
        <w:rPr>
          <w:rFonts w:ascii="Arial" w:hAnsi="Arial" w:cs="Arial"/>
          <w:sz w:val="24"/>
          <w:szCs w:val="24"/>
        </w:rPr>
        <w:t xml:space="preserve"> one year after the publication of the final rule to adopt accessibility standards based on the guidelines published by the Access Board. </w:t>
      </w:r>
    </w:p>
    <w:p w:rsidR="00D00E2E" w:rsidRDefault="00D00E2E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00E2E">
        <w:rPr>
          <w:rFonts w:ascii="Arial" w:hAnsi="Arial" w:cs="Arial"/>
          <w:sz w:val="24"/>
          <w:szCs w:val="24"/>
        </w:rPr>
        <w:t>Department of Justice and the Equal Employment Opportunity Commission will have the authority to investigate accessibility concerns and commence civil action if necessary.</w:t>
      </w:r>
    </w:p>
    <w:p w:rsidR="00D97FB8" w:rsidRDefault="00B04C0B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apply</w:t>
      </w:r>
      <w:bookmarkStart w:id="0" w:name="_GoBack"/>
      <w:bookmarkEnd w:id="0"/>
      <w:r w:rsidR="00D97FB8" w:rsidRPr="00D97FB8">
        <w:rPr>
          <w:rFonts w:ascii="Arial" w:hAnsi="Arial" w:cs="Arial"/>
          <w:sz w:val="24"/>
          <w:szCs w:val="24"/>
        </w:rPr>
        <w:t xml:space="preserve"> to websites and applic</w:t>
      </w:r>
      <w:r w:rsidR="00D97FB8">
        <w:rPr>
          <w:rFonts w:ascii="Arial" w:hAnsi="Arial" w:cs="Arial"/>
          <w:sz w:val="24"/>
          <w:szCs w:val="24"/>
        </w:rPr>
        <w:t>ations owned and operated by an</w:t>
      </w:r>
      <w:r w:rsidR="00D97FB8" w:rsidRPr="00D97FB8">
        <w:rPr>
          <w:rFonts w:ascii="Arial" w:hAnsi="Arial" w:cs="Arial"/>
          <w:sz w:val="24"/>
          <w:szCs w:val="24"/>
        </w:rPr>
        <w:t xml:space="preserve"> employer, public accommodation, or public entity.</w:t>
      </w:r>
    </w:p>
    <w:p w:rsidR="00162C68" w:rsidRDefault="00162C6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162C68" w:rsidRPr="00162C68" w:rsidRDefault="00162C68" w:rsidP="00162C6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62C68">
        <w:rPr>
          <w:rFonts w:ascii="Arial" w:hAnsi="Arial" w:cs="Arial"/>
          <w:b/>
          <w:sz w:val="24"/>
          <w:szCs w:val="24"/>
        </w:rPr>
        <w:lastRenderedPageBreak/>
        <w:t>National Federation of the Blind</w:t>
      </w:r>
    </w:p>
    <w:p w:rsidR="00162C68" w:rsidRPr="00162C68" w:rsidRDefault="00162C68" w:rsidP="00162C68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62C68">
        <w:rPr>
          <w:rFonts w:ascii="Arial" w:hAnsi="Arial" w:cs="Arial"/>
          <w:b/>
          <w:sz w:val="24"/>
          <w:szCs w:val="24"/>
        </w:rPr>
        <w:t>Washington Seminar 2022 Internal Presentation Notes</w:t>
      </w:r>
    </w:p>
    <w:p w:rsidR="00162C68" w:rsidRDefault="00162C68" w:rsidP="00D9501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D6430" w:rsidRPr="007B364A" w:rsidRDefault="005D6430" w:rsidP="00D95017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7B364A">
        <w:rPr>
          <w:rFonts w:ascii="Arial" w:hAnsi="Arial" w:cs="Arial"/>
          <w:b/>
          <w:sz w:val="24"/>
          <w:szCs w:val="24"/>
          <w:u w:val="single"/>
        </w:rPr>
        <w:t>Transformation to Competitive Integrated Employment Act (H.R. 2373/S. 3238)</w:t>
      </w:r>
    </w:p>
    <w:p w:rsidR="005D6430" w:rsidRDefault="005D6430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Discontinues the issuance of 14(c) special wage certificates.</w:t>
      </w:r>
    </w:p>
    <w:p w:rsidR="00B13B90" w:rsidRDefault="00B13B90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divided into five titles. </w:t>
      </w:r>
    </w:p>
    <w:p w:rsidR="005D6430" w:rsidRDefault="00B13B90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I c</w:t>
      </w:r>
      <w:r w:rsidR="005D6430" w:rsidRPr="005D6430">
        <w:rPr>
          <w:rFonts w:ascii="Arial" w:hAnsi="Arial" w:cs="Arial"/>
          <w:sz w:val="24"/>
          <w:szCs w:val="24"/>
        </w:rPr>
        <w:t>reates a grant program for states and individual 14(c) certificate holders to assist with their transition to competitive, integrated employment.</w:t>
      </w:r>
    </w:p>
    <w:p w:rsidR="00B13B90" w:rsidRDefault="00B13B90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 II phases out, over a five-year period, the payment of subminimum wages to people with disabilities, ultimately </w:t>
      </w:r>
      <w:proofErr w:type="spellStart"/>
      <w:r>
        <w:rPr>
          <w:rFonts w:ascii="Arial" w:hAnsi="Arial" w:cs="Arial"/>
          <w:sz w:val="24"/>
          <w:szCs w:val="24"/>
        </w:rPr>
        <w:t>sunsetting</w:t>
      </w:r>
      <w:proofErr w:type="spellEnd"/>
      <w:r>
        <w:rPr>
          <w:rFonts w:ascii="Arial" w:hAnsi="Arial" w:cs="Arial"/>
          <w:sz w:val="24"/>
          <w:szCs w:val="24"/>
        </w:rPr>
        <w:t xml:space="preserve"> Section 14(c) of the FLSA.</w:t>
      </w:r>
    </w:p>
    <w:p w:rsidR="00B13B90" w:rsidRDefault="00B13B90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III creates a Technical Assistance Center.</w:t>
      </w:r>
    </w:p>
    <w:p w:rsidR="005D6430" w:rsidRDefault="00B13B90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IV r</w:t>
      </w:r>
      <w:r w:rsidR="005D6430" w:rsidRPr="005D6430">
        <w:rPr>
          <w:rFonts w:ascii="Arial" w:hAnsi="Arial" w:cs="Arial"/>
          <w:sz w:val="24"/>
          <w:szCs w:val="24"/>
        </w:rPr>
        <w:t xml:space="preserve">equires reporting </w:t>
      </w:r>
      <w:r>
        <w:rPr>
          <w:rFonts w:ascii="Arial" w:hAnsi="Arial" w:cs="Arial"/>
          <w:sz w:val="24"/>
          <w:szCs w:val="24"/>
        </w:rPr>
        <w:t>to Congress on</w:t>
      </w:r>
      <w:r w:rsidR="005D6430" w:rsidRPr="005D6430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transition</w:t>
      </w:r>
      <w:r w:rsidR="005D6430" w:rsidRPr="005D6430">
        <w:rPr>
          <w:rFonts w:ascii="Arial" w:hAnsi="Arial" w:cs="Arial"/>
          <w:sz w:val="24"/>
          <w:szCs w:val="24"/>
        </w:rPr>
        <w:t xml:space="preserve"> for workers with disabilities</w:t>
      </w:r>
      <w:r w:rsidR="00E20271">
        <w:rPr>
          <w:rFonts w:ascii="Arial" w:hAnsi="Arial" w:cs="Arial"/>
          <w:sz w:val="24"/>
          <w:szCs w:val="24"/>
        </w:rPr>
        <w:t xml:space="preserve"> into competitive integrated employment</w:t>
      </w:r>
      <w:r w:rsidR="005D6430" w:rsidRPr="005D6430">
        <w:rPr>
          <w:rFonts w:ascii="Arial" w:hAnsi="Arial" w:cs="Arial"/>
          <w:sz w:val="24"/>
          <w:szCs w:val="24"/>
        </w:rPr>
        <w:t>.</w:t>
      </w:r>
    </w:p>
    <w:p w:rsidR="00E20271" w:rsidRDefault="00E20271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V is definitions and the authorization of appropriations.</w:t>
      </w:r>
    </w:p>
    <w:p w:rsidR="00E20271" w:rsidRDefault="00E20271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House authorization is $300 million, Senate authorization is $1 billion. </w:t>
      </w:r>
    </w:p>
    <w:p w:rsidR="005D6430" w:rsidRDefault="00E20271" w:rsidP="00D950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Phase-out: Year 1 = 60%, Year 2 = 70%, Year 3 = 80%, Year 4 = 90%, Year 5 = 100% of current minimum wage.  </w:t>
      </w:r>
    </w:p>
    <w:sectPr w:rsidR="005D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7"/>
    <w:rsid w:val="00005FA5"/>
    <w:rsid w:val="00162C68"/>
    <w:rsid w:val="003C052E"/>
    <w:rsid w:val="00455469"/>
    <w:rsid w:val="00546C67"/>
    <w:rsid w:val="005D6430"/>
    <w:rsid w:val="007B364A"/>
    <w:rsid w:val="007F5408"/>
    <w:rsid w:val="009861E4"/>
    <w:rsid w:val="00A5398D"/>
    <w:rsid w:val="00B04C0B"/>
    <w:rsid w:val="00B13B90"/>
    <w:rsid w:val="00B80F5B"/>
    <w:rsid w:val="00B9287C"/>
    <w:rsid w:val="00CC170A"/>
    <w:rsid w:val="00D00E2E"/>
    <w:rsid w:val="00D95017"/>
    <w:rsid w:val="00D97FB8"/>
    <w:rsid w:val="00E2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6CDE"/>
  <w15:chartTrackingRefBased/>
  <w15:docId w15:val="{FE6056AD-2652-4AEC-A805-67CC4297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Walls</dc:creator>
  <cp:keywords/>
  <dc:description/>
  <cp:lastModifiedBy>Kyle Walls</cp:lastModifiedBy>
  <cp:revision>4</cp:revision>
  <dcterms:created xsi:type="dcterms:W3CDTF">2022-01-20T13:54:00Z</dcterms:created>
  <dcterms:modified xsi:type="dcterms:W3CDTF">2022-01-20T14:07:00Z</dcterms:modified>
</cp:coreProperties>
</file>