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851BA" w14:textId="77777777" w:rsidR="00601A5B" w:rsidRPr="00470A9D" w:rsidRDefault="00601A5B" w:rsidP="002935D5">
      <w:pPr>
        <w:rPr>
          <w:rFonts w:ascii="Arial" w:hAnsi="Arial" w:cs="Arial"/>
          <w:b/>
        </w:rPr>
      </w:pPr>
    </w:p>
    <w:p w14:paraId="6C1434DE" w14:textId="77777777" w:rsidR="00601A5B" w:rsidRPr="00470A9D" w:rsidRDefault="00601A5B" w:rsidP="002935D5">
      <w:pPr>
        <w:rPr>
          <w:rFonts w:ascii="Arial" w:hAnsi="Arial" w:cs="Arial"/>
          <w:b/>
        </w:rPr>
      </w:pPr>
    </w:p>
    <w:p w14:paraId="5E3D22DB" w14:textId="77777777" w:rsidR="00601A5B" w:rsidRPr="00470A9D" w:rsidRDefault="00601A5B" w:rsidP="002935D5">
      <w:pPr>
        <w:rPr>
          <w:rFonts w:ascii="Arial" w:hAnsi="Arial" w:cs="Arial"/>
          <w:b/>
        </w:rPr>
      </w:pPr>
    </w:p>
    <w:p w14:paraId="6A6F0F49" w14:textId="77777777" w:rsidR="00601A5B" w:rsidRPr="00470A9D" w:rsidRDefault="00601A5B" w:rsidP="002935D5">
      <w:pPr>
        <w:rPr>
          <w:rFonts w:ascii="Arial" w:hAnsi="Arial" w:cs="Arial"/>
          <w:b/>
        </w:rPr>
      </w:pPr>
    </w:p>
    <w:p w14:paraId="41AA5AA8" w14:textId="77777777" w:rsidR="00601A5B" w:rsidRPr="00470A9D" w:rsidRDefault="00601A5B" w:rsidP="002935D5">
      <w:pPr>
        <w:rPr>
          <w:rFonts w:ascii="Arial" w:hAnsi="Arial" w:cs="Arial"/>
          <w:b/>
        </w:rPr>
      </w:pPr>
    </w:p>
    <w:p w14:paraId="3F64B187" w14:textId="77777777" w:rsidR="00AA083C" w:rsidRPr="00470A9D" w:rsidRDefault="00AA083C" w:rsidP="002935D5">
      <w:pPr>
        <w:pStyle w:val="Heading1"/>
        <w:contextualSpacing w:val="0"/>
        <w:rPr>
          <w:rFonts w:cs="Arial"/>
          <w:sz w:val="24"/>
        </w:rPr>
      </w:pPr>
    </w:p>
    <w:p w14:paraId="07D0DD15" w14:textId="612A26A3" w:rsidR="00470A9D" w:rsidRPr="00470A9D" w:rsidRDefault="00875B4A" w:rsidP="00470A9D">
      <w:pPr>
        <w:jc w:val="center"/>
        <w:rPr>
          <w:rFonts w:ascii="Arial" w:hAnsi="Arial" w:cs="Arial"/>
          <w:b/>
        </w:rPr>
      </w:pPr>
      <w:r>
        <w:rPr>
          <w:rFonts w:ascii="Arial" w:hAnsi="Arial" w:cs="Arial"/>
          <w:b/>
        </w:rPr>
        <w:t xml:space="preserve">FOR INTERNAL USE ONLY - </w:t>
      </w:r>
      <w:r w:rsidR="00470A9D" w:rsidRPr="00470A9D">
        <w:rPr>
          <w:rFonts w:ascii="Arial" w:hAnsi="Arial" w:cs="Arial"/>
          <w:b/>
        </w:rPr>
        <w:t>Frequently Asked Questions for the</w:t>
      </w:r>
    </w:p>
    <w:p w14:paraId="3940743D" w14:textId="51AC6D48" w:rsidR="00470A9D" w:rsidRPr="00470A9D" w:rsidRDefault="00470A9D" w:rsidP="00470A9D">
      <w:pPr>
        <w:jc w:val="center"/>
        <w:rPr>
          <w:rFonts w:ascii="Arial" w:hAnsi="Arial" w:cs="Arial"/>
          <w:b/>
        </w:rPr>
      </w:pPr>
      <w:r w:rsidRPr="00470A9D">
        <w:rPr>
          <w:rFonts w:ascii="Arial" w:hAnsi="Arial" w:cs="Arial"/>
          <w:b/>
        </w:rPr>
        <w:t>Access Technology Affordability Act (H.R. 431/S. 212)</w:t>
      </w:r>
    </w:p>
    <w:p w14:paraId="1C65D2C4" w14:textId="36931444" w:rsidR="00470A9D" w:rsidRPr="00470A9D" w:rsidRDefault="00470A9D" w:rsidP="006C6DDF">
      <w:pPr>
        <w:rPr>
          <w:rFonts w:ascii="Arial" w:hAnsi="Arial" w:cs="Arial"/>
        </w:rPr>
      </w:pPr>
    </w:p>
    <w:p w14:paraId="2517D578" w14:textId="600B7A61" w:rsidR="006C6DDF" w:rsidRPr="00470A9D" w:rsidRDefault="006C6DDF" w:rsidP="006C6DDF">
      <w:pPr>
        <w:rPr>
          <w:rFonts w:ascii="Arial" w:hAnsi="Arial" w:cs="Arial"/>
          <w:b/>
        </w:rPr>
      </w:pPr>
      <w:proofErr w:type="gramStart"/>
      <w:r w:rsidRPr="00470A9D">
        <w:rPr>
          <w:rFonts w:ascii="Arial" w:hAnsi="Arial" w:cs="Arial"/>
          <w:b/>
        </w:rPr>
        <w:t>Can the refundable tax credit be used</w:t>
      </w:r>
      <w:proofErr w:type="gramEnd"/>
      <w:r w:rsidRPr="00470A9D">
        <w:rPr>
          <w:rFonts w:ascii="Arial" w:hAnsi="Arial" w:cs="Arial"/>
          <w:b/>
        </w:rPr>
        <w:t xml:space="preserve"> to purchase laptops, desktops, and smartphones?</w:t>
      </w:r>
    </w:p>
    <w:p w14:paraId="1E6515C4" w14:textId="747342C9" w:rsidR="006C6DDF" w:rsidRDefault="007C43A5" w:rsidP="006C6DDF">
      <w:pPr>
        <w:rPr>
          <w:rFonts w:ascii="Arial" w:hAnsi="Arial" w:cs="Arial"/>
        </w:rPr>
      </w:pPr>
      <w:r>
        <w:rPr>
          <w:rFonts w:ascii="Arial" w:hAnsi="Arial" w:cs="Arial"/>
        </w:rPr>
        <w:t>No.</w:t>
      </w:r>
      <w:r w:rsidR="006C6DDF" w:rsidRPr="00470A9D">
        <w:rPr>
          <w:rFonts w:ascii="Arial" w:hAnsi="Arial" w:cs="Arial"/>
        </w:rPr>
        <w:t xml:space="preserve"> </w:t>
      </w:r>
      <w:r>
        <w:rPr>
          <w:rFonts w:ascii="Arial" w:hAnsi="Arial" w:cs="Arial"/>
        </w:rPr>
        <w:t>P</w:t>
      </w:r>
      <w:r w:rsidR="006C6DDF" w:rsidRPr="00470A9D">
        <w:rPr>
          <w:rFonts w:ascii="Arial" w:hAnsi="Arial" w:cs="Arial"/>
        </w:rPr>
        <w:t xml:space="preserve">rovisions in this bill only permit the refundable tax credit to </w:t>
      </w:r>
      <w:proofErr w:type="gramStart"/>
      <w:r w:rsidR="006C6DDF" w:rsidRPr="00470A9D">
        <w:rPr>
          <w:rFonts w:ascii="Arial" w:hAnsi="Arial" w:cs="Arial"/>
        </w:rPr>
        <w:t>be used</w:t>
      </w:r>
      <w:proofErr w:type="gramEnd"/>
      <w:r w:rsidR="006C6DDF" w:rsidRPr="00470A9D">
        <w:rPr>
          <w:rFonts w:ascii="Arial" w:hAnsi="Arial" w:cs="Arial"/>
        </w:rPr>
        <w:t xml:space="preserve"> for qualifi</w:t>
      </w:r>
      <w:r w:rsidR="00225CC8">
        <w:rPr>
          <w:rFonts w:ascii="Arial" w:hAnsi="Arial" w:cs="Arial"/>
        </w:rPr>
        <w:t>ed access technology. The term “qualified access technology”</w:t>
      </w:r>
      <w:r w:rsidR="006C6DDF" w:rsidRPr="00470A9D">
        <w:rPr>
          <w:rFonts w:ascii="Arial" w:hAnsi="Arial" w:cs="Arial"/>
        </w:rPr>
        <w:t xml:space="preserve"> means hardware, software, or other information technology the primary function of which is to convert or adapt </w:t>
      </w:r>
      <w:proofErr w:type="gramStart"/>
      <w:r w:rsidR="006C6DDF" w:rsidRPr="00470A9D">
        <w:rPr>
          <w:rFonts w:ascii="Arial" w:hAnsi="Arial" w:cs="Arial"/>
        </w:rPr>
        <w:t>information which</w:t>
      </w:r>
      <w:proofErr w:type="gramEnd"/>
      <w:r w:rsidR="006C6DDF" w:rsidRPr="00470A9D">
        <w:rPr>
          <w:rFonts w:ascii="Arial" w:hAnsi="Arial" w:cs="Arial"/>
        </w:rPr>
        <w:t xml:space="preserve"> is visually represented into forms or formats usable by blind individuals. </w:t>
      </w:r>
    </w:p>
    <w:p w14:paraId="14D46C11" w14:textId="77777777" w:rsidR="00B92FAD" w:rsidRPr="00470A9D" w:rsidRDefault="00B92FAD" w:rsidP="006C6DDF">
      <w:pPr>
        <w:rPr>
          <w:rFonts w:ascii="Arial" w:hAnsi="Arial" w:cs="Arial"/>
        </w:rPr>
      </w:pPr>
    </w:p>
    <w:p w14:paraId="74326B5C" w14:textId="1391763B" w:rsidR="006C6DDF" w:rsidRPr="00B92FAD" w:rsidRDefault="006C6DDF" w:rsidP="006C6DDF">
      <w:pPr>
        <w:rPr>
          <w:rFonts w:ascii="Arial" w:hAnsi="Arial" w:cs="Arial"/>
          <w:b/>
        </w:rPr>
      </w:pPr>
      <w:r w:rsidRPr="00B92FAD">
        <w:rPr>
          <w:rFonts w:ascii="Arial" w:hAnsi="Arial" w:cs="Arial"/>
          <w:b/>
        </w:rPr>
        <w:t>Does medical insurance cover access technology</w:t>
      </w:r>
      <w:r w:rsidR="00225CC8">
        <w:rPr>
          <w:rFonts w:ascii="Arial" w:hAnsi="Arial" w:cs="Arial"/>
          <w:b/>
        </w:rPr>
        <w:t xml:space="preserve"> for the blind</w:t>
      </w:r>
      <w:r w:rsidRPr="00B92FAD">
        <w:rPr>
          <w:rFonts w:ascii="Arial" w:hAnsi="Arial" w:cs="Arial"/>
          <w:b/>
        </w:rPr>
        <w:t>?</w:t>
      </w:r>
    </w:p>
    <w:p w14:paraId="4D4D9B70" w14:textId="5F2ECD70" w:rsidR="006C6DDF" w:rsidRPr="00470A9D" w:rsidRDefault="006C6DDF" w:rsidP="006C6DDF">
      <w:pPr>
        <w:rPr>
          <w:rFonts w:ascii="Arial" w:hAnsi="Arial" w:cs="Arial"/>
        </w:rPr>
      </w:pPr>
      <w:r w:rsidRPr="00470A9D">
        <w:rPr>
          <w:rStyle w:val="Strong"/>
          <w:rFonts w:ascii="Arial" w:hAnsi="Arial" w:cs="Arial"/>
          <w:b w:val="0"/>
          <w:shd w:val="clear" w:color="auto" w:fill="FFFFFF"/>
        </w:rPr>
        <w:t>Medical insurance will not cover the cost of access technology.</w:t>
      </w:r>
      <w:r w:rsidRPr="00470A9D">
        <w:rPr>
          <w:rStyle w:val="Strong"/>
          <w:rFonts w:ascii="Arial" w:hAnsi="Arial" w:cs="Arial"/>
          <w:shd w:val="clear" w:color="auto" w:fill="FFFFFF"/>
        </w:rPr>
        <w:t> </w:t>
      </w:r>
      <w:r w:rsidRPr="00470A9D">
        <w:rPr>
          <w:rFonts w:ascii="Arial" w:hAnsi="Arial" w:cs="Arial"/>
          <w:shd w:val="clear" w:color="auto" w:fill="FFFFFF"/>
        </w:rPr>
        <w:t xml:space="preserve">Current definitions of "medical care," "medical necessity," and "durable medical equipment" within common insurance policies do not include access technology. </w:t>
      </w:r>
      <w:proofErr w:type="gramStart"/>
      <w:r w:rsidRPr="00470A9D">
        <w:rPr>
          <w:rFonts w:ascii="Arial" w:hAnsi="Arial" w:cs="Arial"/>
          <w:shd w:val="clear" w:color="auto" w:fill="FFFFFF"/>
        </w:rPr>
        <w:t>Many states’ Medicaid programs and individual health insurance plans have adopted similar definitions and likewise will not cover the cost of access technology.</w:t>
      </w:r>
      <w:proofErr w:type="gramEnd"/>
    </w:p>
    <w:p w14:paraId="356DF7D6" w14:textId="77777777" w:rsidR="00B92FAD" w:rsidRDefault="00B92FAD" w:rsidP="006C6DDF">
      <w:pPr>
        <w:rPr>
          <w:rFonts w:ascii="Arial" w:hAnsi="Arial" w:cs="Arial"/>
        </w:rPr>
      </w:pPr>
    </w:p>
    <w:p w14:paraId="3550EAA2" w14:textId="56C9986B" w:rsidR="006C6DDF" w:rsidRPr="00B92FAD" w:rsidRDefault="006C6DDF" w:rsidP="006C6DDF">
      <w:pPr>
        <w:rPr>
          <w:rFonts w:ascii="Arial" w:hAnsi="Arial" w:cs="Arial"/>
          <w:b/>
        </w:rPr>
      </w:pPr>
      <w:r w:rsidRPr="00B92FAD">
        <w:rPr>
          <w:rFonts w:ascii="Arial" w:hAnsi="Arial" w:cs="Arial"/>
          <w:b/>
        </w:rPr>
        <w:t>Why is there a sunset provision in the bill?</w:t>
      </w:r>
    </w:p>
    <w:p w14:paraId="7C46259C" w14:textId="610CB843" w:rsidR="006C6DDF" w:rsidRPr="00470A9D" w:rsidRDefault="006C6DDF" w:rsidP="006C6DDF">
      <w:pPr>
        <w:rPr>
          <w:rFonts w:ascii="Arial" w:hAnsi="Arial" w:cs="Arial"/>
        </w:rPr>
      </w:pPr>
      <w:r w:rsidRPr="00470A9D">
        <w:rPr>
          <w:rFonts w:ascii="Arial" w:hAnsi="Arial" w:cs="Arial"/>
        </w:rPr>
        <w:t xml:space="preserve">The sunset provision </w:t>
      </w:r>
      <w:proofErr w:type="gramStart"/>
      <w:r w:rsidRPr="00470A9D">
        <w:rPr>
          <w:rFonts w:ascii="Arial" w:hAnsi="Arial" w:cs="Arial"/>
        </w:rPr>
        <w:t>was added</w:t>
      </w:r>
      <w:proofErr w:type="gramEnd"/>
      <w:r w:rsidRPr="00470A9D">
        <w:rPr>
          <w:rFonts w:ascii="Arial" w:hAnsi="Arial" w:cs="Arial"/>
        </w:rPr>
        <w:t xml:space="preserve"> to lower the cost of the bill. </w:t>
      </w:r>
      <w:r w:rsidR="009736E4">
        <w:rPr>
          <w:rFonts w:ascii="Arial" w:hAnsi="Arial" w:cs="Arial"/>
        </w:rPr>
        <w:t>However, we</w:t>
      </w:r>
      <w:r w:rsidRPr="00470A9D">
        <w:rPr>
          <w:rFonts w:ascii="Arial" w:hAnsi="Arial" w:cs="Arial"/>
        </w:rPr>
        <w:t xml:space="preserve"> are confident that this bill will not only pay for itself </w:t>
      </w:r>
      <w:proofErr w:type="gramStart"/>
      <w:r w:rsidRPr="00470A9D">
        <w:rPr>
          <w:rFonts w:ascii="Arial" w:hAnsi="Arial" w:cs="Arial"/>
        </w:rPr>
        <w:t>but</w:t>
      </w:r>
      <w:proofErr w:type="gramEnd"/>
      <w:r w:rsidRPr="00470A9D">
        <w:rPr>
          <w:rFonts w:ascii="Arial" w:hAnsi="Arial" w:cs="Arial"/>
        </w:rPr>
        <w:t xml:space="preserve"> actually grow revenue for the federal government in addition to helping many blind Americans gain employment and improve productivity.</w:t>
      </w:r>
      <w:r w:rsidR="009736E4">
        <w:rPr>
          <w:rFonts w:ascii="Arial" w:hAnsi="Arial" w:cs="Arial"/>
        </w:rPr>
        <w:t xml:space="preserve"> Therefore, we intend to advocate for a more permanent access technology credit once it </w:t>
      </w:r>
      <w:proofErr w:type="gramStart"/>
      <w:r w:rsidR="009736E4">
        <w:rPr>
          <w:rFonts w:ascii="Arial" w:hAnsi="Arial" w:cs="Arial"/>
        </w:rPr>
        <w:t>is passed</w:t>
      </w:r>
      <w:proofErr w:type="gramEnd"/>
      <w:r w:rsidR="009736E4">
        <w:rPr>
          <w:rFonts w:ascii="Arial" w:hAnsi="Arial" w:cs="Arial"/>
        </w:rPr>
        <w:t xml:space="preserve">. </w:t>
      </w:r>
    </w:p>
    <w:p w14:paraId="4C5CFBF1" w14:textId="77777777" w:rsidR="00B92FAD" w:rsidRPr="00470A9D" w:rsidRDefault="00B92FAD" w:rsidP="006C6DDF">
      <w:pPr>
        <w:rPr>
          <w:rFonts w:ascii="Arial" w:hAnsi="Arial" w:cs="Arial"/>
        </w:rPr>
      </w:pPr>
    </w:p>
    <w:p w14:paraId="732C48D5" w14:textId="5223001C" w:rsidR="006C6DDF" w:rsidRPr="00B92FAD" w:rsidRDefault="009736E4" w:rsidP="006C6DDF">
      <w:pPr>
        <w:rPr>
          <w:rFonts w:ascii="Arial" w:hAnsi="Arial" w:cs="Arial"/>
          <w:b/>
        </w:rPr>
      </w:pPr>
      <w:r>
        <w:rPr>
          <w:rFonts w:ascii="Arial" w:hAnsi="Arial" w:cs="Arial"/>
          <w:b/>
        </w:rPr>
        <w:t>Is a blind spouse or blind dependent eligible for the tax credit</w:t>
      </w:r>
      <w:r w:rsidR="006C6DDF" w:rsidRPr="00B92FAD">
        <w:rPr>
          <w:rFonts w:ascii="Arial" w:hAnsi="Arial" w:cs="Arial"/>
          <w:b/>
        </w:rPr>
        <w:t>?</w:t>
      </w:r>
    </w:p>
    <w:p w14:paraId="04F3117D" w14:textId="437D4613" w:rsidR="006C6DDF" w:rsidRDefault="009736E4" w:rsidP="006C6DDF">
      <w:pPr>
        <w:rPr>
          <w:rFonts w:ascii="Arial" w:hAnsi="Arial" w:cs="Arial"/>
        </w:rPr>
      </w:pPr>
      <w:r>
        <w:rPr>
          <w:rFonts w:ascii="Arial" w:hAnsi="Arial" w:cs="Arial"/>
        </w:rPr>
        <w:t xml:space="preserve">Yes. The blind taxpayer, a blind spouse, or a blind dependent </w:t>
      </w:r>
      <w:r w:rsidR="00F5444E">
        <w:rPr>
          <w:rFonts w:ascii="Arial" w:hAnsi="Arial" w:cs="Arial"/>
        </w:rPr>
        <w:t>are</w:t>
      </w:r>
      <w:r>
        <w:rPr>
          <w:rFonts w:ascii="Arial" w:hAnsi="Arial" w:cs="Arial"/>
        </w:rPr>
        <w:t xml:space="preserve"> all be eligible for the tax credit.</w:t>
      </w:r>
    </w:p>
    <w:p w14:paraId="37F62AC8" w14:textId="79D4195D" w:rsidR="00F5444E" w:rsidRDefault="00F5444E" w:rsidP="006C6DDF">
      <w:pPr>
        <w:rPr>
          <w:rFonts w:ascii="Arial" w:hAnsi="Arial" w:cs="Arial"/>
        </w:rPr>
      </w:pPr>
    </w:p>
    <w:p w14:paraId="3F353C42" w14:textId="77777777" w:rsidR="00F5444E" w:rsidRPr="00470A9D" w:rsidRDefault="00F5444E" w:rsidP="00F5444E">
      <w:pPr>
        <w:rPr>
          <w:rFonts w:ascii="Arial" w:hAnsi="Arial" w:cs="Arial"/>
          <w:b/>
        </w:rPr>
      </w:pPr>
      <w:r w:rsidRPr="00470A9D">
        <w:rPr>
          <w:rFonts w:ascii="Arial" w:hAnsi="Arial" w:cs="Arial"/>
          <w:b/>
        </w:rPr>
        <w:t>What has the committee said about the bill?</w:t>
      </w:r>
    </w:p>
    <w:p w14:paraId="58DDF567" w14:textId="78557FB2" w:rsidR="00F5444E" w:rsidRPr="00470A9D" w:rsidRDefault="00F5444E" w:rsidP="00F5444E">
      <w:pPr>
        <w:rPr>
          <w:rFonts w:ascii="Arial" w:hAnsi="Arial" w:cs="Arial"/>
        </w:rPr>
      </w:pPr>
      <w:r w:rsidRPr="00470A9D">
        <w:rPr>
          <w:rFonts w:ascii="Arial" w:hAnsi="Arial" w:cs="Arial"/>
        </w:rPr>
        <w:t xml:space="preserve">The House Ways and Means Committee has 18 committee members cosponsoring the bill. The Senate Finance Committee has </w:t>
      </w:r>
      <w:proofErr w:type="gramStart"/>
      <w:r w:rsidRPr="00470A9D">
        <w:rPr>
          <w:rFonts w:ascii="Arial" w:hAnsi="Arial" w:cs="Arial"/>
        </w:rPr>
        <w:t>9</w:t>
      </w:r>
      <w:proofErr w:type="gramEnd"/>
      <w:r w:rsidRPr="00470A9D">
        <w:rPr>
          <w:rFonts w:ascii="Arial" w:hAnsi="Arial" w:cs="Arial"/>
        </w:rPr>
        <w:t xml:space="preserve"> committee members cosponsoring the bill. Chairman Wyden of the Senate Finance Committee has cosponsored this bill</w:t>
      </w:r>
      <w:r>
        <w:rPr>
          <w:rFonts w:ascii="Arial" w:hAnsi="Arial" w:cs="Arial"/>
        </w:rPr>
        <w:t>,</w:t>
      </w:r>
      <w:r w:rsidRPr="00470A9D">
        <w:rPr>
          <w:rFonts w:ascii="Arial" w:hAnsi="Arial" w:cs="Arial"/>
        </w:rPr>
        <w:t xml:space="preserve"> while Chairman Neal of the House Ways and Means committee has also stated his support for this bill.</w:t>
      </w:r>
    </w:p>
    <w:p w14:paraId="5F454B5C" w14:textId="42DFE735" w:rsidR="00267E5F" w:rsidRDefault="00267E5F" w:rsidP="00F5444E"/>
    <w:p w14:paraId="3F76AA83" w14:textId="77777777" w:rsidR="00F5444E" w:rsidRPr="00470A9D" w:rsidRDefault="00F5444E" w:rsidP="00F5444E">
      <w:pPr>
        <w:rPr>
          <w:rFonts w:ascii="Arial" w:hAnsi="Arial" w:cs="Arial"/>
          <w:b/>
        </w:rPr>
      </w:pPr>
      <w:r w:rsidRPr="00470A9D">
        <w:rPr>
          <w:rFonts w:ascii="Arial" w:hAnsi="Arial" w:cs="Arial"/>
          <w:b/>
        </w:rPr>
        <w:t xml:space="preserve">What </w:t>
      </w:r>
      <w:r>
        <w:rPr>
          <w:rFonts w:ascii="Arial" w:hAnsi="Arial" w:cs="Arial"/>
          <w:b/>
        </w:rPr>
        <w:t>is the cost of this bill</w:t>
      </w:r>
      <w:r w:rsidRPr="00470A9D">
        <w:rPr>
          <w:rFonts w:ascii="Arial" w:hAnsi="Arial" w:cs="Arial"/>
          <w:b/>
        </w:rPr>
        <w:t>?</w:t>
      </w:r>
    </w:p>
    <w:p w14:paraId="22B5C215" w14:textId="0D88FA42" w:rsidR="00F5444E" w:rsidRDefault="00F5444E" w:rsidP="00F5444E">
      <w:pPr>
        <w:rPr>
          <w:rFonts w:ascii="Arial" w:hAnsi="Arial" w:cs="Arial"/>
        </w:rPr>
      </w:pPr>
      <w:r w:rsidRPr="00470A9D">
        <w:rPr>
          <w:rFonts w:ascii="Arial" w:hAnsi="Arial" w:cs="Arial"/>
        </w:rPr>
        <w:t xml:space="preserve">Typically we try not to mention the </w:t>
      </w:r>
      <w:r>
        <w:rPr>
          <w:rFonts w:ascii="Arial" w:hAnsi="Arial" w:cs="Arial"/>
        </w:rPr>
        <w:t>cost (frequently referred to as the “</w:t>
      </w:r>
      <w:r w:rsidRPr="00470A9D">
        <w:rPr>
          <w:rFonts w:ascii="Arial" w:hAnsi="Arial" w:cs="Arial"/>
        </w:rPr>
        <w:t>score</w:t>
      </w:r>
      <w:r>
        <w:rPr>
          <w:rFonts w:ascii="Arial" w:hAnsi="Arial" w:cs="Arial"/>
        </w:rPr>
        <w:t>”)</w:t>
      </w:r>
      <w:r w:rsidRPr="00470A9D">
        <w:rPr>
          <w:rFonts w:ascii="Arial" w:hAnsi="Arial" w:cs="Arial"/>
        </w:rPr>
        <w:t xml:space="preserve"> of the bill unless asked. If asked</w:t>
      </w:r>
      <w:r>
        <w:rPr>
          <w:rFonts w:ascii="Arial" w:hAnsi="Arial" w:cs="Arial"/>
        </w:rPr>
        <w:t>,</w:t>
      </w:r>
      <w:r w:rsidRPr="00470A9D">
        <w:rPr>
          <w:rFonts w:ascii="Arial" w:hAnsi="Arial" w:cs="Arial"/>
        </w:rPr>
        <w:t xml:space="preserve"> the Joint Committee on Taxation (JCT) scored the bill at $3</w:t>
      </w:r>
      <w:r>
        <w:rPr>
          <w:rFonts w:ascii="Arial" w:hAnsi="Arial" w:cs="Arial"/>
        </w:rPr>
        <w:t>.1 billion</w:t>
      </w:r>
      <w:r w:rsidRPr="00470A9D">
        <w:rPr>
          <w:rFonts w:ascii="Arial" w:hAnsi="Arial" w:cs="Arial"/>
        </w:rPr>
        <w:t xml:space="preserve">. Of </w:t>
      </w:r>
      <w:proofErr w:type="gramStart"/>
      <w:r w:rsidRPr="00470A9D">
        <w:rPr>
          <w:rFonts w:ascii="Arial" w:hAnsi="Arial" w:cs="Arial"/>
        </w:rPr>
        <w:t>course</w:t>
      </w:r>
      <w:proofErr w:type="gramEnd"/>
      <w:r w:rsidRPr="00470A9D">
        <w:rPr>
          <w:rFonts w:ascii="Arial" w:hAnsi="Arial" w:cs="Arial"/>
        </w:rPr>
        <w:t xml:space="preserve"> this score does not reflect the savings to the federal government as more people enter the workforce and are less reliant on </w:t>
      </w:r>
      <w:r>
        <w:rPr>
          <w:rFonts w:ascii="Arial" w:hAnsi="Arial" w:cs="Arial"/>
        </w:rPr>
        <w:t>SSI and SSDI</w:t>
      </w:r>
      <w:r w:rsidRPr="00470A9D">
        <w:rPr>
          <w:rFonts w:ascii="Arial" w:hAnsi="Arial" w:cs="Arial"/>
        </w:rPr>
        <w:t>. In addition, as people enter the workforce they will be paying federal taxes.</w:t>
      </w:r>
      <w:r>
        <w:rPr>
          <w:rFonts w:ascii="Arial" w:hAnsi="Arial" w:cs="Arial"/>
        </w:rPr>
        <w:t xml:space="preserve"> Furthermore, that score is over the course of ten years because that is the standard time frame to score a bill.</w:t>
      </w:r>
    </w:p>
    <w:p w14:paraId="5AF5694D" w14:textId="77777777" w:rsidR="00F5444E" w:rsidRDefault="00F5444E" w:rsidP="00F5444E"/>
    <w:p w14:paraId="62D62215" w14:textId="77777777" w:rsidR="00B92FAD" w:rsidRPr="00267E5F" w:rsidRDefault="00B92FAD" w:rsidP="00B92FAD">
      <w:pPr>
        <w:rPr>
          <w:rFonts w:ascii="Arial" w:hAnsi="Arial" w:cs="Arial"/>
          <w:b/>
        </w:rPr>
      </w:pPr>
      <w:r w:rsidRPr="00267E5F">
        <w:rPr>
          <w:rFonts w:ascii="Arial" w:hAnsi="Arial" w:cs="Arial"/>
          <w:b/>
        </w:rPr>
        <w:t>Where can I learn more about this legislation?</w:t>
      </w:r>
    </w:p>
    <w:p w14:paraId="486BE0B0" w14:textId="6ED8FDD1" w:rsidR="00470A9D" w:rsidRDefault="00B92FAD" w:rsidP="00470A9D">
      <w:pPr>
        <w:rPr>
          <w:rFonts w:ascii="Arial" w:hAnsi="Arial" w:cs="Arial"/>
        </w:rPr>
      </w:pPr>
      <w:r w:rsidRPr="00267E5F">
        <w:rPr>
          <w:rFonts w:ascii="Arial" w:hAnsi="Arial" w:cs="Arial"/>
        </w:rPr>
        <w:t xml:space="preserve">For more information, please contact </w:t>
      </w:r>
      <w:r>
        <w:rPr>
          <w:rFonts w:ascii="Arial" w:hAnsi="Arial" w:cs="Arial"/>
        </w:rPr>
        <w:t>Jeff Kaloc</w:t>
      </w:r>
      <w:r w:rsidRPr="00267E5F">
        <w:rPr>
          <w:rFonts w:ascii="Arial" w:hAnsi="Arial" w:cs="Arial"/>
        </w:rPr>
        <w:t xml:space="preserve">, government affairs specialist at the National Federation of the Blind, by email at </w:t>
      </w:r>
      <w:hyperlink r:id="rId7" w:history="1">
        <w:r w:rsidRPr="00520B06">
          <w:rPr>
            <w:rStyle w:val="Hyperlink"/>
            <w:rFonts w:ascii="Arial" w:hAnsi="Arial" w:cs="Arial"/>
          </w:rPr>
          <w:t>jkaloc@nfb.org</w:t>
        </w:r>
      </w:hyperlink>
      <w:r>
        <w:rPr>
          <w:rFonts w:ascii="Arial" w:hAnsi="Arial" w:cs="Arial"/>
        </w:rPr>
        <w:t xml:space="preserve"> </w:t>
      </w:r>
      <w:r w:rsidRPr="00267E5F">
        <w:rPr>
          <w:rFonts w:ascii="Arial" w:hAnsi="Arial" w:cs="Arial"/>
        </w:rPr>
        <w:t>or by phone at 410-659-9314, extension 22</w:t>
      </w:r>
      <w:r>
        <w:rPr>
          <w:rFonts w:ascii="Arial" w:hAnsi="Arial" w:cs="Arial"/>
        </w:rPr>
        <w:t>06</w:t>
      </w:r>
      <w:r w:rsidRPr="00267E5F">
        <w:rPr>
          <w:rFonts w:ascii="Arial" w:hAnsi="Arial" w:cs="Arial"/>
        </w:rPr>
        <w:t>.</w:t>
      </w:r>
    </w:p>
    <w:p w14:paraId="4196924D" w14:textId="51D26532" w:rsidR="00E62B91" w:rsidRPr="007B084E" w:rsidRDefault="00875B4A" w:rsidP="00E62B91">
      <w:pPr>
        <w:pStyle w:val="Heading1"/>
        <w:contextualSpacing w:val="0"/>
        <w:rPr>
          <w:rFonts w:cs="Arial"/>
          <w:b w:val="0"/>
          <w:sz w:val="24"/>
        </w:rPr>
      </w:pPr>
      <w:r>
        <w:rPr>
          <w:rFonts w:cs="Arial"/>
          <w:sz w:val="24"/>
        </w:rPr>
        <w:lastRenderedPageBreak/>
        <w:t xml:space="preserve">FOR INTERNAL USE ONLY - </w:t>
      </w:r>
      <w:r w:rsidR="00E62B91" w:rsidRPr="007B084E">
        <w:rPr>
          <w:rFonts w:cs="Arial"/>
          <w:sz w:val="24"/>
        </w:rPr>
        <w:t xml:space="preserve">Frequently Asked Questions for the </w:t>
      </w:r>
      <w:r w:rsidR="00E62B91" w:rsidRPr="007B084E">
        <w:rPr>
          <w:rFonts w:cs="Arial"/>
          <w:sz w:val="24"/>
        </w:rPr>
        <w:br/>
        <w:t>Medical Device Nonvisual Accessibility Act (MDNA) H.R. 4853</w:t>
      </w:r>
    </w:p>
    <w:p w14:paraId="48775E87" w14:textId="77777777" w:rsidR="00E62B91" w:rsidRPr="007B084E" w:rsidRDefault="00E62B91" w:rsidP="00E62B91">
      <w:pPr>
        <w:rPr>
          <w:rFonts w:ascii="Arial" w:hAnsi="Arial" w:cs="Arial"/>
          <w:b/>
        </w:rPr>
      </w:pPr>
    </w:p>
    <w:p w14:paraId="2672309E" w14:textId="77777777" w:rsidR="00E62B91" w:rsidRPr="007B084E" w:rsidRDefault="00E62B91" w:rsidP="00E62B91">
      <w:pPr>
        <w:rPr>
          <w:rFonts w:ascii="Arial" w:hAnsi="Arial" w:cs="Arial"/>
          <w:b/>
        </w:rPr>
      </w:pPr>
    </w:p>
    <w:p w14:paraId="05BFF37F" w14:textId="77777777" w:rsidR="00E62B91" w:rsidRPr="007B084E" w:rsidRDefault="00E62B91" w:rsidP="00E62B91">
      <w:pPr>
        <w:rPr>
          <w:rFonts w:ascii="Arial" w:hAnsi="Arial" w:cs="Arial"/>
          <w:b/>
        </w:rPr>
      </w:pPr>
      <w:r w:rsidRPr="007B084E">
        <w:rPr>
          <w:rFonts w:ascii="Arial" w:hAnsi="Arial" w:cs="Arial"/>
          <w:b/>
        </w:rPr>
        <w:t>What does nonvisual access mean?</w:t>
      </w:r>
    </w:p>
    <w:p w14:paraId="2FECF74D" w14:textId="77777777" w:rsidR="00E62B91" w:rsidRPr="007B084E" w:rsidRDefault="00E62B91" w:rsidP="00E62B91">
      <w:pPr>
        <w:rPr>
          <w:rFonts w:ascii="Arial" w:hAnsi="Arial" w:cs="Arial"/>
        </w:rPr>
      </w:pPr>
      <w:r w:rsidRPr="007B084E">
        <w:rPr>
          <w:rFonts w:ascii="Arial" w:hAnsi="Arial" w:cs="Arial"/>
        </w:rPr>
        <w:t xml:space="preserve">Nonvisual access </w:t>
      </w:r>
      <w:proofErr w:type="gramStart"/>
      <w:r>
        <w:rPr>
          <w:rFonts w:ascii="Arial" w:hAnsi="Arial" w:cs="Arial"/>
        </w:rPr>
        <w:t>is defined</w:t>
      </w:r>
      <w:proofErr w:type="gramEnd"/>
      <w:r>
        <w:rPr>
          <w:rFonts w:ascii="Arial" w:hAnsi="Arial" w:cs="Arial"/>
        </w:rPr>
        <w:t xml:space="preserve"> as</w:t>
      </w:r>
      <w:r w:rsidRPr="007B084E">
        <w:rPr>
          <w:rFonts w:ascii="Arial" w:hAnsi="Arial" w:cs="Arial"/>
        </w:rPr>
        <w:t xml:space="preserve"> a manner that allows blind or low-vision persons to access the same information, to engage in the same interactions, and to enjoy the same services offered to other persons with the same privacy, independence, and the same ease of use. </w:t>
      </w:r>
    </w:p>
    <w:p w14:paraId="30D8063D" w14:textId="77777777" w:rsidR="00E62B91" w:rsidRPr="007B084E" w:rsidRDefault="00E62B91" w:rsidP="00E62B91">
      <w:pPr>
        <w:rPr>
          <w:rFonts w:ascii="Arial" w:hAnsi="Arial" w:cs="Arial"/>
        </w:rPr>
      </w:pPr>
    </w:p>
    <w:p w14:paraId="6A740DA7" w14:textId="77777777" w:rsidR="00E62B91" w:rsidRPr="007B084E" w:rsidRDefault="00E62B91" w:rsidP="00E62B91">
      <w:pPr>
        <w:rPr>
          <w:rFonts w:ascii="Arial" w:hAnsi="Arial" w:cs="Arial"/>
          <w:b/>
        </w:rPr>
      </w:pPr>
      <w:r w:rsidRPr="007B084E">
        <w:rPr>
          <w:rFonts w:ascii="Arial" w:hAnsi="Arial" w:cs="Arial"/>
          <w:b/>
        </w:rPr>
        <w:t>Why is nonvisual access to medical devices important to blind Americans?</w:t>
      </w:r>
    </w:p>
    <w:p w14:paraId="013CA20E" w14:textId="77777777" w:rsidR="00E62B91" w:rsidRPr="007B084E" w:rsidRDefault="00E62B91" w:rsidP="00E62B91">
      <w:pPr>
        <w:rPr>
          <w:rFonts w:ascii="Arial" w:hAnsi="Arial" w:cs="Arial"/>
        </w:rPr>
      </w:pPr>
      <w:r w:rsidRPr="007B084E">
        <w:rPr>
          <w:rFonts w:ascii="Arial" w:hAnsi="Arial" w:cs="Arial"/>
        </w:rPr>
        <w:t>The lack of nonvisual accessibility in medical devices with a digital interface prevents blind Americans with conditions like diabetes from being able to independently monitor their conditions and care for themselves. Adding nonvisual accessibility to these devices has the potential to hel</w:t>
      </w:r>
      <w:r>
        <w:rPr>
          <w:rFonts w:ascii="Arial" w:hAnsi="Arial" w:cs="Arial"/>
        </w:rPr>
        <w:t>p blind people maintain privacy and</w:t>
      </w:r>
      <w:r w:rsidRPr="007B084E">
        <w:rPr>
          <w:rFonts w:ascii="Arial" w:hAnsi="Arial" w:cs="Arial"/>
        </w:rPr>
        <w:t xml:space="preserve"> self-sufficiency</w:t>
      </w:r>
      <w:r>
        <w:rPr>
          <w:rFonts w:ascii="Arial" w:hAnsi="Arial" w:cs="Arial"/>
        </w:rPr>
        <w:t>.</w:t>
      </w:r>
      <w:r w:rsidRPr="007B084E">
        <w:rPr>
          <w:rFonts w:ascii="Arial" w:hAnsi="Arial" w:cs="Arial"/>
        </w:rPr>
        <w:t xml:space="preserve"> </w:t>
      </w:r>
    </w:p>
    <w:p w14:paraId="0E219329" w14:textId="77777777" w:rsidR="00E62B91" w:rsidRPr="007B084E" w:rsidRDefault="00E62B91" w:rsidP="00E62B91">
      <w:pPr>
        <w:rPr>
          <w:rFonts w:ascii="Arial" w:hAnsi="Arial" w:cs="Arial"/>
        </w:rPr>
      </w:pPr>
    </w:p>
    <w:p w14:paraId="3917357B" w14:textId="77777777" w:rsidR="00E62B91" w:rsidRPr="007B084E" w:rsidRDefault="00E62B91" w:rsidP="00E62B91">
      <w:pPr>
        <w:rPr>
          <w:rFonts w:ascii="Arial" w:hAnsi="Arial" w:cs="Arial"/>
          <w:b/>
        </w:rPr>
      </w:pPr>
      <w:r w:rsidRPr="007B084E">
        <w:rPr>
          <w:rFonts w:ascii="Arial" w:hAnsi="Arial" w:cs="Arial"/>
          <w:b/>
        </w:rPr>
        <w:t xml:space="preserve">How prevalent are </w:t>
      </w:r>
      <w:proofErr w:type="spellStart"/>
      <w:r w:rsidRPr="007B084E">
        <w:rPr>
          <w:rFonts w:ascii="Arial" w:hAnsi="Arial" w:cs="Arial"/>
          <w:b/>
        </w:rPr>
        <w:t>nonvisually</w:t>
      </w:r>
      <w:proofErr w:type="spellEnd"/>
      <w:r w:rsidRPr="007B084E">
        <w:rPr>
          <w:rFonts w:ascii="Arial" w:hAnsi="Arial" w:cs="Arial"/>
          <w:b/>
        </w:rPr>
        <w:t xml:space="preserve"> accessible medical devices? </w:t>
      </w:r>
    </w:p>
    <w:p w14:paraId="4A6B8DC1" w14:textId="77777777" w:rsidR="00E62B91" w:rsidRPr="007B084E" w:rsidRDefault="00E62B91" w:rsidP="00E62B91">
      <w:pPr>
        <w:rPr>
          <w:rFonts w:ascii="Arial" w:hAnsi="Arial" w:cs="Arial"/>
        </w:rPr>
      </w:pPr>
      <w:r w:rsidRPr="007B084E">
        <w:rPr>
          <w:rFonts w:ascii="Arial" w:hAnsi="Arial" w:cs="Arial"/>
        </w:rPr>
        <w:t xml:space="preserve">While nonvisual accessibility is not difficult, manufacturers who produce medical devices that are </w:t>
      </w:r>
      <w:proofErr w:type="spellStart"/>
      <w:r w:rsidRPr="007B084E">
        <w:rPr>
          <w:rFonts w:ascii="Arial" w:hAnsi="Arial" w:cs="Arial"/>
        </w:rPr>
        <w:t>nonvisually</w:t>
      </w:r>
      <w:proofErr w:type="spellEnd"/>
      <w:r w:rsidRPr="007B084E">
        <w:rPr>
          <w:rFonts w:ascii="Arial" w:hAnsi="Arial" w:cs="Arial"/>
        </w:rPr>
        <w:t xml:space="preserve"> accessible are rare. </w:t>
      </w:r>
    </w:p>
    <w:p w14:paraId="1B2A1402" w14:textId="77777777" w:rsidR="00E62B91" w:rsidRPr="007B084E" w:rsidRDefault="00E62B91" w:rsidP="00E62B91">
      <w:pPr>
        <w:rPr>
          <w:rFonts w:ascii="Arial" w:hAnsi="Arial" w:cs="Arial"/>
        </w:rPr>
      </w:pPr>
    </w:p>
    <w:p w14:paraId="384E63F9" w14:textId="77777777" w:rsidR="00E62B91" w:rsidRDefault="00E62B91" w:rsidP="00E62B91">
      <w:pPr>
        <w:rPr>
          <w:rFonts w:ascii="Arial" w:hAnsi="Arial" w:cs="Arial"/>
          <w:b/>
        </w:rPr>
      </w:pPr>
      <w:r w:rsidRPr="007B084E">
        <w:rPr>
          <w:rFonts w:ascii="Arial" w:hAnsi="Arial" w:cs="Arial"/>
          <w:b/>
        </w:rPr>
        <w:t xml:space="preserve">What are Class II and Class III medical devices? </w:t>
      </w:r>
    </w:p>
    <w:p w14:paraId="325E19BB" w14:textId="77777777" w:rsidR="00E62B91" w:rsidRPr="00AC3528" w:rsidRDefault="00E62B91" w:rsidP="00E62B91">
      <w:pPr>
        <w:rPr>
          <w:rFonts w:ascii="Arial" w:hAnsi="Arial" w:cs="Arial"/>
          <w:shd w:val="clear" w:color="auto" w:fill="FFFFFF"/>
        </w:rPr>
      </w:pPr>
      <w:r w:rsidRPr="00AC3528">
        <w:rPr>
          <w:rFonts w:ascii="Arial" w:hAnsi="Arial" w:cs="Arial"/>
        </w:rPr>
        <w:t>According to the FDA,</w:t>
      </w:r>
      <w:r w:rsidRPr="00AC3528">
        <w:rPr>
          <w:rFonts w:ascii="Arial" w:hAnsi="Arial" w:cs="Arial"/>
          <w:b/>
        </w:rPr>
        <w:t xml:space="preserve"> </w:t>
      </w:r>
      <w:r w:rsidRPr="00AC3528">
        <w:rPr>
          <w:rFonts w:ascii="Arial" w:hAnsi="Arial" w:cs="Arial"/>
          <w:shd w:val="clear" w:color="auto" w:fill="FFFFFF"/>
        </w:rPr>
        <w:t xml:space="preserve">most medical devices </w:t>
      </w:r>
      <w:proofErr w:type="gramStart"/>
      <w:r w:rsidRPr="00AC3528">
        <w:rPr>
          <w:rFonts w:ascii="Arial" w:hAnsi="Arial" w:cs="Arial"/>
          <w:shd w:val="clear" w:color="auto" w:fill="FFFFFF"/>
        </w:rPr>
        <w:t>are considered</w:t>
      </w:r>
      <w:proofErr w:type="gramEnd"/>
      <w:r w:rsidRPr="00AC3528">
        <w:rPr>
          <w:rFonts w:ascii="Arial" w:hAnsi="Arial" w:cs="Arial"/>
          <w:shd w:val="clear" w:color="auto" w:fill="FFFFFF"/>
        </w:rPr>
        <w:t xml:space="preserve"> Class II devices. Examples of Class II devices include powered wheelchairs and some pregnancy test kits. Forty-three percent of medical devices fall under this category. Additionally, Class III devices usually sustain or support life, </w:t>
      </w:r>
      <w:proofErr w:type="gramStart"/>
      <w:r w:rsidRPr="00AC3528">
        <w:rPr>
          <w:rFonts w:ascii="Arial" w:hAnsi="Arial" w:cs="Arial"/>
          <w:shd w:val="clear" w:color="auto" w:fill="FFFFFF"/>
        </w:rPr>
        <w:t>are implanted</w:t>
      </w:r>
      <w:proofErr w:type="gramEnd"/>
      <w:r w:rsidRPr="00AC3528">
        <w:rPr>
          <w:rFonts w:ascii="Arial" w:hAnsi="Arial" w:cs="Arial"/>
          <w:shd w:val="clear" w:color="auto" w:fill="FFFFFF"/>
        </w:rPr>
        <w:t>, or present potential unreasonable risk of illness or injury. Examples of Class III devices include implantable pacemakers and breast implants. Ten percent of medical devices fall under this category.</w:t>
      </w:r>
    </w:p>
    <w:p w14:paraId="5F0DDF57" w14:textId="77777777" w:rsidR="00E62B91" w:rsidRPr="007B084E" w:rsidRDefault="00E62B91" w:rsidP="00E62B91">
      <w:pPr>
        <w:rPr>
          <w:rFonts w:ascii="Arial" w:hAnsi="Arial" w:cs="Arial"/>
        </w:rPr>
      </w:pPr>
    </w:p>
    <w:p w14:paraId="323E0697" w14:textId="77777777" w:rsidR="00E62B91" w:rsidRPr="007B084E" w:rsidRDefault="00E62B91" w:rsidP="00E62B91">
      <w:pPr>
        <w:rPr>
          <w:rFonts w:ascii="Arial" w:hAnsi="Arial" w:cs="Arial"/>
          <w:b/>
        </w:rPr>
      </w:pPr>
      <w:r w:rsidRPr="007B084E">
        <w:rPr>
          <w:rFonts w:ascii="Arial" w:hAnsi="Arial" w:cs="Arial"/>
          <w:b/>
        </w:rPr>
        <w:t>What are the impacts to safety and efficacy if medical devices are not accessible to blind people?</w:t>
      </w:r>
    </w:p>
    <w:p w14:paraId="108F9D9C" w14:textId="77777777" w:rsidR="00E62B91" w:rsidRPr="007B084E" w:rsidRDefault="00E62B91" w:rsidP="00E62B91">
      <w:pPr>
        <w:rPr>
          <w:rFonts w:ascii="Arial" w:hAnsi="Arial" w:cs="Arial"/>
        </w:rPr>
      </w:pPr>
      <w:r w:rsidRPr="007B084E">
        <w:rPr>
          <w:rFonts w:ascii="Arial" w:hAnsi="Arial" w:cs="Arial"/>
        </w:rPr>
        <w:t xml:space="preserve">The inaccessibility of these devices can pose extremely serious consequences, including, but not limited to, overdose on injected medicine, avoidable hospitalizations, and death, in some cases. Additionally, lack of nonvisual accessibility impedes the use of such devices as home-based dialysis and chemotherapy treatments. </w:t>
      </w:r>
    </w:p>
    <w:p w14:paraId="709E1979" w14:textId="77777777" w:rsidR="00E62B91" w:rsidRPr="007B084E" w:rsidRDefault="00E62B91" w:rsidP="00E62B91">
      <w:pPr>
        <w:rPr>
          <w:rFonts w:ascii="Arial" w:hAnsi="Arial" w:cs="Arial"/>
        </w:rPr>
      </w:pPr>
    </w:p>
    <w:p w14:paraId="7C4432CF" w14:textId="77777777" w:rsidR="00E62B91" w:rsidRPr="007B084E" w:rsidRDefault="00E62B91" w:rsidP="00E62B91">
      <w:pPr>
        <w:rPr>
          <w:rFonts w:ascii="Arial" w:hAnsi="Arial" w:cs="Arial"/>
          <w:b/>
        </w:rPr>
      </w:pPr>
      <w:r w:rsidRPr="007B084E">
        <w:rPr>
          <w:rFonts w:ascii="Arial" w:hAnsi="Arial" w:cs="Arial"/>
          <w:b/>
        </w:rPr>
        <w:t>Where can I learn more about this Act?</w:t>
      </w:r>
    </w:p>
    <w:p w14:paraId="5F5E3924" w14:textId="77777777" w:rsidR="00E62B91" w:rsidRPr="007B084E" w:rsidRDefault="00E62B91" w:rsidP="00E62B91">
      <w:pPr>
        <w:rPr>
          <w:rFonts w:ascii="Arial" w:hAnsi="Arial" w:cs="Arial"/>
        </w:rPr>
      </w:pPr>
      <w:r w:rsidRPr="007B084E">
        <w:rPr>
          <w:rFonts w:ascii="Arial" w:hAnsi="Arial" w:cs="Arial"/>
        </w:rPr>
        <w:t xml:space="preserve">For more information about H.R. 4853, please contact Jesa Medders, National Federation of the Blind, by email at </w:t>
      </w:r>
      <w:hyperlink r:id="rId8" w:history="1">
        <w:r w:rsidRPr="003C0E36">
          <w:rPr>
            <w:rStyle w:val="Hyperlink"/>
            <w:rFonts w:ascii="Arial" w:hAnsi="Arial" w:cs="Arial"/>
          </w:rPr>
          <w:t>jmedders@nfb.org</w:t>
        </w:r>
      </w:hyperlink>
      <w:r>
        <w:rPr>
          <w:rFonts w:ascii="Arial" w:hAnsi="Arial" w:cs="Arial"/>
        </w:rPr>
        <w:t xml:space="preserve"> </w:t>
      </w:r>
      <w:r w:rsidRPr="007B084E">
        <w:rPr>
          <w:rFonts w:ascii="Arial" w:hAnsi="Arial" w:cs="Arial"/>
        </w:rPr>
        <w:t xml:space="preserve">or by phone at 410-659-9314, extension 2207. </w:t>
      </w:r>
    </w:p>
    <w:p w14:paraId="158E2314" w14:textId="3CC3035A" w:rsidR="00E62B91" w:rsidRDefault="00E62B91" w:rsidP="00470A9D">
      <w:pPr>
        <w:rPr>
          <w:rFonts w:ascii="Arial" w:hAnsi="Arial" w:cs="Arial"/>
        </w:rPr>
      </w:pPr>
    </w:p>
    <w:p w14:paraId="20647567" w14:textId="48F8C4DD" w:rsidR="00E62B91" w:rsidRDefault="00E62B91">
      <w:pPr>
        <w:spacing w:after="200" w:line="276" w:lineRule="auto"/>
        <w:rPr>
          <w:rFonts w:ascii="Arial" w:hAnsi="Arial" w:cs="Arial"/>
        </w:rPr>
      </w:pPr>
      <w:r>
        <w:rPr>
          <w:rFonts w:ascii="Arial" w:hAnsi="Arial" w:cs="Arial"/>
        </w:rPr>
        <w:br w:type="page"/>
      </w:r>
    </w:p>
    <w:p w14:paraId="7E506DC1" w14:textId="6ECAE97A" w:rsidR="00E62B91" w:rsidRPr="001F0F38" w:rsidRDefault="00875B4A" w:rsidP="00E62B91">
      <w:pPr>
        <w:pStyle w:val="Heading1"/>
        <w:contextualSpacing w:val="0"/>
        <w:rPr>
          <w:rFonts w:cs="Arial"/>
          <w:b w:val="0"/>
          <w:sz w:val="24"/>
        </w:rPr>
      </w:pPr>
      <w:r>
        <w:rPr>
          <w:rFonts w:cs="Arial"/>
          <w:sz w:val="24"/>
        </w:rPr>
        <w:lastRenderedPageBreak/>
        <w:t xml:space="preserve">FOR INTERNAL USE ONLY - </w:t>
      </w:r>
      <w:r w:rsidR="00E62B91" w:rsidRPr="001F0F38">
        <w:rPr>
          <w:rFonts w:cs="Arial"/>
          <w:sz w:val="24"/>
        </w:rPr>
        <w:t xml:space="preserve">Frequently Asked Questions for the </w:t>
      </w:r>
      <w:r w:rsidR="00E62B91">
        <w:rPr>
          <w:rFonts w:cs="Arial"/>
          <w:sz w:val="24"/>
        </w:rPr>
        <w:br/>
        <w:t>Twenty-First Century Websites and Applications Accessibility Act</w:t>
      </w:r>
    </w:p>
    <w:p w14:paraId="6E8F7FEB" w14:textId="77777777" w:rsidR="00E62B91" w:rsidRDefault="00E62B91" w:rsidP="00E62B91">
      <w:pPr>
        <w:rPr>
          <w:rFonts w:ascii="Arial" w:hAnsi="Arial" w:cs="Arial"/>
          <w:b/>
        </w:rPr>
      </w:pPr>
    </w:p>
    <w:p w14:paraId="122B4F7D" w14:textId="77777777" w:rsidR="00E62B91" w:rsidRPr="00E55CA7" w:rsidRDefault="00E62B91" w:rsidP="00E62B91">
      <w:pPr>
        <w:rPr>
          <w:rFonts w:ascii="Arial" w:hAnsi="Arial" w:cs="Arial"/>
          <w:b/>
        </w:rPr>
      </w:pPr>
      <w:r w:rsidRPr="00E55CA7">
        <w:rPr>
          <w:rFonts w:ascii="Arial" w:hAnsi="Arial" w:cs="Arial"/>
          <w:b/>
        </w:rPr>
        <w:t>Does the U.S. Access Board have experience promulgating website regulations?</w:t>
      </w:r>
    </w:p>
    <w:p w14:paraId="22951E4B" w14:textId="77777777" w:rsidR="00E62B91" w:rsidRPr="00E55CA7" w:rsidRDefault="00E62B91" w:rsidP="00E62B91">
      <w:pPr>
        <w:rPr>
          <w:rFonts w:ascii="Arial" w:hAnsi="Arial" w:cs="Arial"/>
        </w:rPr>
      </w:pPr>
      <w:r w:rsidRPr="00E55CA7">
        <w:rPr>
          <w:rFonts w:ascii="Arial" w:hAnsi="Arial" w:cs="Arial"/>
        </w:rPr>
        <w:t>Yes. In January 2017</w:t>
      </w:r>
      <w:r>
        <w:rPr>
          <w:rFonts w:ascii="Arial" w:hAnsi="Arial" w:cs="Arial"/>
        </w:rPr>
        <w:t>,</w:t>
      </w:r>
      <w:r w:rsidRPr="00E55CA7">
        <w:rPr>
          <w:rFonts w:ascii="Arial" w:hAnsi="Arial" w:cs="Arial"/>
        </w:rPr>
        <w:t xml:space="preserve"> the U.S. Access Board promulgated a final rule updating accessibility requirements for information and communication technology (ICT) covered by Section 508 of the Rehabilitation Act of 1973.</w:t>
      </w:r>
    </w:p>
    <w:p w14:paraId="4DB7D958" w14:textId="77777777" w:rsidR="00E62B91" w:rsidRPr="00E55CA7" w:rsidRDefault="00E62B91" w:rsidP="00E62B91">
      <w:pPr>
        <w:rPr>
          <w:rFonts w:ascii="Arial" w:hAnsi="Arial" w:cs="Arial"/>
          <w:b/>
        </w:rPr>
      </w:pPr>
    </w:p>
    <w:p w14:paraId="2119E45B" w14:textId="77777777" w:rsidR="00E62B91" w:rsidRPr="00E55CA7" w:rsidRDefault="00E62B91" w:rsidP="00E62B91">
      <w:pPr>
        <w:rPr>
          <w:rFonts w:ascii="Arial" w:hAnsi="Arial" w:cs="Arial"/>
          <w:b/>
        </w:rPr>
      </w:pPr>
      <w:r>
        <w:rPr>
          <w:rFonts w:ascii="Arial" w:hAnsi="Arial" w:cs="Arial"/>
          <w:b/>
        </w:rPr>
        <w:t xml:space="preserve">Which websites </w:t>
      </w:r>
      <w:proofErr w:type="gramStart"/>
      <w:r>
        <w:rPr>
          <w:rFonts w:ascii="Arial" w:hAnsi="Arial" w:cs="Arial"/>
          <w:b/>
        </w:rPr>
        <w:t>will be covered</w:t>
      </w:r>
      <w:proofErr w:type="gramEnd"/>
      <w:r w:rsidRPr="00E55CA7">
        <w:rPr>
          <w:rFonts w:ascii="Arial" w:hAnsi="Arial" w:cs="Arial"/>
          <w:b/>
        </w:rPr>
        <w:t>?</w:t>
      </w:r>
    </w:p>
    <w:p w14:paraId="795A334C" w14:textId="77777777" w:rsidR="00E62B91" w:rsidRPr="00E55CA7" w:rsidRDefault="00E62B91" w:rsidP="00E62B91">
      <w:pPr>
        <w:rPr>
          <w:rFonts w:ascii="Arial" w:hAnsi="Arial" w:cs="Arial"/>
        </w:rPr>
      </w:pPr>
      <w:r>
        <w:rPr>
          <w:rFonts w:ascii="Arial" w:hAnsi="Arial" w:cs="Arial"/>
        </w:rPr>
        <w:t xml:space="preserve">The websites of employers, state and local entities, and places of public accommodation </w:t>
      </w:r>
      <w:proofErr w:type="gramStart"/>
      <w:r>
        <w:rPr>
          <w:rFonts w:ascii="Arial" w:hAnsi="Arial" w:cs="Arial"/>
        </w:rPr>
        <w:t>will be covered</w:t>
      </w:r>
      <w:proofErr w:type="gramEnd"/>
      <w:r w:rsidRPr="00E55CA7">
        <w:rPr>
          <w:rFonts w:ascii="Arial" w:hAnsi="Arial" w:cs="Arial"/>
        </w:rPr>
        <w:t>.</w:t>
      </w:r>
    </w:p>
    <w:p w14:paraId="146EEC50" w14:textId="77777777" w:rsidR="00E62B91" w:rsidRPr="00E55CA7" w:rsidRDefault="00E62B91" w:rsidP="00E62B91">
      <w:pPr>
        <w:rPr>
          <w:rFonts w:ascii="Arial" w:hAnsi="Arial" w:cs="Arial"/>
          <w:b/>
        </w:rPr>
      </w:pPr>
    </w:p>
    <w:p w14:paraId="7E6C7CB8" w14:textId="77777777" w:rsidR="00E62B91" w:rsidRPr="00E55CA7" w:rsidRDefault="00E62B91" w:rsidP="00E62B91">
      <w:pPr>
        <w:rPr>
          <w:rFonts w:ascii="Arial" w:hAnsi="Arial" w:cs="Arial"/>
          <w:b/>
        </w:rPr>
      </w:pPr>
      <w:r w:rsidRPr="00E55CA7">
        <w:rPr>
          <w:rFonts w:ascii="Arial" w:hAnsi="Arial" w:cs="Arial"/>
          <w:b/>
        </w:rPr>
        <w:t>Does federal law already require websites to be accessible?</w:t>
      </w:r>
    </w:p>
    <w:p w14:paraId="22F99FDF" w14:textId="77777777" w:rsidR="00E62B91" w:rsidRPr="00E55CA7" w:rsidRDefault="00E62B91" w:rsidP="00E62B91">
      <w:pPr>
        <w:rPr>
          <w:rFonts w:ascii="Arial" w:hAnsi="Arial" w:cs="Arial"/>
        </w:rPr>
      </w:pPr>
      <w:r w:rsidRPr="00E55CA7">
        <w:rPr>
          <w:rFonts w:ascii="Arial" w:hAnsi="Arial" w:cs="Arial"/>
        </w:rPr>
        <w:t xml:space="preserve">Yes. </w:t>
      </w:r>
      <w:r>
        <w:rPr>
          <w:rFonts w:ascii="Arial" w:hAnsi="Arial" w:cs="Arial"/>
        </w:rPr>
        <w:t>In general, t</w:t>
      </w:r>
      <w:r w:rsidRPr="00E55CA7">
        <w:rPr>
          <w:rFonts w:ascii="Arial" w:hAnsi="Arial" w:cs="Arial"/>
        </w:rPr>
        <w:t>he ADA already requires ADA Title, I, II, and III entities to make their mobile apps and websites accessible to people with disabilities.</w:t>
      </w:r>
      <w:r>
        <w:rPr>
          <w:rFonts w:ascii="Arial" w:hAnsi="Arial" w:cs="Arial"/>
        </w:rPr>
        <w:t xml:space="preserve"> However, specific regulations for website accessibility do not exist. This bill would create a clear statutory definition of accessibility and require the Department of Justice and the Equal Employment Opportunity Commission to promulgate regulations. </w:t>
      </w:r>
    </w:p>
    <w:p w14:paraId="5D76FFC2" w14:textId="77777777" w:rsidR="00E62B91" w:rsidRPr="00E55CA7" w:rsidRDefault="00E62B91" w:rsidP="00E62B91">
      <w:pPr>
        <w:rPr>
          <w:rFonts w:ascii="Arial" w:hAnsi="Arial" w:cs="Arial"/>
          <w:b/>
        </w:rPr>
      </w:pPr>
    </w:p>
    <w:p w14:paraId="393E95D6" w14:textId="77777777" w:rsidR="00E62B91" w:rsidRPr="00E55CA7" w:rsidRDefault="00E62B91" w:rsidP="00E62B91">
      <w:pPr>
        <w:rPr>
          <w:rFonts w:ascii="Arial" w:hAnsi="Arial" w:cs="Arial"/>
          <w:b/>
        </w:rPr>
      </w:pPr>
      <w:r w:rsidRPr="00E55CA7">
        <w:rPr>
          <w:rFonts w:ascii="Arial" w:hAnsi="Arial" w:cs="Arial"/>
          <w:b/>
        </w:rPr>
        <w:t>Are companies in favor of website regulations?</w:t>
      </w:r>
    </w:p>
    <w:p w14:paraId="3106FCD9" w14:textId="77777777" w:rsidR="00E62B91" w:rsidRDefault="00E62B91" w:rsidP="00E62B91">
      <w:pPr>
        <w:rPr>
          <w:rFonts w:ascii="Arial" w:hAnsi="Arial" w:cs="Arial"/>
          <w:b/>
        </w:rPr>
      </w:pPr>
      <w:r w:rsidRPr="00E55CA7">
        <w:rPr>
          <w:rFonts w:ascii="Arial" w:hAnsi="Arial" w:cs="Arial"/>
        </w:rPr>
        <w:t>Yes. In general</w:t>
      </w:r>
      <w:r>
        <w:rPr>
          <w:rFonts w:ascii="Arial" w:hAnsi="Arial" w:cs="Arial"/>
        </w:rPr>
        <w:t>,</w:t>
      </w:r>
      <w:r w:rsidRPr="00E55CA7">
        <w:rPr>
          <w:rFonts w:ascii="Arial" w:hAnsi="Arial" w:cs="Arial"/>
        </w:rPr>
        <w:t xml:space="preserve"> companies want regulatory clarity regarding website accessibility.</w:t>
      </w:r>
    </w:p>
    <w:p w14:paraId="741EDCF5" w14:textId="77777777" w:rsidR="00E62B91" w:rsidRDefault="00E62B91" w:rsidP="00E62B91">
      <w:pPr>
        <w:rPr>
          <w:rFonts w:ascii="Arial" w:hAnsi="Arial" w:cs="Arial"/>
        </w:rPr>
      </w:pPr>
    </w:p>
    <w:p w14:paraId="5F0F91D2" w14:textId="77777777" w:rsidR="00E62B91" w:rsidRPr="00321EE7" w:rsidRDefault="00E62B91" w:rsidP="00E62B91">
      <w:pPr>
        <w:rPr>
          <w:rFonts w:ascii="Arial" w:hAnsi="Arial" w:cs="Arial"/>
          <w:b/>
        </w:rPr>
      </w:pPr>
      <w:r w:rsidRPr="00321EE7">
        <w:rPr>
          <w:rFonts w:ascii="Arial" w:hAnsi="Arial" w:cs="Arial"/>
          <w:b/>
        </w:rPr>
        <w:t>Does this bill open the ADA up for amendments?</w:t>
      </w:r>
    </w:p>
    <w:p w14:paraId="735A1800" w14:textId="77777777" w:rsidR="00E62B91" w:rsidRDefault="00E62B91" w:rsidP="00E62B91">
      <w:pPr>
        <w:rPr>
          <w:rFonts w:ascii="Arial" w:hAnsi="Arial" w:cs="Arial"/>
        </w:rPr>
      </w:pPr>
      <w:r>
        <w:rPr>
          <w:rFonts w:ascii="Arial" w:hAnsi="Arial" w:cs="Arial"/>
        </w:rPr>
        <w:t xml:space="preserve">No. The Twenty-First Century Websites and Applications Accessibility Act utilizes existing ADA definitions and does not amend the ADA. </w:t>
      </w:r>
    </w:p>
    <w:p w14:paraId="6257BBB9" w14:textId="77777777" w:rsidR="00E62B91" w:rsidRDefault="00E62B91" w:rsidP="00E62B91">
      <w:pPr>
        <w:rPr>
          <w:rFonts w:ascii="Arial" w:hAnsi="Arial" w:cs="Arial"/>
        </w:rPr>
      </w:pPr>
    </w:p>
    <w:p w14:paraId="5AC98EA2" w14:textId="77777777" w:rsidR="00E62B91" w:rsidRDefault="00E62B91" w:rsidP="00E62B91">
      <w:pPr>
        <w:rPr>
          <w:rFonts w:ascii="Arial" w:hAnsi="Arial" w:cs="Arial"/>
          <w:b/>
        </w:rPr>
      </w:pPr>
      <w:r w:rsidRPr="00321EE7">
        <w:rPr>
          <w:rFonts w:ascii="Arial" w:hAnsi="Arial" w:cs="Arial"/>
          <w:b/>
        </w:rPr>
        <w:t>What is the enforcement mechanism for companies or entities that violate the provisions of the bill?</w:t>
      </w:r>
    </w:p>
    <w:p w14:paraId="0171C24F" w14:textId="77777777" w:rsidR="00E62B91" w:rsidRPr="00321EE7" w:rsidRDefault="00E62B91" w:rsidP="00E62B91">
      <w:pPr>
        <w:rPr>
          <w:rFonts w:ascii="Arial" w:hAnsi="Arial" w:cs="Arial"/>
        </w:rPr>
      </w:pPr>
      <w:r>
        <w:rPr>
          <w:rFonts w:ascii="Arial" w:hAnsi="Arial" w:cs="Arial"/>
        </w:rPr>
        <w:t>T</w:t>
      </w:r>
      <w:r w:rsidRPr="00321EE7">
        <w:rPr>
          <w:rFonts w:ascii="Arial" w:hAnsi="Arial" w:cs="Arial"/>
        </w:rPr>
        <w:t>he Department of Justice and the Equal Employment Opportunity Commission will have the authority to investigate accessibility concerns and commence civil action if necessary.</w:t>
      </w:r>
    </w:p>
    <w:p w14:paraId="043801EE" w14:textId="77777777" w:rsidR="00E62B91" w:rsidRDefault="00E62B91" w:rsidP="00E62B91">
      <w:pPr>
        <w:rPr>
          <w:rFonts w:ascii="Arial" w:hAnsi="Arial" w:cs="Arial"/>
          <w:b/>
        </w:rPr>
      </w:pPr>
    </w:p>
    <w:p w14:paraId="73AEC7E6" w14:textId="77777777" w:rsidR="00E62B91" w:rsidRPr="00267E5F" w:rsidRDefault="00E62B91" w:rsidP="00E62B91">
      <w:pPr>
        <w:rPr>
          <w:rFonts w:ascii="Arial" w:hAnsi="Arial" w:cs="Arial"/>
          <w:b/>
        </w:rPr>
      </w:pPr>
      <w:r w:rsidRPr="00267E5F">
        <w:rPr>
          <w:rFonts w:ascii="Arial" w:hAnsi="Arial" w:cs="Arial"/>
          <w:b/>
        </w:rPr>
        <w:t>Where can I learn more about this legislation?</w:t>
      </w:r>
    </w:p>
    <w:p w14:paraId="1337AFFC" w14:textId="77777777" w:rsidR="00E62B91" w:rsidRPr="00267E5F" w:rsidRDefault="00E62B91" w:rsidP="00E62B91">
      <w:pPr>
        <w:rPr>
          <w:rFonts w:ascii="Arial" w:hAnsi="Arial" w:cs="Arial"/>
        </w:rPr>
      </w:pPr>
      <w:r w:rsidRPr="00267E5F">
        <w:rPr>
          <w:rFonts w:ascii="Arial" w:hAnsi="Arial" w:cs="Arial"/>
        </w:rPr>
        <w:t xml:space="preserve">For more information, please contact </w:t>
      </w:r>
      <w:r>
        <w:rPr>
          <w:rFonts w:ascii="Arial" w:hAnsi="Arial" w:cs="Arial"/>
        </w:rPr>
        <w:t>Jeff Kaloc</w:t>
      </w:r>
      <w:r w:rsidRPr="00267E5F">
        <w:rPr>
          <w:rFonts w:ascii="Arial" w:hAnsi="Arial" w:cs="Arial"/>
        </w:rPr>
        <w:t xml:space="preserve">, government affairs specialist at the National Federation of the Blind, by email at </w:t>
      </w:r>
      <w:hyperlink r:id="rId9" w:history="1">
        <w:r w:rsidRPr="00520B06">
          <w:rPr>
            <w:rStyle w:val="Hyperlink"/>
            <w:rFonts w:ascii="Arial" w:hAnsi="Arial" w:cs="Arial"/>
          </w:rPr>
          <w:t>jkaloc@nfb.org</w:t>
        </w:r>
      </w:hyperlink>
      <w:r>
        <w:rPr>
          <w:rFonts w:ascii="Arial" w:hAnsi="Arial" w:cs="Arial"/>
        </w:rPr>
        <w:t xml:space="preserve"> </w:t>
      </w:r>
      <w:r w:rsidRPr="00267E5F">
        <w:rPr>
          <w:rFonts w:ascii="Arial" w:hAnsi="Arial" w:cs="Arial"/>
        </w:rPr>
        <w:t>or by phone at 410-659-9314, extension 22</w:t>
      </w:r>
      <w:r>
        <w:rPr>
          <w:rFonts w:ascii="Arial" w:hAnsi="Arial" w:cs="Arial"/>
        </w:rPr>
        <w:t>06</w:t>
      </w:r>
      <w:r w:rsidRPr="00267E5F">
        <w:rPr>
          <w:rFonts w:ascii="Arial" w:hAnsi="Arial" w:cs="Arial"/>
        </w:rPr>
        <w:t>.</w:t>
      </w:r>
    </w:p>
    <w:p w14:paraId="0AA520F7" w14:textId="5A6720A6" w:rsidR="00E62B91" w:rsidRDefault="00E62B91" w:rsidP="00470A9D">
      <w:pPr>
        <w:rPr>
          <w:rFonts w:ascii="Arial" w:hAnsi="Arial" w:cs="Arial"/>
        </w:rPr>
      </w:pPr>
    </w:p>
    <w:p w14:paraId="415C72CC" w14:textId="12ACC491" w:rsidR="00E62B91" w:rsidRDefault="00E62B91">
      <w:pPr>
        <w:spacing w:after="200" w:line="276" w:lineRule="auto"/>
        <w:rPr>
          <w:rFonts w:ascii="Arial" w:hAnsi="Arial" w:cs="Arial"/>
        </w:rPr>
      </w:pPr>
      <w:r>
        <w:rPr>
          <w:rFonts w:ascii="Arial" w:hAnsi="Arial" w:cs="Arial"/>
        </w:rPr>
        <w:br w:type="page"/>
      </w:r>
    </w:p>
    <w:p w14:paraId="01E65DC3" w14:textId="77777777" w:rsidR="00E62B91" w:rsidRDefault="00E62B91" w:rsidP="00E62B91">
      <w:pPr>
        <w:pStyle w:val="Heading1"/>
        <w:contextualSpacing w:val="0"/>
        <w:rPr>
          <w:rFonts w:cs="Arial"/>
          <w:sz w:val="24"/>
        </w:rPr>
      </w:pPr>
    </w:p>
    <w:p w14:paraId="7DA7A68D" w14:textId="769B8572" w:rsidR="00E62B91" w:rsidRPr="001F0F38" w:rsidRDefault="00875B4A" w:rsidP="00E62B91">
      <w:pPr>
        <w:pStyle w:val="Heading1"/>
        <w:contextualSpacing w:val="0"/>
        <w:rPr>
          <w:rFonts w:cs="Arial"/>
          <w:b w:val="0"/>
          <w:sz w:val="24"/>
        </w:rPr>
      </w:pPr>
      <w:r>
        <w:rPr>
          <w:rFonts w:cs="Arial"/>
          <w:sz w:val="24"/>
        </w:rPr>
        <w:t xml:space="preserve">FOR INTERNAL USE ONLY - </w:t>
      </w:r>
      <w:bookmarkStart w:id="0" w:name="_GoBack"/>
      <w:bookmarkEnd w:id="0"/>
      <w:r w:rsidR="00E62B91" w:rsidRPr="001F0F38">
        <w:rPr>
          <w:rFonts w:cs="Arial"/>
          <w:sz w:val="24"/>
        </w:rPr>
        <w:t xml:space="preserve">Frequently Asked Questions for the </w:t>
      </w:r>
      <w:r w:rsidR="00E62B91">
        <w:rPr>
          <w:rFonts w:cs="Arial"/>
          <w:sz w:val="24"/>
        </w:rPr>
        <w:br/>
        <w:t>Transformation to Competitive Integrated Employment Act (H.R. 2373/S. 3238)</w:t>
      </w:r>
    </w:p>
    <w:p w14:paraId="23AD6F94" w14:textId="77777777" w:rsidR="00E62B91" w:rsidRDefault="00E62B91" w:rsidP="00E62B91">
      <w:pPr>
        <w:rPr>
          <w:rFonts w:ascii="Arial" w:hAnsi="Arial" w:cs="Arial"/>
          <w:b/>
        </w:rPr>
      </w:pPr>
    </w:p>
    <w:p w14:paraId="4F9E5103" w14:textId="77777777" w:rsidR="00E62B91" w:rsidRPr="00E55CA7" w:rsidRDefault="00E62B91" w:rsidP="00E62B91">
      <w:pPr>
        <w:rPr>
          <w:rFonts w:ascii="Arial" w:hAnsi="Arial" w:cs="Arial"/>
          <w:b/>
        </w:rPr>
      </w:pPr>
      <w:r>
        <w:rPr>
          <w:rFonts w:ascii="Arial" w:hAnsi="Arial" w:cs="Arial"/>
          <w:b/>
        </w:rPr>
        <w:t>Does paying people with disabilities subminimum wages prepare them for competitive integrated employment</w:t>
      </w:r>
      <w:r w:rsidRPr="00E55CA7">
        <w:rPr>
          <w:rFonts w:ascii="Arial" w:hAnsi="Arial" w:cs="Arial"/>
          <w:b/>
        </w:rPr>
        <w:t>?</w:t>
      </w:r>
    </w:p>
    <w:p w14:paraId="0796CE8A" w14:textId="77777777" w:rsidR="00E62B91" w:rsidRDefault="00E62B91" w:rsidP="00E62B91">
      <w:pPr>
        <w:rPr>
          <w:rFonts w:ascii="Arial" w:hAnsi="Arial" w:cs="Arial"/>
        </w:rPr>
      </w:pPr>
      <w:r w:rsidRPr="00771EB5">
        <w:rPr>
          <w:rFonts w:ascii="Arial" w:hAnsi="Arial" w:cs="Arial"/>
        </w:rPr>
        <w:t xml:space="preserve">The minimum wage exemption does nothing to help people with disabilities </w:t>
      </w:r>
      <w:r>
        <w:rPr>
          <w:rFonts w:ascii="Arial" w:hAnsi="Arial" w:cs="Arial"/>
        </w:rPr>
        <w:t xml:space="preserve">prepare for or </w:t>
      </w:r>
      <w:r w:rsidRPr="00771EB5">
        <w:rPr>
          <w:rFonts w:ascii="Arial" w:hAnsi="Arial" w:cs="Arial"/>
        </w:rPr>
        <w:t>obtain</w:t>
      </w:r>
      <w:r>
        <w:rPr>
          <w:rFonts w:ascii="Arial" w:hAnsi="Arial" w:cs="Arial"/>
        </w:rPr>
        <w:t xml:space="preserve"> competitive integrated</w:t>
      </w:r>
      <w:r w:rsidRPr="00771EB5">
        <w:rPr>
          <w:rFonts w:ascii="Arial" w:hAnsi="Arial" w:cs="Arial"/>
        </w:rPr>
        <w:t xml:space="preserve"> employment. </w:t>
      </w:r>
    </w:p>
    <w:p w14:paraId="3F7E2D92" w14:textId="77777777" w:rsidR="00E62B91" w:rsidRPr="00E55CA7" w:rsidRDefault="00E62B91" w:rsidP="00E62B91">
      <w:pPr>
        <w:rPr>
          <w:rFonts w:ascii="Arial" w:hAnsi="Arial" w:cs="Arial"/>
          <w:b/>
        </w:rPr>
      </w:pPr>
    </w:p>
    <w:p w14:paraId="66A6FEAC" w14:textId="77777777" w:rsidR="00E62B91" w:rsidRPr="00E55CA7" w:rsidRDefault="00E62B91" w:rsidP="00E62B91">
      <w:pPr>
        <w:rPr>
          <w:rFonts w:ascii="Arial" w:hAnsi="Arial" w:cs="Arial"/>
          <w:b/>
        </w:rPr>
      </w:pPr>
      <w:r w:rsidRPr="00A12305">
        <w:rPr>
          <w:rFonts w:ascii="Arial" w:hAnsi="Arial" w:cs="Arial"/>
          <w:b/>
        </w:rPr>
        <w:t>What is an alternate method for employing people with disabilities and what would a successful transition look like?</w:t>
      </w:r>
    </w:p>
    <w:p w14:paraId="2F84F503" w14:textId="77777777" w:rsidR="00E62B91" w:rsidRDefault="00E62B91" w:rsidP="00E62B91">
      <w:pPr>
        <w:rPr>
          <w:rFonts w:ascii="Arial" w:hAnsi="Arial" w:cs="Arial"/>
        </w:rPr>
      </w:pPr>
      <w:r w:rsidRPr="00A12305">
        <w:rPr>
          <w:rFonts w:ascii="Arial" w:hAnsi="Arial" w:cs="Arial"/>
        </w:rPr>
        <w:t>Employment</w:t>
      </w:r>
      <w:r>
        <w:rPr>
          <w:rFonts w:ascii="Arial" w:hAnsi="Arial" w:cs="Arial"/>
        </w:rPr>
        <w:t xml:space="preserve"> </w:t>
      </w:r>
      <w:proofErr w:type="gramStart"/>
      <w:r w:rsidRPr="00A12305">
        <w:rPr>
          <w:rFonts w:ascii="Arial" w:hAnsi="Arial" w:cs="Arial"/>
        </w:rPr>
        <w:t>First</w:t>
      </w:r>
      <w:proofErr w:type="gramEnd"/>
      <w:r>
        <w:rPr>
          <w:rFonts w:ascii="Arial" w:hAnsi="Arial" w:cs="Arial"/>
        </w:rPr>
        <w:t xml:space="preserve"> is a successful example of such a transition program that operates in many states across the nation and prioritizes competitive integrated employment. Other proven techniques to obtain competitive integrated employment include supported employment</w:t>
      </w:r>
      <w:r w:rsidRPr="00A12305">
        <w:rPr>
          <w:rFonts w:ascii="Arial" w:hAnsi="Arial" w:cs="Arial"/>
        </w:rPr>
        <w:t xml:space="preserve"> and customized employment. These programs focus on matching a worker’s skills and abilities to a job, rather than simply placing a worker in a predetermined manufacturing position regardless of his or her ability to perform such work.</w:t>
      </w:r>
    </w:p>
    <w:p w14:paraId="1AB8367B" w14:textId="77777777" w:rsidR="00E62B91" w:rsidRDefault="00E62B91" w:rsidP="00E62B91">
      <w:pPr>
        <w:rPr>
          <w:rFonts w:ascii="Arial" w:hAnsi="Arial" w:cs="Arial"/>
        </w:rPr>
      </w:pPr>
    </w:p>
    <w:p w14:paraId="280EBD9D" w14:textId="77777777" w:rsidR="00E62B91" w:rsidRPr="007F2E12" w:rsidRDefault="00E62B91" w:rsidP="00E62B91">
      <w:pPr>
        <w:rPr>
          <w:rFonts w:ascii="Arial" w:hAnsi="Arial" w:cs="Arial"/>
          <w:b/>
        </w:rPr>
      </w:pPr>
      <w:r w:rsidRPr="007F2E12">
        <w:rPr>
          <w:rFonts w:ascii="Arial" w:hAnsi="Arial" w:cs="Arial"/>
          <w:b/>
        </w:rPr>
        <w:t>How long is the transition period in the Transformation to Competitive Integrated Employment Act?</w:t>
      </w:r>
    </w:p>
    <w:p w14:paraId="588CFAF6" w14:textId="77777777" w:rsidR="00E62B91" w:rsidRDefault="00E62B91" w:rsidP="00E62B91">
      <w:pPr>
        <w:rPr>
          <w:rFonts w:ascii="Arial" w:hAnsi="Arial" w:cs="Arial"/>
        </w:rPr>
      </w:pPr>
      <w:r>
        <w:rPr>
          <w:rFonts w:ascii="Arial" w:hAnsi="Arial" w:cs="Arial"/>
        </w:rPr>
        <w:t xml:space="preserve">The transition to at least the minimum wage can take no more than four years and six months. </w:t>
      </w:r>
    </w:p>
    <w:p w14:paraId="3384A1C9" w14:textId="77777777" w:rsidR="00E62B91" w:rsidRDefault="00E62B91" w:rsidP="00E62B91">
      <w:pPr>
        <w:rPr>
          <w:rFonts w:ascii="Arial" w:hAnsi="Arial" w:cs="Arial"/>
        </w:rPr>
      </w:pPr>
    </w:p>
    <w:p w14:paraId="023F5D83" w14:textId="77777777" w:rsidR="00E62B91" w:rsidRPr="00456F99" w:rsidRDefault="00E62B91" w:rsidP="00E62B91">
      <w:pPr>
        <w:rPr>
          <w:rFonts w:ascii="Arial" w:hAnsi="Arial" w:cs="Arial"/>
          <w:b/>
        </w:rPr>
      </w:pPr>
      <w:r>
        <w:rPr>
          <w:rFonts w:ascii="Arial" w:hAnsi="Arial" w:cs="Arial"/>
          <w:b/>
        </w:rPr>
        <w:t>Does the bill include</w:t>
      </w:r>
      <w:r w:rsidRPr="00456F99">
        <w:rPr>
          <w:rFonts w:ascii="Arial" w:hAnsi="Arial" w:cs="Arial"/>
          <w:b/>
        </w:rPr>
        <w:t xml:space="preserve"> any assistance to help </w:t>
      </w:r>
      <w:proofErr w:type="gramStart"/>
      <w:r w:rsidRPr="00456F99">
        <w:rPr>
          <w:rFonts w:ascii="Arial" w:hAnsi="Arial" w:cs="Arial"/>
          <w:b/>
        </w:rPr>
        <w:t>employers</w:t>
      </w:r>
      <w:proofErr w:type="gramEnd"/>
      <w:r w:rsidRPr="00456F99">
        <w:rPr>
          <w:rFonts w:ascii="Arial" w:hAnsi="Arial" w:cs="Arial"/>
          <w:b/>
        </w:rPr>
        <w:t xml:space="preserve"> transition employees to the minimum wage and competitive integrated employment?</w:t>
      </w:r>
    </w:p>
    <w:p w14:paraId="53F314A0" w14:textId="77777777" w:rsidR="00E62B91" w:rsidRPr="00E55CA7" w:rsidRDefault="00E62B91" w:rsidP="00E62B91">
      <w:pPr>
        <w:rPr>
          <w:rFonts w:ascii="Arial" w:hAnsi="Arial" w:cs="Arial"/>
        </w:rPr>
      </w:pPr>
      <w:r>
        <w:rPr>
          <w:rFonts w:ascii="Arial" w:hAnsi="Arial" w:cs="Arial"/>
        </w:rPr>
        <w:t xml:space="preserve">Yes. The Transformation to Competitive Integrated Employment Act establishes a grant program to help 14(c) certificate </w:t>
      </w:r>
      <w:proofErr w:type="gramStart"/>
      <w:r>
        <w:rPr>
          <w:rFonts w:ascii="Arial" w:hAnsi="Arial" w:cs="Arial"/>
        </w:rPr>
        <w:t>holders</w:t>
      </w:r>
      <w:proofErr w:type="gramEnd"/>
      <w:r>
        <w:rPr>
          <w:rFonts w:ascii="Arial" w:hAnsi="Arial" w:cs="Arial"/>
        </w:rPr>
        <w:t xml:space="preserve"> transition their subminimum wage employees into competitive integrated employment. It also requires the Department of Labor to collect information on strategies and best practices from employers to aid in the transition. </w:t>
      </w:r>
    </w:p>
    <w:p w14:paraId="2F6B1425" w14:textId="77777777" w:rsidR="00E62B91" w:rsidRPr="00E55CA7" w:rsidRDefault="00E62B91" w:rsidP="00E62B91">
      <w:pPr>
        <w:rPr>
          <w:rFonts w:ascii="Arial" w:hAnsi="Arial" w:cs="Arial"/>
          <w:b/>
        </w:rPr>
      </w:pPr>
    </w:p>
    <w:p w14:paraId="39F0AE00" w14:textId="77777777" w:rsidR="00E62B91" w:rsidRPr="00E55CA7" w:rsidRDefault="00E62B91" w:rsidP="00E62B91">
      <w:pPr>
        <w:rPr>
          <w:rFonts w:ascii="Arial" w:hAnsi="Arial" w:cs="Arial"/>
          <w:b/>
        </w:rPr>
      </w:pPr>
      <w:r w:rsidRPr="00A12305">
        <w:rPr>
          <w:rFonts w:ascii="Arial" w:hAnsi="Arial" w:cs="Arial"/>
          <w:b/>
        </w:rPr>
        <w:t xml:space="preserve">Some certificate holders claim that they </w:t>
      </w:r>
      <w:proofErr w:type="gramStart"/>
      <w:r w:rsidRPr="00A12305">
        <w:rPr>
          <w:rFonts w:ascii="Arial" w:hAnsi="Arial" w:cs="Arial"/>
          <w:b/>
        </w:rPr>
        <w:t>will be forced</w:t>
      </w:r>
      <w:proofErr w:type="gramEnd"/>
      <w:r w:rsidRPr="00A12305">
        <w:rPr>
          <w:rFonts w:ascii="Arial" w:hAnsi="Arial" w:cs="Arial"/>
          <w:b/>
        </w:rPr>
        <w:t xml:space="preserve"> to fire workers if this bill is passed. What is your response?</w:t>
      </w:r>
    </w:p>
    <w:p w14:paraId="615018AE" w14:textId="77777777" w:rsidR="00E62B91" w:rsidRPr="00E55CA7" w:rsidRDefault="00E62B91" w:rsidP="00E62B91">
      <w:pPr>
        <w:rPr>
          <w:rFonts w:ascii="Arial" w:hAnsi="Arial" w:cs="Arial"/>
        </w:rPr>
      </w:pPr>
      <w:r>
        <w:rPr>
          <w:rFonts w:ascii="Arial" w:hAnsi="Arial" w:cs="Arial"/>
        </w:rPr>
        <w:t xml:space="preserve">This is </w:t>
      </w:r>
      <w:proofErr w:type="gramStart"/>
      <w:r>
        <w:rPr>
          <w:rFonts w:ascii="Arial" w:hAnsi="Arial" w:cs="Arial"/>
        </w:rPr>
        <w:t>absolutely false</w:t>
      </w:r>
      <w:proofErr w:type="gramEnd"/>
      <w:r>
        <w:rPr>
          <w:rFonts w:ascii="Arial" w:hAnsi="Arial" w:cs="Arial"/>
        </w:rPr>
        <w:t>. M</w:t>
      </w:r>
      <w:r w:rsidRPr="00A12305">
        <w:rPr>
          <w:rFonts w:ascii="Arial" w:hAnsi="Arial" w:cs="Arial"/>
        </w:rPr>
        <w:t xml:space="preserve">any employers of people with disabilities, including nonprofits that hold or have held special wage certificates, have already </w:t>
      </w:r>
      <w:r>
        <w:rPr>
          <w:rFonts w:ascii="Arial" w:hAnsi="Arial" w:cs="Arial"/>
        </w:rPr>
        <w:t>transitioned their business model</w:t>
      </w:r>
      <w:r w:rsidRPr="00A12305">
        <w:rPr>
          <w:rFonts w:ascii="Arial" w:hAnsi="Arial" w:cs="Arial"/>
        </w:rPr>
        <w:t xml:space="preserve"> to pay their workers the federal or state minimum wage or higher. These entities are still operating and in fact thriving.</w:t>
      </w:r>
    </w:p>
    <w:p w14:paraId="58CFAD84" w14:textId="77777777" w:rsidR="00E62B91" w:rsidRPr="00E55CA7" w:rsidRDefault="00E62B91" w:rsidP="00E62B91">
      <w:pPr>
        <w:rPr>
          <w:rFonts w:ascii="Arial" w:hAnsi="Arial" w:cs="Arial"/>
          <w:b/>
        </w:rPr>
      </w:pPr>
    </w:p>
    <w:p w14:paraId="324086C8" w14:textId="77777777" w:rsidR="00E62B91" w:rsidRPr="00E55CA7" w:rsidRDefault="00E62B91" w:rsidP="00E62B91">
      <w:pPr>
        <w:rPr>
          <w:rFonts w:ascii="Arial" w:hAnsi="Arial" w:cs="Arial"/>
          <w:b/>
        </w:rPr>
      </w:pPr>
      <w:r w:rsidRPr="00A12305">
        <w:rPr>
          <w:rFonts w:ascii="Arial" w:hAnsi="Arial" w:cs="Arial"/>
          <w:b/>
        </w:rPr>
        <w:t xml:space="preserve">Have </w:t>
      </w:r>
      <w:r>
        <w:rPr>
          <w:rFonts w:ascii="Arial" w:hAnsi="Arial" w:cs="Arial"/>
          <w:b/>
        </w:rPr>
        <w:t xml:space="preserve">any </w:t>
      </w:r>
      <w:r w:rsidRPr="00A12305">
        <w:rPr>
          <w:rFonts w:ascii="Arial" w:hAnsi="Arial" w:cs="Arial"/>
          <w:b/>
        </w:rPr>
        <w:t xml:space="preserve">states </w:t>
      </w:r>
      <w:r>
        <w:rPr>
          <w:rFonts w:ascii="Arial" w:hAnsi="Arial" w:cs="Arial"/>
          <w:b/>
        </w:rPr>
        <w:t>already enacted legislation to phase out subminimum wages for people with disabilities</w:t>
      </w:r>
      <w:r w:rsidRPr="00A12305">
        <w:rPr>
          <w:rFonts w:ascii="Arial" w:hAnsi="Arial" w:cs="Arial"/>
          <w:b/>
        </w:rPr>
        <w:t>?</w:t>
      </w:r>
    </w:p>
    <w:p w14:paraId="707F7AB9" w14:textId="77777777" w:rsidR="00E62B91" w:rsidRDefault="00E62B91" w:rsidP="00E62B91">
      <w:pPr>
        <w:rPr>
          <w:rFonts w:ascii="Arial" w:hAnsi="Arial" w:cs="Arial"/>
          <w:b/>
        </w:rPr>
      </w:pPr>
      <w:r w:rsidRPr="00E55CA7">
        <w:rPr>
          <w:rFonts w:ascii="Arial" w:hAnsi="Arial" w:cs="Arial"/>
        </w:rPr>
        <w:t xml:space="preserve">Yes. </w:t>
      </w:r>
      <w:r>
        <w:rPr>
          <w:rFonts w:ascii="Arial" w:hAnsi="Arial" w:cs="Arial"/>
        </w:rPr>
        <w:t xml:space="preserve">Ten states have passed legislation that eliminates, either completely or in part, the payment of subminimum wages to people with disabilities. The employment rate of people with disabilities in those states is no less, and in some cases is greater, than states where subminimum wages </w:t>
      </w:r>
      <w:proofErr w:type="gramStart"/>
      <w:r>
        <w:rPr>
          <w:rFonts w:ascii="Arial" w:hAnsi="Arial" w:cs="Arial"/>
        </w:rPr>
        <w:t>are permitted</w:t>
      </w:r>
      <w:proofErr w:type="gramEnd"/>
      <w:r>
        <w:rPr>
          <w:rFonts w:ascii="Arial" w:hAnsi="Arial" w:cs="Arial"/>
        </w:rPr>
        <w:t xml:space="preserve">. </w:t>
      </w:r>
    </w:p>
    <w:p w14:paraId="659403C4" w14:textId="77777777" w:rsidR="00E62B91" w:rsidRDefault="00E62B91" w:rsidP="00E62B91">
      <w:pPr>
        <w:rPr>
          <w:rFonts w:ascii="Arial" w:hAnsi="Arial" w:cs="Arial"/>
        </w:rPr>
      </w:pPr>
    </w:p>
    <w:p w14:paraId="7A615A14" w14:textId="77777777" w:rsidR="00E62B91" w:rsidRPr="00267E5F" w:rsidRDefault="00E62B91" w:rsidP="00E62B91">
      <w:pPr>
        <w:rPr>
          <w:rFonts w:ascii="Arial" w:hAnsi="Arial" w:cs="Arial"/>
          <w:b/>
        </w:rPr>
      </w:pPr>
      <w:r w:rsidRPr="00267E5F">
        <w:rPr>
          <w:rFonts w:ascii="Arial" w:hAnsi="Arial" w:cs="Arial"/>
          <w:b/>
        </w:rPr>
        <w:t>Where can I learn more about this legislation?</w:t>
      </w:r>
    </w:p>
    <w:p w14:paraId="03C9B658" w14:textId="77777777" w:rsidR="00E62B91" w:rsidRPr="00267E5F" w:rsidRDefault="00E62B91" w:rsidP="00E62B91">
      <w:pPr>
        <w:rPr>
          <w:rFonts w:ascii="Arial" w:hAnsi="Arial" w:cs="Arial"/>
        </w:rPr>
      </w:pPr>
      <w:r w:rsidRPr="00267E5F">
        <w:rPr>
          <w:rFonts w:ascii="Arial" w:hAnsi="Arial" w:cs="Arial"/>
        </w:rPr>
        <w:t xml:space="preserve">For more information, please contact </w:t>
      </w:r>
      <w:r>
        <w:rPr>
          <w:rFonts w:ascii="Arial" w:hAnsi="Arial" w:cs="Arial"/>
        </w:rPr>
        <w:t>Jeff Kaloc</w:t>
      </w:r>
      <w:r w:rsidRPr="00267E5F">
        <w:rPr>
          <w:rFonts w:ascii="Arial" w:hAnsi="Arial" w:cs="Arial"/>
        </w:rPr>
        <w:t xml:space="preserve">, government affairs specialist at the National Federation of the Blind, by email at </w:t>
      </w:r>
      <w:hyperlink r:id="rId10" w:history="1">
        <w:r w:rsidRPr="00520B06">
          <w:rPr>
            <w:rStyle w:val="Hyperlink"/>
            <w:rFonts w:ascii="Arial" w:hAnsi="Arial" w:cs="Arial"/>
          </w:rPr>
          <w:t>jkaloc@nfb.org</w:t>
        </w:r>
      </w:hyperlink>
      <w:r>
        <w:rPr>
          <w:rFonts w:ascii="Arial" w:hAnsi="Arial" w:cs="Arial"/>
        </w:rPr>
        <w:t xml:space="preserve"> </w:t>
      </w:r>
      <w:r w:rsidRPr="00267E5F">
        <w:rPr>
          <w:rFonts w:ascii="Arial" w:hAnsi="Arial" w:cs="Arial"/>
        </w:rPr>
        <w:t>or by phone at 410-659-9314, extension 22</w:t>
      </w:r>
      <w:r>
        <w:rPr>
          <w:rFonts w:ascii="Arial" w:hAnsi="Arial" w:cs="Arial"/>
        </w:rPr>
        <w:t>06</w:t>
      </w:r>
      <w:r w:rsidRPr="00267E5F">
        <w:rPr>
          <w:rFonts w:ascii="Arial" w:hAnsi="Arial" w:cs="Arial"/>
        </w:rPr>
        <w:t>.</w:t>
      </w:r>
    </w:p>
    <w:p w14:paraId="08FDBAF5" w14:textId="77777777" w:rsidR="00E62B91" w:rsidRPr="00470A9D" w:rsidRDefault="00E62B91" w:rsidP="00470A9D">
      <w:pPr>
        <w:rPr>
          <w:rFonts w:ascii="Arial" w:hAnsi="Arial" w:cs="Arial"/>
        </w:rPr>
      </w:pPr>
    </w:p>
    <w:sectPr w:rsidR="00E62B91" w:rsidRPr="00470A9D" w:rsidSect="002935D5">
      <w:footerReference w:type="default" r:id="rId11"/>
      <w:headerReference w:type="first" r:id="rId12"/>
      <w:footerReference w:type="first" r:id="rId13"/>
      <w:type w:val="continuous"/>
      <w:pgSz w:w="12240" w:h="15840" w:code="1"/>
      <w:pgMar w:top="1260" w:right="900" w:bottom="1440" w:left="900" w:header="720" w:footer="8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D693" w14:textId="77777777" w:rsidR="00C23F98" w:rsidRDefault="00C23F98">
      <w:r>
        <w:separator/>
      </w:r>
    </w:p>
  </w:endnote>
  <w:endnote w:type="continuationSeparator" w:id="0">
    <w:p w14:paraId="3D8F1D71" w14:textId="77777777" w:rsidR="00C23F98" w:rsidRDefault="00C2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749F" w14:textId="77777777" w:rsidR="00226FA7" w:rsidRDefault="00996341">
    <w:pPr>
      <w:pStyle w:val="Footer"/>
    </w:pPr>
    <w:r>
      <w:rPr>
        <w:noProof/>
      </w:rPr>
      <mc:AlternateContent>
        <mc:Choice Requires="wps">
          <w:drawing>
            <wp:anchor distT="0" distB="0" distL="114300" distR="114300" simplePos="0" relativeHeight="251660288" behindDoc="0" locked="0" layoutInCell="1" allowOverlap="1" wp14:anchorId="779CC178" wp14:editId="53B70025">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5D0C" w14:textId="77777777" w:rsidR="0069124A" w:rsidRPr="0069124A" w:rsidRDefault="00996341"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p>
                        <w:p w14:paraId="1C308EF8" w14:textId="77777777" w:rsidR="0069124A" w:rsidRPr="0069124A" w:rsidRDefault="000E0C07" w:rsidP="0069124A">
                          <w:pPr>
                            <w:spacing w:line="260" w:lineRule="exact"/>
                            <w:jc w:val="center"/>
                            <w:rPr>
                              <w:rFonts w:ascii="Arial" w:hAnsi="Arial" w:cs="Arial"/>
                              <w:sz w:val="20"/>
                              <w:szCs w:val="20"/>
                            </w:rPr>
                          </w:pPr>
                          <w:r>
                            <w:rPr>
                              <w:rFonts w:ascii="Arial" w:hAnsi="Arial" w:cs="Arial"/>
                              <w:b/>
                              <w:sz w:val="20"/>
                              <w:szCs w:val="20"/>
                            </w:rPr>
                            <w:t>Mark Riccobono</w:t>
                          </w:r>
                          <w:r w:rsidR="00996341" w:rsidRPr="0069124A">
                            <w:rPr>
                              <w:rFonts w:ascii="Arial" w:hAnsi="Arial" w:cs="Arial"/>
                              <w:b/>
                              <w:sz w:val="20"/>
                              <w:szCs w:val="20"/>
                            </w:rPr>
                            <w:t xml:space="preserve">, </w:t>
                          </w:r>
                          <w:r w:rsidR="00996341" w:rsidRPr="0069124A">
                            <w:rPr>
                              <w:rFonts w:ascii="Arial" w:hAnsi="Arial" w:cs="Arial"/>
                              <w:b/>
                              <w:i/>
                              <w:sz w:val="20"/>
                              <w:szCs w:val="20"/>
                            </w:rPr>
                            <w:t>President</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 xml:space="preserve">200 East Wells Street </w:t>
                          </w:r>
                          <w:r w:rsidR="00996341">
                            <w:rPr>
                              <w:rFonts w:ascii="Arial" w:hAnsi="Arial" w:cs="Arial"/>
                              <w:i/>
                              <w:sz w:val="20"/>
                              <w:szCs w:val="20"/>
                            </w:rPr>
                            <w:t xml:space="preserve">at Jernigan </w:t>
                          </w:r>
                          <w:r w:rsidR="00996341" w:rsidRPr="0069124A">
                            <w:rPr>
                              <w:rFonts w:ascii="Arial" w:hAnsi="Arial" w:cs="Arial"/>
                              <w:i/>
                              <w:sz w:val="20"/>
                              <w:szCs w:val="20"/>
                            </w:rPr>
                            <w:t>Place</w:t>
                          </w:r>
                          <w:r w:rsidR="00996341" w:rsidRPr="0069124A">
                            <w:rPr>
                              <w:rFonts w:ascii="Arial" w:hAnsi="Arial" w:cs="Arial"/>
                              <w:sz w:val="20"/>
                              <w:szCs w:val="20"/>
                            </w:rPr>
                            <w:t xml:space="preserve"> Baltimore, MD 21230</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410 659 9314</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b/>
                              <w:sz w:val="20"/>
                              <w:szCs w:val="20"/>
                            </w:rPr>
                            <w:t>www.nfb.org</w:t>
                          </w:r>
                        </w:p>
                        <w:p w14:paraId="0DE9925E" w14:textId="77777777" w:rsidR="009F0608" w:rsidRPr="0069124A" w:rsidRDefault="00C23F98" w:rsidP="009F0608">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9CC178"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" filled="f" stroked="f">
              <v:textbox>
                <w:txbxContent>
                  <w:p w14:paraId="68DA5D0C" w14:textId="77777777" w:rsidR="0069124A" w:rsidRPr="0069124A" w:rsidRDefault="00996341"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p>
                  <w:p w14:paraId="1C308EF8" w14:textId="77777777" w:rsidR="0069124A" w:rsidRPr="0069124A" w:rsidRDefault="000E0C07" w:rsidP="0069124A">
                    <w:pPr>
                      <w:spacing w:line="260" w:lineRule="exact"/>
                      <w:jc w:val="center"/>
                      <w:rPr>
                        <w:rFonts w:ascii="Arial" w:hAnsi="Arial" w:cs="Arial"/>
                        <w:sz w:val="20"/>
                        <w:szCs w:val="20"/>
                      </w:rPr>
                    </w:pPr>
                    <w:r>
                      <w:rPr>
                        <w:rFonts w:ascii="Arial" w:hAnsi="Arial" w:cs="Arial"/>
                        <w:b/>
                        <w:sz w:val="20"/>
                        <w:szCs w:val="20"/>
                      </w:rPr>
                      <w:t>Mark Riccobono</w:t>
                    </w:r>
                    <w:r w:rsidR="00996341" w:rsidRPr="0069124A">
                      <w:rPr>
                        <w:rFonts w:ascii="Arial" w:hAnsi="Arial" w:cs="Arial"/>
                        <w:b/>
                        <w:sz w:val="20"/>
                        <w:szCs w:val="20"/>
                      </w:rPr>
                      <w:t xml:space="preserve">, </w:t>
                    </w:r>
                    <w:r w:rsidR="00996341" w:rsidRPr="0069124A">
                      <w:rPr>
                        <w:rFonts w:ascii="Arial" w:hAnsi="Arial" w:cs="Arial"/>
                        <w:b/>
                        <w:i/>
                        <w:sz w:val="20"/>
                        <w:szCs w:val="20"/>
                      </w:rPr>
                      <w:t>President</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 xml:space="preserve">200 East Wells Street </w:t>
                    </w:r>
                    <w:r w:rsidR="00996341">
                      <w:rPr>
                        <w:rFonts w:ascii="Arial" w:hAnsi="Arial" w:cs="Arial"/>
                        <w:i/>
                        <w:sz w:val="20"/>
                        <w:szCs w:val="20"/>
                      </w:rPr>
                      <w:t xml:space="preserve">at Jernigan </w:t>
                    </w:r>
                    <w:r w:rsidR="00996341" w:rsidRPr="0069124A">
                      <w:rPr>
                        <w:rFonts w:ascii="Arial" w:hAnsi="Arial" w:cs="Arial"/>
                        <w:i/>
                        <w:sz w:val="20"/>
                        <w:szCs w:val="20"/>
                      </w:rPr>
                      <w:t>Place</w:t>
                    </w:r>
                    <w:r w:rsidR="00996341" w:rsidRPr="0069124A">
                      <w:rPr>
                        <w:rFonts w:ascii="Arial" w:hAnsi="Arial" w:cs="Arial"/>
                        <w:sz w:val="20"/>
                        <w:szCs w:val="20"/>
                      </w:rPr>
                      <w:t xml:space="preserve"> Baltimore, MD 21230</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sz w:val="20"/>
                        <w:szCs w:val="20"/>
                      </w:rPr>
                      <w:t>410 659 9314</w:t>
                    </w:r>
                    <w:r w:rsidR="00996341">
                      <w:rPr>
                        <w:rFonts w:ascii="Arial" w:hAnsi="Arial" w:cs="Arial"/>
                        <w:sz w:val="20"/>
                        <w:szCs w:val="20"/>
                      </w:rPr>
                      <w:t xml:space="preserve"> </w:t>
                    </w:r>
                    <w:r w:rsidR="00996341" w:rsidRPr="0069124A">
                      <w:rPr>
                        <w:rFonts w:ascii="Arial" w:hAnsi="Arial" w:cs="Arial"/>
                        <w:sz w:val="20"/>
                        <w:szCs w:val="20"/>
                      </w:rPr>
                      <w:t>|</w:t>
                    </w:r>
                    <w:r w:rsidR="00996341">
                      <w:rPr>
                        <w:rFonts w:ascii="Arial" w:hAnsi="Arial" w:cs="Arial"/>
                        <w:sz w:val="20"/>
                        <w:szCs w:val="20"/>
                      </w:rPr>
                      <w:t xml:space="preserve"> </w:t>
                    </w:r>
                    <w:r w:rsidR="00996341" w:rsidRPr="0069124A">
                      <w:rPr>
                        <w:rFonts w:ascii="Arial" w:hAnsi="Arial" w:cs="Arial"/>
                        <w:b/>
                        <w:sz w:val="20"/>
                        <w:szCs w:val="20"/>
                      </w:rPr>
                      <w:t>www.nfb.org</w:t>
                    </w:r>
                  </w:p>
                  <w:p w14:paraId="0DE9925E" w14:textId="77777777" w:rsidR="009F0608" w:rsidRPr="0069124A" w:rsidRDefault="006F3886" w:rsidP="009F0608">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B7F4" w14:textId="77777777" w:rsidR="00226FA7" w:rsidRDefault="00996341">
    <w:pPr>
      <w:pStyle w:val="Footer"/>
    </w:pPr>
    <w:r>
      <w:rPr>
        <w:noProof/>
      </w:rPr>
      <mc:AlternateContent>
        <mc:Choice Requires="wps">
          <w:drawing>
            <wp:anchor distT="0" distB="0" distL="114300" distR="114300" simplePos="0" relativeHeight="251659264" behindDoc="0" locked="0" layoutInCell="1" allowOverlap="1" wp14:anchorId="23BDD8A8" wp14:editId="452D7940">
              <wp:simplePos x="0" y="0"/>
              <wp:positionH relativeFrom="column">
                <wp:posOffset>-342900</wp:posOffset>
              </wp:positionH>
              <wp:positionV relativeFrom="paragraph">
                <wp:posOffset>-33655</wp:posOffset>
              </wp:positionV>
              <wp:extent cx="7277100" cy="4476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1592" w14:textId="77777777" w:rsidR="0024227C" w:rsidRPr="0069124A" w:rsidRDefault="00996341" w:rsidP="0069124A">
                          <w:pPr>
                            <w:spacing w:line="260" w:lineRule="exact"/>
                            <w:jc w:val="center"/>
                            <w:rPr>
                              <w:rFonts w:ascii="Arial" w:hAnsi="Arial" w:cs="Arial"/>
                              <w:sz w:val="20"/>
                              <w:szCs w:val="20"/>
                            </w:rPr>
                          </w:pPr>
                          <w:r>
                            <w:rPr>
                              <w:rFonts w:ascii="Arial" w:hAnsi="Arial" w:cs="Arial"/>
                              <w:b/>
                              <w:sz w:val="20"/>
                              <w:szCs w:val="20"/>
                            </w:rPr>
                            <w:t>Mark Riccobono</w:t>
                          </w:r>
                          <w:r w:rsidRPr="0069124A">
                            <w:rPr>
                              <w:rFonts w:ascii="Arial" w:hAnsi="Arial" w:cs="Arial"/>
                              <w:b/>
                              <w:sz w:val="20"/>
                              <w:szCs w:val="20"/>
                            </w:rPr>
                            <w:t xml:space="preserve">, </w:t>
                          </w:r>
                          <w:r w:rsidRPr="0069124A">
                            <w:rPr>
                              <w:rFonts w:ascii="Arial" w:hAnsi="Arial" w:cs="Arial"/>
                              <w:b/>
                              <w:i/>
                              <w:sz w:val="20"/>
                              <w:szCs w:val="20"/>
                            </w:rPr>
                            <w:t>President</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 xml:space="preserve">200 East Wells Street </w:t>
                          </w:r>
                          <w:r w:rsidRPr="0069124A">
                            <w:rPr>
                              <w:rFonts w:ascii="Arial" w:hAnsi="Arial" w:cs="Arial"/>
                              <w:i/>
                              <w:sz w:val="20"/>
                              <w:szCs w:val="20"/>
                            </w:rPr>
                            <w:t>at Jernigan Place</w:t>
                          </w:r>
                          <w:r w:rsidRPr="0069124A">
                            <w:rPr>
                              <w:rFonts w:ascii="Arial" w:hAnsi="Arial" w:cs="Arial"/>
                              <w:sz w:val="20"/>
                              <w:szCs w:val="20"/>
                            </w:rPr>
                            <w:t xml:space="preserve"> Baltimore, MD 21230</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410 659 9314</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b/>
                              <w:sz w:val="20"/>
                              <w:szCs w:val="20"/>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BDD8A8" id="_x0000_t202" coordsize="21600,21600" o:spt="202" path="m,l,21600r21600,l21600,xe">
              <v:stroke joinstyle="miter"/>
              <v:path gradientshapeok="t" o:connecttype="rect"/>
            </v:shapetype>
            <v:shape id="_x0000_s1027" type="#_x0000_t202" style="position:absolute;margin-left:-27pt;margin-top:-2.65pt;width:57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" filled="f" stroked="f">
              <v:textbox>
                <w:txbxContent>
                  <w:p w14:paraId="3B6D1592" w14:textId="77777777" w:rsidR="0024227C" w:rsidRPr="0069124A" w:rsidRDefault="00996341" w:rsidP="0069124A">
                    <w:pPr>
                      <w:spacing w:line="260" w:lineRule="exact"/>
                      <w:jc w:val="center"/>
                      <w:rPr>
                        <w:rFonts w:ascii="Arial" w:hAnsi="Arial" w:cs="Arial"/>
                        <w:sz w:val="20"/>
                        <w:szCs w:val="20"/>
                      </w:rPr>
                    </w:pPr>
                    <w:r>
                      <w:rPr>
                        <w:rFonts w:ascii="Arial" w:hAnsi="Arial" w:cs="Arial"/>
                        <w:b/>
                        <w:sz w:val="20"/>
                        <w:szCs w:val="20"/>
                      </w:rPr>
                      <w:t>Mark Riccobono</w:t>
                    </w:r>
                    <w:r w:rsidRPr="0069124A">
                      <w:rPr>
                        <w:rFonts w:ascii="Arial" w:hAnsi="Arial" w:cs="Arial"/>
                        <w:b/>
                        <w:sz w:val="20"/>
                        <w:szCs w:val="20"/>
                      </w:rPr>
                      <w:t xml:space="preserve">, </w:t>
                    </w:r>
                    <w:r w:rsidRPr="0069124A">
                      <w:rPr>
                        <w:rFonts w:ascii="Arial" w:hAnsi="Arial" w:cs="Arial"/>
                        <w:b/>
                        <w:i/>
                        <w:sz w:val="20"/>
                        <w:szCs w:val="20"/>
                      </w:rPr>
                      <w:t>President</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 xml:space="preserve">200 East Wells Street </w:t>
                    </w:r>
                    <w:r w:rsidRPr="0069124A">
                      <w:rPr>
                        <w:rFonts w:ascii="Arial" w:hAnsi="Arial" w:cs="Arial"/>
                        <w:i/>
                        <w:sz w:val="20"/>
                        <w:szCs w:val="20"/>
                      </w:rPr>
                      <w:t>at Jernigan Place</w:t>
                    </w:r>
                    <w:r w:rsidRPr="0069124A">
                      <w:rPr>
                        <w:rFonts w:ascii="Arial" w:hAnsi="Arial" w:cs="Arial"/>
                        <w:sz w:val="20"/>
                        <w:szCs w:val="20"/>
                      </w:rPr>
                      <w:t xml:space="preserve"> Baltimore, MD 21230</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sz w:val="20"/>
                        <w:szCs w:val="20"/>
                      </w:rPr>
                      <w:t>410 659 9314</w:t>
                    </w:r>
                    <w:r>
                      <w:rPr>
                        <w:rFonts w:ascii="Arial" w:hAnsi="Arial" w:cs="Arial"/>
                        <w:sz w:val="20"/>
                        <w:szCs w:val="20"/>
                      </w:rPr>
                      <w:t xml:space="preserve"> </w:t>
                    </w:r>
                    <w:r w:rsidRPr="0069124A">
                      <w:rPr>
                        <w:rFonts w:ascii="Arial" w:hAnsi="Arial" w:cs="Arial"/>
                        <w:sz w:val="20"/>
                        <w:szCs w:val="20"/>
                      </w:rPr>
                      <w:t>|</w:t>
                    </w:r>
                    <w:r>
                      <w:rPr>
                        <w:rFonts w:ascii="Arial" w:hAnsi="Arial" w:cs="Arial"/>
                        <w:sz w:val="20"/>
                        <w:szCs w:val="20"/>
                      </w:rPr>
                      <w:t xml:space="preserve"> </w:t>
                    </w:r>
                    <w:r w:rsidRPr="0069124A">
                      <w:rPr>
                        <w:rFonts w:ascii="Arial" w:hAnsi="Arial" w:cs="Arial"/>
                        <w:b/>
                        <w:sz w:val="20"/>
                        <w:szCs w:val="20"/>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CE3BB" w14:textId="77777777" w:rsidR="00C23F98" w:rsidRDefault="00C23F98">
      <w:r>
        <w:separator/>
      </w:r>
    </w:p>
  </w:footnote>
  <w:footnote w:type="continuationSeparator" w:id="0">
    <w:p w14:paraId="2E36B9BD" w14:textId="77777777" w:rsidR="00C23F98" w:rsidRDefault="00C2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778A" w14:textId="77777777" w:rsidR="00226FA7" w:rsidRDefault="00996341">
    <w:pPr>
      <w:pStyle w:val="Header"/>
    </w:pPr>
    <w:r>
      <w:rPr>
        <w:noProof/>
      </w:rPr>
      <w:drawing>
        <wp:anchor distT="0" distB="0" distL="114300" distR="114300" simplePos="0" relativeHeight="251661312" behindDoc="0" locked="0" layoutInCell="1" allowOverlap="1" wp14:anchorId="2E8D667B" wp14:editId="01A14AC3">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5B"/>
    <w:rsid w:val="000109BA"/>
    <w:rsid w:val="000267EC"/>
    <w:rsid w:val="00033EFF"/>
    <w:rsid w:val="00035440"/>
    <w:rsid w:val="000620F6"/>
    <w:rsid w:val="00063E02"/>
    <w:rsid w:val="0006412B"/>
    <w:rsid w:val="00064823"/>
    <w:rsid w:val="000765B5"/>
    <w:rsid w:val="00076683"/>
    <w:rsid w:val="0008553E"/>
    <w:rsid w:val="000917C5"/>
    <w:rsid w:val="000A2D1A"/>
    <w:rsid w:val="000C4B31"/>
    <w:rsid w:val="000D264E"/>
    <w:rsid w:val="000E0C07"/>
    <w:rsid w:val="00101A7D"/>
    <w:rsid w:val="001340C1"/>
    <w:rsid w:val="00143554"/>
    <w:rsid w:val="001566A5"/>
    <w:rsid w:val="00157C0C"/>
    <w:rsid w:val="00166A3A"/>
    <w:rsid w:val="001A436E"/>
    <w:rsid w:val="001A5A40"/>
    <w:rsid w:val="001C78C5"/>
    <w:rsid w:val="001E1827"/>
    <w:rsid w:val="001E2785"/>
    <w:rsid w:val="001F0F38"/>
    <w:rsid w:val="001F32E0"/>
    <w:rsid w:val="002154A3"/>
    <w:rsid w:val="00225CC8"/>
    <w:rsid w:val="00234A0F"/>
    <w:rsid w:val="0024396F"/>
    <w:rsid w:val="002465E9"/>
    <w:rsid w:val="00256C02"/>
    <w:rsid w:val="00267E5F"/>
    <w:rsid w:val="002779FE"/>
    <w:rsid w:val="0028514E"/>
    <w:rsid w:val="002935D5"/>
    <w:rsid w:val="00296D74"/>
    <w:rsid w:val="002A1D86"/>
    <w:rsid w:val="002B0359"/>
    <w:rsid w:val="002B3184"/>
    <w:rsid w:val="002C7060"/>
    <w:rsid w:val="0031115C"/>
    <w:rsid w:val="00321EE7"/>
    <w:rsid w:val="00353478"/>
    <w:rsid w:val="003B007C"/>
    <w:rsid w:val="003B6AA1"/>
    <w:rsid w:val="003D47CD"/>
    <w:rsid w:val="00433A51"/>
    <w:rsid w:val="004349FE"/>
    <w:rsid w:val="0046142D"/>
    <w:rsid w:val="00470A9D"/>
    <w:rsid w:val="00473AD2"/>
    <w:rsid w:val="0048656B"/>
    <w:rsid w:val="004A061B"/>
    <w:rsid w:val="004C54F9"/>
    <w:rsid w:val="004C60B3"/>
    <w:rsid w:val="004F0433"/>
    <w:rsid w:val="00501CF8"/>
    <w:rsid w:val="00502B07"/>
    <w:rsid w:val="00516548"/>
    <w:rsid w:val="00524881"/>
    <w:rsid w:val="00525034"/>
    <w:rsid w:val="00533209"/>
    <w:rsid w:val="0054185E"/>
    <w:rsid w:val="00545B7E"/>
    <w:rsid w:val="005574B6"/>
    <w:rsid w:val="00570DCD"/>
    <w:rsid w:val="005717EA"/>
    <w:rsid w:val="00574FC5"/>
    <w:rsid w:val="00577A9B"/>
    <w:rsid w:val="005816AA"/>
    <w:rsid w:val="00591260"/>
    <w:rsid w:val="005A2901"/>
    <w:rsid w:val="005B6714"/>
    <w:rsid w:val="005B67A6"/>
    <w:rsid w:val="005B7071"/>
    <w:rsid w:val="005C74BD"/>
    <w:rsid w:val="005E562F"/>
    <w:rsid w:val="005E573F"/>
    <w:rsid w:val="005E5ECA"/>
    <w:rsid w:val="005E6F08"/>
    <w:rsid w:val="00601A5B"/>
    <w:rsid w:val="00603642"/>
    <w:rsid w:val="00612F1F"/>
    <w:rsid w:val="00613931"/>
    <w:rsid w:val="00621F58"/>
    <w:rsid w:val="006239DA"/>
    <w:rsid w:val="0063592B"/>
    <w:rsid w:val="00636497"/>
    <w:rsid w:val="00636EC2"/>
    <w:rsid w:val="006439FA"/>
    <w:rsid w:val="00645BA3"/>
    <w:rsid w:val="006479F8"/>
    <w:rsid w:val="00666925"/>
    <w:rsid w:val="00682689"/>
    <w:rsid w:val="006935F4"/>
    <w:rsid w:val="006B5A9B"/>
    <w:rsid w:val="006C6DDF"/>
    <w:rsid w:val="006D77F8"/>
    <w:rsid w:val="006F3886"/>
    <w:rsid w:val="006F5D05"/>
    <w:rsid w:val="00717430"/>
    <w:rsid w:val="0073483B"/>
    <w:rsid w:val="00737ABB"/>
    <w:rsid w:val="007438E3"/>
    <w:rsid w:val="00775827"/>
    <w:rsid w:val="007918D9"/>
    <w:rsid w:val="007A244B"/>
    <w:rsid w:val="007C43A5"/>
    <w:rsid w:val="007F576D"/>
    <w:rsid w:val="007F7331"/>
    <w:rsid w:val="008119CB"/>
    <w:rsid w:val="00861812"/>
    <w:rsid w:val="008657C7"/>
    <w:rsid w:val="00875B4A"/>
    <w:rsid w:val="008775EA"/>
    <w:rsid w:val="008804A4"/>
    <w:rsid w:val="00887DDD"/>
    <w:rsid w:val="008940CA"/>
    <w:rsid w:val="008A2AE6"/>
    <w:rsid w:val="008A6357"/>
    <w:rsid w:val="008B0C38"/>
    <w:rsid w:val="008B0FCD"/>
    <w:rsid w:val="008B56AD"/>
    <w:rsid w:val="008F00E5"/>
    <w:rsid w:val="008F117D"/>
    <w:rsid w:val="00933232"/>
    <w:rsid w:val="009339B9"/>
    <w:rsid w:val="00935E7C"/>
    <w:rsid w:val="009422E1"/>
    <w:rsid w:val="00947453"/>
    <w:rsid w:val="00962E06"/>
    <w:rsid w:val="0096513A"/>
    <w:rsid w:val="00970FC4"/>
    <w:rsid w:val="009736E4"/>
    <w:rsid w:val="00975D0E"/>
    <w:rsid w:val="009773E5"/>
    <w:rsid w:val="009878AB"/>
    <w:rsid w:val="0099063D"/>
    <w:rsid w:val="00992DA6"/>
    <w:rsid w:val="00993825"/>
    <w:rsid w:val="00994DB9"/>
    <w:rsid w:val="00996341"/>
    <w:rsid w:val="00997FB6"/>
    <w:rsid w:val="009E1086"/>
    <w:rsid w:val="009F1187"/>
    <w:rsid w:val="00A10AB8"/>
    <w:rsid w:val="00A131D0"/>
    <w:rsid w:val="00A16EDB"/>
    <w:rsid w:val="00A22356"/>
    <w:rsid w:val="00A23E63"/>
    <w:rsid w:val="00A244FA"/>
    <w:rsid w:val="00A341FE"/>
    <w:rsid w:val="00A57999"/>
    <w:rsid w:val="00A61A4F"/>
    <w:rsid w:val="00A71B8B"/>
    <w:rsid w:val="00A76015"/>
    <w:rsid w:val="00A836CE"/>
    <w:rsid w:val="00A8534E"/>
    <w:rsid w:val="00A95973"/>
    <w:rsid w:val="00AA083C"/>
    <w:rsid w:val="00AA1DE3"/>
    <w:rsid w:val="00AA49DB"/>
    <w:rsid w:val="00AA7652"/>
    <w:rsid w:val="00AC5DED"/>
    <w:rsid w:val="00AE1E34"/>
    <w:rsid w:val="00AE604A"/>
    <w:rsid w:val="00B07A8E"/>
    <w:rsid w:val="00B248D7"/>
    <w:rsid w:val="00B3231F"/>
    <w:rsid w:val="00B47B42"/>
    <w:rsid w:val="00B76807"/>
    <w:rsid w:val="00B92FAD"/>
    <w:rsid w:val="00B93919"/>
    <w:rsid w:val="00BA15C2"/>
    <w:rsid w:val="00BB02C3"/>
    <w:rsid w:val="00BE1A67"/>
    <w:rsid w:val="00BE2258"/>
    <w:rsid w:val="00BE47EC"/>
    <w:rsid w:val="00BE489E"/>
    <w:rsid w:val="00BE73F8"/>
    <w:rsid w:val="00BF4460"/>
    <w:rsid w:val="00C0449F"/>
    <w:rsid w:val="00C2004E"/>
    <w:rsid w:val="00C23F98"/>
    <w:rsid w:val="00C26A94"/>
    <w:rsid w:val="00C32C33"/>
    <w:rsid w:val="00C5568B"/>
    <w:rsid w:val="00C7294E"/>
    <w:rsid w:val="00C75475"/>
    <w:rsid w:val="00C8171E"/>
    <w:rsid w:val="00C82B1B"/>
    <w:rsid w:val="00C92105"/>
    <w:rsid w:val="00C92C1B"/>
    <w:rsid w:val="00CB4995"/>
    <w:rsid w:val="00CC3638"/>
    <w:rsid w:val="00CC3E2A"/>
    <w:rsid w:val="00CD780F"/>
    <w:rsid w:val="00CE6640"/>
    <w:rsid w:val="00CF1CA2"/>
    <w:rsid w:val="00CF20E0"/>
    <w:rsid w:val="00CF4C6B"/>
    <w:rsid w:val="00CF6C08"/>
    <w:rsid w:val="00CF75F4"/>
    <w:rsid w:val="00D275BD"/>
    <w:rsid w:val="00D31D36"/>
    <w:rsid w:val="00D7665D"/>
    <w:rsid w:val="00D80A84"/>
    <w:rsid w:val="00D83F06"/>
    <w:rsid w:val="00D9102C"/>
    <w:rsid w:val="00DA0972"/>
    <w:rsid w:val="00DB5800"/>
    <w:rsid w:val="00DC007D"/>
    <w:rsid w:val="00DC7F6C"/>
    <w:rsid w:val="00DD691A"/>
    <w:rsid w:val="00DE3CCB"/>
    <w:rsid w:val="00E15365"/>
    <w:rsid w:val="00E16E6E"/>
    <w:rsid w:val="00E3151C"/>
    <w:rsid w:val="00E3562F"/>
    <w:rsid w:val="00E4158F"/>
    <w:rsid w:val="00E428EC"/>
    <w:rsid w:val="00E44B63"/>
    <w:rsid w:val="00E5401E"/>
    <w:rsid w:val="00E55CA7"/>
    <w:rsid w:val="00E62B91"/>
    <w:rsid w:val="00E65E9B"/>
    <w:rsid w:val="00E67A28"/>
    <w:rsid w:val="00E74459"/>
    <w:rsid w:val="00EA0CE9"/>
    <w:rsid w:val="00EB1B5E"/>
    <w:rsid w:val="00EC62AA"/>
    <w:rsid w:val="00ED1B63"/>
    <w:rsid w:val="00EF3D64"/>
    <w:rsid w:val="00F04DA3"/>
    <w:rsid w:val="00F17DEC"/>
    <w:rsid w:val="00F25577"/>
    <w:rsid w:val="00F275E5"/>
    <w:rsid w:val="00F4001D"/>
    <w:rsid w:val="00F5444E"/>
    <w:rsid w:val="00F80325"/>
    <w:rsid w:val="00F92D62"/>
    <w:rsid w:val="00F97E08"/>
    <w:rsid w:val="00FB61A1"/>
    <w:rsid w:val="00FB725C"/>
    <w:rsid w:val="00FC27D8"/>
    <w:rsid w:val="00FD670F"/>
    <w:rsid w:val="00FD6EC7"/>
    <w:rsid w:val="00FE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07110"/>
  <w15:docId w15:val="{2D9E271C-968D-6845-A6A7-263367C5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C33"/>
    <w:pPr>
      <w:contextualSpacing/>
      <w:jc w:val="center"/>
      <w:outlineLvl w:val="0"/>
    </w:pPr>
    <w:rPr>
      <w:rFonts w:ascii="Arial" w:hAnsi="Arial"/>
      <w:b/>
      <w:sz w:val="28"/>
    </w:rPr>
  </w:style>
  <w:style w:type="paragraph" w:styleId="Heading2">
    <w:name w:val="heading 2"/>
    <w:basedOn w:val="Normal"/>
    <w:next w:val="Normal"/>
    <w:link w:val="Heading2Char"/>
    <w:uiPriority w:val="9"/>
    <w:unhideWhenUsed/>
    <w:qFormat/>
    <w:rsid w:val="00C32C33"/>
    <w:pPr>
      <w:contextualSpacing/>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C33"/>
    <w:rPr>
      <w:rFonts w:ascii="Arial" w:eastAsia="Times New Roman" w:hAnsi="Arial" w:cs="Times New Roman"/>
      <w:b/>
      <w:sz w:val="28"/>
      <w:szCs w:val="24"/>
    </w:rPr>
  </w:style>
  <w:style w:type="paragraph" w:styleId="Header">
    <w:name w:val="header"/>
    <w:basedOn w:val="Normal"/>
    <w:link w:val="HeaderChar"/>
    <w:rsid w:val="00601A5B"/>
    <w:pPr>
      <w:tabs>
        <w:tab w:val="center" w:pos="4320"/>
        <w:tab w:val="right" w:pos="8640"/>
      </w:tabs>
    </w:pPr>
    <w:rPr>
      <w:rFonts w:ascii="Helvetica" w:hAnsi="Helvetica"/>
      <w:sz w:val="28"/>
    </w:rPr>
  </w:style>
  <w:style w:type="character" w:customStyle="1" w:styleId="HeaderChar">
    <w:name w:val="Header Char"/>
    <w:basedOn w:val="DefaultParagraphFont"/>
    <w:link w:val="Header"/>
    <w:rsid w:val="00601A5B"/>
    <w:rPr>
      <w:rFonts w:ascii="Helvetica" w:eastAsia="Times New Roman" w:hAnsi="Helvetica" w:cs="Times New Roman"/>
      <w:sz w:val="28"/>
      <w:szCs w:val="24"/>
    </w:rPr>
  </w:style>
  <w:style w:type="paragraph" w:styleId="Footer">
    <w:name w:val="footer"/>
    <w:basedOn w:val="Normal"/>
    <w:link w:val="FooterChar"/>
    <w:rsid w:val="00601A5B"/>
    <w:pPr>
      <w:tabs>
        <w:tab w:val="center" w:pos="4320"/>
        <w:tab w:val="right" w:pos="8640"/>
      </w:tabs>
    </w:pPr>
    <w:rPr>
      <w:rFonts w:ascii="Helvetica" w:hAnsi="Helvetica"/>
      <w:sz w:val="28"/>
    </w:rPr>
  </w:style>
  <w:style w:type="character" w:customStyle="1" w:styleId="FooterChar">
    <w:name w:val="Footer Char"/>
    <w:basedOn w:val="DefaultParagraphFont"/>
    <w:link w:val="Footer"/>
    <w:rsid w:val="00601A5B"/>
    <w:rPr>
      <w:rFonts w:ascii="Helvetica" w:eastAsia="Times New Roman" w:hAnsi="Helvetica" w:cs="Times New Roman"/>
      <w:sz w:val="28"/>
      <w:szCs w:val="24"/>
    </w:rPr>
  </w:style>
  <w:style w:type="character" w:styleId="Hyperlink">
    <w:name w:val="Hyperlink"/>
    <w:basedOn w:val="DefaultParagraphFont"/>
    <w:rsid w:val="00601A5B"/>
    <w:rPr>
      <w:color w:val="0000FF"/>
      <w:u w:val="single"/>
    </w:rPr>
  </w:style>
  <w:style w:type="paragraph" w:styleId="NormalWeb">
    <w:name w:val="Normal (Web)"/>
    <w:basedOn w:val="Normal"/>
    <w:rsid w:val="00601A5B"/>
    <w:pPr>
      <w:spacing w:before="100" w:beforeAutospacing="1" w:after="100" w:afterAutospacing="1"/>
    </w:pPr>
  </w:style>
  <w:style w:type="paragraph" w:styleId="ListParagraph">
    <w:name w:val="List Paragraph"/>
    <w:basedOn w:val="Normal"/>
    <w:uiPriority w:val="34"/>
    <w:qFormat/>
    <w:rsid w:val="00601A5B"/>
    <w:pPr>
      <w:ind w:left="720"/>
      <w:contextualSpacing/>
    </w:pPr>
    <w:rPr>
      <w:rFonts w:eastAsia="Calibri"/>
    </w:rPr>
  </w:style>
  <w:style w:type="character" w:styleId="FollowedHyperlink">
    <w:name w:val="FollowedHyperlink"/>
    <w:basedOn w:val="DefaultParagraphFont"/>
    <w:uiPriority w:val="99"/>
    <w:semiHidden/>
    <w:unhideWhenUsed/>
    <w:rsid w:val="005816AA"/>
    <w:rPr>
      <w:color w:val="800080" w:themeColor="followedHyperlink"/>
      <w:u w:val="single"/>
    </w:rPr>
  </w:style>
  <w:style w:type="character" w:styleId="CommentReference">
    <w:name w:val="annotation reference"/>
    <w:basedOn w:val="DefaultParagraphFont"/>
    <w:uiPriority w:val="99"/>
    <w:semiHidden/>
    <w:unhideWhenUsed/>
    <w:rsid w:val="005C74BD"/>
    <w:rPr>
      <w:sz w:val="16"/>
      <w:szCs w:val="16"/>
    </w:rPr>
  </w:style>
  <w:style w:type="paragraph" w:styleId="CommentText">
    <w:name w:val="annotation text"/>
    <w:basedOn w:val="Normal"/>
    <w:link w:val="CommentTextChar"/>
    <w:uiPriority w:val="99"/>
    <w:semiHidden/>
    <w:unhideWhenUsed/>
    <w:rsid w:val="005C74BD"/>
    <w:rPr>
      <w:sz w:val="20"/>
      <w:szCs w:val="20"/>
    </w:rPr>
  </w:style>
  <w:style w:type="character" w:customStyle="1" w:styleId="CommentTextChar">
    <w:name w:val="Comment Text Char"/>
    <w:basedOn w:val="DefaultParagraphFont"/>
    <w:link w:val="CommentText"/>
    <w:uiPriority w:val="99"/>
    <w:semiHidden/>
    <w:rsid w:val="005C74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4BD"/>
    <w:rPr>
      <w:b/>
      <w:bCs/>
    </w:rPr>
  </w:style>
  <w:style w:type="character" w:customStyle="1" w:styleId="CommentSubjectChar">
    <w:name w:val="Comment Subject Char"/>
    <w:basedOn w:val="CommentTextChar"/>
    <w:link w:val="CommentSubject"/>
    <w:uiPriority w:val="99"/>
    <w:semiHidden/>
    <w:rsid w:val="005C74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74BD"/>
    <w:rPr>
      <w:rFonts w:ascii="Tahoma" w:hAnsi="Tahoma" w:cs="Tahoma"/>
      <w:sz w:val="16"/>
      <w:szCs w:val="16"/>
    </w:rPr>
  </w:style>
  <w:style w:type="character" w:customStyle="1" w:styleId="BalloonTextChar">
    <w:name w:val="Balloon Text Char"/>
    <w:basedOn w:val="DefaultParagraphFont"/>
    <w:link w:val="BalloonText"/>
    <w:uiPriority w:val="99"/>
    <w:semiHidden/>
    <w:rsid w:val="005C74BD"/>
    <w:rPr>
      <w:rFonts w:ascii="Tahoma" w:eastAsia="Times New Roman" w:hAnsi="Tahoma" w:cs="Tahoma"/>
      <w:sz w:val="16"/>
      <w:szCs w:val="16"/>
    </w:rPr>
  </w:style>
  <w:style w:type="character" w:customStyle="1" w:styleId="Heading2Char">
    <w:name w:val="Heading 2 Char"/>
    <w:basedOn w:val="DefaultParagraphFont"/>
    <w:link w:val="Heading2"/>
    <w:uiPriority w:val="9"/>
    <w:rsid w:val="00C32C33"/>
    <w:rPr>
      <w:rFonts w:ascii="Arial" w:eastAsia="Times New Roman" w:hAnsi="Arial" w:cs="Arial"/>
      <w:b/>
      <w:sz w:val="24"/>
      <w:szCs w:val="24"/>
    </w:rPr>
  </w:style>
  <w:style w:type="paragraph" w:styleId="EndnoteText">
    <w:name w:val="endnote text"/>
    <w:basedOn w:val="Normal"/>
    <w:link w:val="EndnoteTextChar"/>
    <w:uiPriority w:val="99"/>
    <w:semiHidden/>
    <w:unhideWhenUsed/>
    <w:rsid w:val="00933232"/>
    <w:rPr>
      <w:sz w:val="20"/>
      <w:szCs w:val="20"/>
    </w:rPr>
  </w:style>
  <w:style w:type="character" w:customStyle="1" w:styleId="EndnoteTextChar">
    <w:name w:val="Endnote Text Char"/>
    <w:basedOn w:val="DefaultParagraphFont"/>
    <w:link w:val="EndnoteText"/>
    <w:uiPriority w:val="99"/>
    <w:semiHidden/>
    <w:rsid w:val="0093323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3232"/>
    <w:rPr>
      <w:vertAlign w:val="superscript"/>
    </w:rPr>
  </w:style>
  <w:style w:type="paragraph" w:styleId="FootnoteText">
    <w:name w:val="footnote text"/>
    <w:basedOn w:val="Normal"/>
    <w:link w:val="FootnoteTextChar"/>
    <w:uiPriority w:val="99"/>
    <w:semiHidden/>
    <w:unhideWhenUsed/>
    <w:rsid w:val="002935D5"/>
    <w:rPr>
      <w:sz w:val="20"/>
      <w:szCs w:val="20"/>
    </w:rPr>
  </w:style>
  <w:style w:type="character" w:customStyle="1" w:styleId="FootnoteTextChar">
    <w:name w:val="Footnote Text Char"/>
    <w:basedOn w:val="DefaultParagraphFont"/>
    <w:link w:val="FootnoteText"/>
    <w:uiPriority w:val="99"/>
    <w:semiHidden/>
    <w:rsid w:val="002935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35D5"/>
    <w:rPr>
      <w:vertAlign w:val="superscript"/>
    </w:rPr>
  </w:style>
  <w:style w:type="character" w:customStyle="1" w:styleId="UnresolvedMention1">
    <w:name w:val="Unresolved Mention1"/>
    <w:basedOn w:val="DefaultParagraphFont"/>
    <w:uiPriority w:val="99"/>
    <w:semiHidden/>
    <w:unhideWhenUsed/>
    <w:rsid w:val="00A76015"/>
    <w:rPr>
      <w:color w:val="605E5C"/>
      <w:shd w:val="clear" w:color="auto" w:fill="E1DFDD"/>
    </w:rPr>
  </w:style>
  <w:style w:type="character" w:styleId="Strong">
    <w:name w:val="Strong"/>
    <w:basedOn w:val="DefaultParagraphFont"/>
    <w:uiPriority w:val="22"/>
    <w:qFormat/>
    <w:rsid w:val="006C6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dders@nfb.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kaloc@nfb.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kaloc@nfb.org" TargetMode="External"/><Relationship Id="rId4" Type="http://schemas.openxmlformats.org/officeDocument/2006/relationships/webSettings" Target="webSettings.xml"/><Relationship Id="rId9" Type="http://schemas.openxmlformats.org/officeDocument/2006/relationships/hyperlink" Target="mailto:jkaloc@nf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4C67-3781-43AA-A912-02D8F974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Sloan</dc:creator>
  <cp:lastModifiedBy>Kyle Walls</cp:lastModifiedBy>
  <cp:revision>3</cp:revision>
  <dcterms:created xsi:type="dcterms:W3CDTF">2022-01-26T13:22:00Z</dcterms:created>
  <dcterms:modified xsi:type="dcterms:W3CDTF">2022-01-26T13:27:00Z</dcterms:modified>
</cp:coreProperties>
</file>