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F87E" w14:textId="2CC31923" w:rsidR="00B67AE4" w:rsidRPr="00C02EF4" w:rsidRDefault="00000000" w:rsidP="00C02EF4">
      <w:pPr>
        <w:pStyle w:val="Heading1"/>
        <w:rPr>
          <w:rFonts w:ascii="Trebuchet MS" w:eastAsia="Trebuchet MS" w:hAnsi="Trebuchet MS" w:cs="Trebuchet MS"/>
          <w:b/>
          <w:sz w:val="32"/>
          <w:szCs w:val="32"/>
        </w:rPr>
      </w:pPr>
      <w:bookmarkStart w:id="0" w:name="_uqjswfp6mmv6" w:colFirst="0" w:colLast="0"/>
      <w:bookmarkEnd w:id="0"/>
      <w:r>
        <w:rPr>
          <w:rFonts w:ascii="Trebuchet MS" w:eastAsia="Trebuchet MS" w:hAnsi="Trebuchet MS" w:cs="Trebuchet MS"/>
          <w:b/>
          <w:sz w:val="32"/>
          <w:szCs w:val="32"/>
        </w:rPr>
        <w:t xml:space="preserve">National Federation of the Blind &amp; The Museum of the Blind People's Movement Understandings Report </w:t>
      </w:r>
    </w:p>
    <w:p w14:paraId="3BA4AFCC" w14:textId="77777777" w:rsidR="00B67AE4" w:rsidRDefault="00000000">
      <w:pPr>
        <w:pStyle w:val="Heading2"/>
      </w:pPr>
      <w:bookmarkStart w:id="1" w:name="_6lc3fxr93u3f" w:colFirst="0" w:colLast="0"/>
      <w:bookmarkEnd w:id="1"/>
      <w:r>
        <w:t>Executive Summary</w:t>
      </w:r>
    </w:p>
    <w:p w14:paraId="37F8FD87" w14:textId="77777777" w:rsidR="00B67AE4" w:rsidRDefault="00B67AE4">
      <w:pPr>
        <w:rPr>
          <w:rFonts w:ascii="Trebuchet MS" w:eastAsia="Trebuchet MS" w:hAnsi="Trebuchet MS" w:cs="Trebuchet MS"/>
          <w:sz w:val="20"/>
          <w:szCs w:val="20"/>
        </w:rPr>
      </w:pPr>
    </w:p>
    <w:p w14:paraId="6622E468"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 xml:space="preserve">This updated document serves to establish a baseline understanding of The Museum of the Blind People’s Movement guest experience. It includes summaries of the key gallery outcomes, top-level summaries of benchmarking, relevant data, and metrics used to support concept development, as well as specific goals and metrics for success to be used going forward. </w:t>
      </w:r>
    </w:p>
    <w:p w14:paraId="63A144BE" w14:textId="77777777" w:rsidR="00B67AE4" w:rsidRDefault="00B67AE4">
      <w:pPr>
        <w:rPr>
          <w:rFonts w:ascii="Trebuchet MS" w:eastAsia="Trebuchet MS" w:hAnsi="Trebuchet MS" w:cs="Trebuchet MS"/>
          <w:sz w:val="20"/>
          <w:szCs w:val="20"/>
        </w:rPr>
      </w:pPr>
    </w:p>
    <w:p w14:paraId="3CD71A7F"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 xml:space="preserve">This version of the document has been updated to reflect ongoing conversations and recommendations related to the 60% Concept Development Milestone. </w:t>
      </w:r>
    </w:p>
    <w:p w14:paraId="23203C13" w14:textId="77777777" w:rsidR="00B67AE4" w:rsidRDefault="00B67AE4">
      <w:pPr>
        <w:rPr>
          <w:rFonts w:ascii="Trebuchet MS" w:eastAsia="Trebuchet MS" w:hAnsi="Trebuchet MS" w:cs="Trebuchet MS"/>
          <w:sz w:val="20"/>
          <w:szCs w:val="20"/>
        </w:rPr>
      </w:pPr>
    </w:p>
    <w:p w14:paraId="26AD78C0" w14:textId="77777777" w:rsidR="00B67AE4" w:rsidRDefault="00000000">
      <w:pPr>
        <w:pStyle w:val="Heading2"/>
      </w:pPr>
      <w:bookmarkStart w:id="2" w:name="_95jjd4g56jnt" w:colFirst="0" w:colLast="0"/>
      <w:bookmarkEnd w:id="2"/>
      <w:r>
        <w:t>Museum Summary</w:t>
      </w:r>
    </w:p>
    <w:p w14:paraId="67FE1B0A"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The goal of The Museum of the Blind People’s Movement, as defined by the National Federation of the Blind, is to provide the guest with the opportunity to explore the advancements, struggles, and successes of blind people as individuals and as a movement. The museum will facilitate understanding of the past; stimulate awareness of the present; and encourage respect, determination, action, and equity for the future.</w:t>
      </w:r>
    </w:p>
    <w:p w14:paraId="1A603ECE" w14:textId="77777777" w:rsidR="00B67AE4" w:rsidRDefault="00B67AE4">
      <w:pPr>
        <w:rPr>
          <w:rFonts w:ascii="Trebuchet MS" w:eastAsia="Trebuchet MS" w:hAnsi="Trebuchet MS" w:cs="Trebuchet MS"/>
          <w:sz w:val="20"/>
          <w:szCs w:val="20"/>
        </w:rPr>
      </w:pPr>
    </w:p>
    <w:p w14:paraId="79561516"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Fellow museums and other cultural organizations will look to The Museum of the Blind People’s Movement for best practices around inclusive design and accessibility. The museum will serve as a model for how to welcome the widest possible audience.</w:t>
      </w:r>
    </w:p>
    <w:p w14:paraId="7673EC4B" w14:textId="77777777" w:rsidR="00B67AE4" w:rsidRDefault="00B67AE4">
      <w:pPr>
        <w:rPr>
          <w:rFonts w:ascii="Trebuchet MS" w:eastAsia="Trebuchet MS" w:hAnsi="Trebuchet MS" w:cs="Trebuchet MS"/>
          <w:sz w:val="20"/>
          <w:szCs w:val="20"/>
        </w:rPr>
      </w:pPr>
    </w:p>
    <w:p w14:paraId="583CEA76"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Additionally, it is understood that this museum will be the custodian of intangible subject matter such as stories and oral histories of the blind, as well as tangible subject matter, such as objects and artifacts central to the experience of blind people within the United States and beyond.</w:t>
      </w:r>
    </w:p>
    <w:p w14:paraId="33FB9C64" w14:textId="77777777" w:rsidR="00B67AE4" w:rsidRDefault="00B67AE4">
      <w:pPr>
        <w:rPr>
          <w:rFonts w:ascii="Trebuchet MS" w:eastAsia="Trebuchet MS" w:hAnsi="Trebuchet MS" w:cs="Trebuchet MS"/>
          <w:sz w:val="20"/>
          <w:szCs w:val="20"/>
        </w:rPr>
      </w:pPr>
    </w:p>
    <w:p w14:paraId="56AB74E7"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The museum will have a target annual attendance of 15,000 guests per year, averaging approximately 60 guests a day. The Museum will be free to the public and located in the Riverside neighborhood, situated between Federal Hill, Locust Point, and Port Covington.</w:t>
      </w:r>
    </w:p>
    <w:p w14:paraId="0AB0B430" w14:textId="77777777" w:rsidR="00B67AE4" w:rsidRDefault="00B67AE4">
      <w:pPr>
        <w:rPr>
          <w:rFonts w:ascii="Trebuchet MS" w:eastAsia="Trebuchet MS" w:hAnsi="Trebuchet MS" w:cs="Trebuchet MS"/>
          <w:sz w:val="20"/>
          <w:szCs w:val="20"/>
        </w:rPr>
      </w:pPr>
    </w:p>
    <w:p w14:paraId="37FD48FD" w14:textId="77777777" w:rsidR="00B67AE4" w:rsidRDefault="00000000">
      <w:pPr>
        <w:rPr>
          <w:rFonts w:ascii="Roboto" w:eastAsia="Roboto" w:hAnsi="Roboto" w:cs="Roboto"/>
          <w:sz w:val="21"/>
          <w:szCs w:val="21"/>
        </w:rPr>
      </w:pPr>
      <w:r>
        <w:rPr>
          <w:rFonts w:ascii="Trebuchet MS" w:eastAsia="Trebuchet MS" w:hAnsi="Trebuchet MS" w:cs="Trebuchet MS"/>
          <w:sz w:val="20"/>
          <w:szCs w:val="20"/>
        </w:rPr>
        <w:t xml:space="preserve">The Museum of the Blind People’s Movement’s comprehensive Planning Documentation created by Prime Access Consulting in July 2022 </w:t>
      </w:r>
      <w:r>
        <w:rPr>
          <w:rFonts w:ascii="Roboto" w:eastAsia="Roboto" w:hAnsi="Roboto" w:cs="Roboto"/>
          <w:sz w:val="21"/>
          <w:szCs w:val="21"/>
        </w:rPr>
        <w:t xml:space="preserve">sets the basic parameters for governance and the physical space and outlines the </w:t>
      </w:r>
      <w:r>
        <w:rPr>
          <w:rFonts w:ascii="Trebuchet MS" w:eastAsia="Trebuchet MS" w:hAnsi="Trebuchet MS" w:cs="Trebuchet MS"/>
          <w:sz w:val="20"/>
          <w:szCs w:val="20"/>
        </w:rPr>
        <w:t>mission, vision, and values of the museum.</w:t>
      </w:r>
    </w:p>
    <w:p w14:paraId="0AE5EA8E" w14:textId="77777777" w:rsidR="00B67AE4" w:rsidRDefault="00B67AE4">
      <w:pPr>
        <w:rPr>
          <w:rFonts w:ascii="Roboto" w:eastAsia="Roboto" w:hAnsi="Roboto" w:cs="Roboto"/>
          <w:sz w:val="21"/>
          <w:szCs w:val="21"/>
        </w:rPr>
      </w:pPr>
    </w:p>
    <w:p w14:paraId="3163F87E" w14:textId="77777777" w:rsidR="00B67AE4" w:rsidRDefault="00000000">
      <w:pPr>
        <w:pStyle w:val="Heading2"/>
      </w:pPr>
      <w:bookmarkStart w:id="3" w:name="_8lmna4ulm95b" w:colFirst="0" w:colLast="0"/>
      <w:bookmarkEnd w:id="3"/>
      <w:r>
        <w:t>Museum Experience Goals</w:t>
      </w:r>
    </w:p>
    <w:p w14:paraId="6340C85F"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 xml:space="preserve">The Museum of the Blind People’s Movement will be different - in content, accessibility, storytelling, and in its relationship with guests. The museum will be a resource, as well as provide perspectives on </w:t>
      </w:r>
      <w:r>
        <w:rPr>
          <w:rFonts w:ascii="Trebuchet MS" w:eastAsia="Trebuchet MS" w:hAnsi="Trebuchet MS" w:cs="Trebuchet MS"/>
          <w:sz w:val="20"/>
          <w:szCs w:val="20"/>
        </w:rPr>
        <w:lastRenderedPageBreak/>
        <w:t xml:space="preserve">how we think, engage, and grow in community. The experience will be a continually renewing reflection of the guests’ experiences through conversations large and small, creative sessions, workshops, interviews, research, planning, testing, </w:t>
      </w:r>
      <w:proofErr w:type="gramStart"/>
      <w:r>
        <w:rPr>
          <w:rFonts w:ascii="Trebuchet MS" w:eastAsia="Trebuchet MS" w:hAnsi="Trebuchet MS" w:cs="Trebuchet MS"/>
          <w:sz w:val="20"/>
          <w:szCs w:val="20"/>
        </w:rPr>
        <w:t>learning</w:t>
      </w:r>
      <w:proofErr w:type="gramEnd"/>
      <w:r>
        <w:rPr>
          <w:rFonts w:ascii="Trebuchet MS" w:eastAsia="Trebuchet MS" w:hAnsi="Trebuchet MS" w:cs="Trebuchet MS"/>
          <w:sz w:val="20"/>
          <w:szCs w:val="20"/>
        </w:rPr>
        <w:t xml:space="preserve"> and unlearning. </w:t>
      </w:r>
    </w:p>
    <w:p w14:paraId="4753D31B" w14:textId="77777777" w:rsidR="00B67AE4" w:rsidRDefault="00B67AE4">
      <w:pPr>
        <w:rPr>
          <w:rFonts w:ascii="Trebuchet MS" w:eastAsia="Trebuchet MS" w:hAnsi="Trebuchet MS" w:cs="Trebuchet MS"/>
          <w:sz w:val="20"/>
          <w:szCs w:val="20"/>
        </w:rPr>
      </w:pPr>
    </w:p>
    <w:p w14:paraId="75D6908A"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 xml:space="preserve">The museum experience will be welcoming, acknowledging that guests are all on their own personal journeys. It will disrupt expectations, </w:t>
      </w:r>
      <w:proofErr w:type="gramStart"/>
      <w:r>
        <w:rPr>
          <w:rFonts w:ascii="Trebuchet MS" w:eastAsia="Trebuchet MS" w:hAnsi="Trebuchet MS" w:cs="Trebuchet MS"/>
          <w:sz w:val="20"/>
          <w:szCs w:val="20"/>
        </w:rPr>
        <w:t>inspire</w:t>
      </w:r>
      <w:proofErr w:type="gramEnd"/>
      <w:r>
        <w:rPr>
          <w:rFonts w:ascii="Trebuchet MS" w:eastAsia="Trebuchet MS" w:hAnsi="Trebuchet MS" w:cs="Trebuchet MS"/>
          <w:sz w:val="20"/>
          <w:szCs w:val="20"/>
        </w:rPr>
        <w:t xml:space="preserve"> and redefine understanding, and celebrate people across the full spectrum of experiences. </w:t>
      </w:r>
    </w:p>
    <w:p w14:paraId="43740740" w14:textId="77777777" w:rsidR="00B67AE4" w:rsidRDefault="00B67AE4">
      <w:pPr>
        <w:rPr>
          <w:rFonts w:ascii="Trebuchet MS" w:eastAsia="Trebuchet MS" w:hAnsi="Trebuchet MS" w:cs="Trebuchet MS"/>
          <w:sz w:val="20"/>
          <w:szCs w:val="20"/>
        </w:rPr>
      </w:pPr>
    </w:p>
    <w:p w14:paraId="55470B86" w14:textId="77777777" w:rsidR="00B67AE4" w:rsidRDefault="00000000">
      <w:pPr>
        <w:rPr>
          <w:rFonts w:ascii="Trebuchet MS" w:eastAsia="Trebuchet MS" w:hAnsi="Trebuchet MS" w:cs="Trebuchet MS"/>
          <w:sz w:val="20"/>
          <w:szCs w:val="20"/>
        </w:rPr>
      </w:pPr>
      <w:r>
        <w:rPr>
          <w:rFonts w:ascii="Trebuchet MS" w:eastAsia="Trebuchet MS" w:hAnsi="Trebuchet MS" w:cs="Trebuchet MS"/>
          <w:b/>
          <w:sz w:val="20"/>
          <w:szCs w:val="20"/>
        </w:rPr>
        <w:t>The following five goals</w:t>
      </w:r>
      <w:r>
        <w:rPr>
          <w:rFonts w:ascii="Trebuchet MS" w:eastAsia="Trebuchet MS" w:hAnsi="Trebuchet MS" w:cs="Trebuchet MS"/>
          <w:sz w:val="20"/>
          <w:szCs w:val="20"/>
        </w:rPr>
        <w:t xml:space="preserve"> will serve as the touchpoints for the development of museum experiences. Internally, when making choices about what could or should be included, we can ask ourselves “Does this help us achieve one or more of these goals?” Externally, when asked, “What makes this experience different?” We can answer with these goals. </w:t>
      </w:r>
    </w:p>
    <w:p w14:paraId="2191F563" w14:textId="77777777" w:rsidR="00B67AE4" w:rsidRDefault="00B67AE4">
      <w:pPr>
        <w:rPr>
          <w:rFonts w:ascii="Trebuchet MS" w:eastAsia="Trebuchet MS" w:hAnsi="Trebuchet MS" w:cs="Trebuchet MS"/>
          <w:sz w:val="20"/>
          <w:szCs w:val="20"/>
        </w:rPr>
      </w:pPr>
    </w:p>
    <w:p w14:paraId="777FAB68" w14:textId="77777777" w:rsidR="00B67AE4" w:rsidRDefault="00000000">
      <w:pPr>
        <w:numPr>
          <w:ilvl w:val="0"/>
          <w:numId w:val="7"/>
        </w:numPr>
        <w:rPr>
          <w:sz w:val="20"/>
          <w:szCs w:val="20"/>
        </w:rPr>
      </w:pPr>
      <w:r>
        <w:rPr>
          <w:rFonts w:ascii="Trebuchet MS" w:eastAsia="Trebuchet MS" w:hAnsi="Trebuchet MS" w:cs="Trebuchet MS"/>
          <w:b/>
          <w:sz w:val="20"/>
          <w:szCs w:val="20"/>
        </w:rPr>
        <w:t>Empower action</w:t>
      </w:r>
      <w:r>
        <w:rPr>
          <w:rFonts w:ascii="Trebuchet MS" w:eastAsia="Trebuchet MS" w:hAnsi="Trebuchet MS" w:cs="Trebuchet MS"/>
          <w:sz w:val="20"/>
          <w:szCs w:val="20"/>
        </w:rPr>
        <w:t>, advocacy, and self-awareness in a safe and supportive environment</w:t>
      </w:r>
    </w:p>
    <w:p w14:paraId="77DFA9D1" w14:textId="77777777" w:rsidR="00B67AE4" w:rsidRDefault="00000000">
      <w:pPr>
        <w:numPr>
          <w:ilvl w:val="0"/>
          <w:numId w:val="7"/>
        </w:numPr>
        <w:rPr>
          <w:sz w:val="20"/>
          <w:szCs w:val="20"/>
        </w:rPr>
      </w:pPr>
      <w:r>
        <w:rPr>
          <w:rFonts w:ascii="Trebuchet MS" w:eastAsia="Trebuchet MS" w:hAnsi="Trebuchet MS" w:cs="Trebuchet MS"/>
          <w:b/>
          <w:sz w:val="20"/>
          <w:szCs w:val="20"/>
        </w:rPr>
        <w:t>Dispel myths</w:t>
      </w:r>
      <w:r>
        <w:rPr>
          <w:rFonts w:ascii="Trebuchet MS" w:eastAsia="Trebuchet MS" w:hAnsi="Trebuchet MS" w:cs="Trebuchet MS"/>
          <w:sz w:val="20"/>
          <w:szCs w:val="20"/>
        </w:rPr>
        <w:t xml:space="preserve"> and demystify assumptions and cliches surrounding blindness</w:t>
      </w:r>
    </w:p>
    <w:p w14:paraId="5A82AC7D" w14:textId="77777777" w:rsidR="00B67AE4" w:rsidRDefault="00000000">
      <w:pPr>
        <w:numPr>
          <w:ilvl w:val="0"/>
          <w:numId w:val="7"/>
        </w:numPr>
        <w:rPr>
          <w:sz w:val="20"/>
          <w:szCs w:val="20"/>
        </w:rPr>
      </w:pPr>
      <w:r>
        <w:rPr>
          <w:rFonts w:ascii="Trebuchet MS" w:eastAsia="Trebuchet MS" w:hAnsi="Trebuchet MS" w:cs="Trebuchet MS"/>
          <w:b/>
          <w:sz w:val="20"/>
          <w:szCs w:val="20"/>
        </w:rPr>
        <w:t xml:space="preserve">Model radical accessibility </w:t>
      </w:r>
      <w:r>
        <w:rPr>
          <w:rFonts w:ascii="Trebuchet MS" w:eastAsia="Trebuchet MS" w:hAnsi="Trebuchet MS" w:cs="Trebuchet MS"/>
          <w:sz w:val="20"/>
          <w:szCs w:val="20"/>
        </w:rPr>
        <w:t>throughout the entire experience, a live state of testing, adjusting, and co-creating with a full spectrum of guests</w:t>
      </w:r>
    </w:p>
    <w:p w14:paraId="62201119" w14:textId="77777777" w:rsidR="00B67AE4" w:rsidRDefault="00000000">
      <w:pPr>
        <w:numPr>
          <w:ilvl w:val="0"/>
          <w:numId w:val="7"/>
        </w:numPr>
        <w:rPr>
          <w:sz w:val="20"/>
          <w:szCs w:val="20"/>
        </w:rPr>
      </w:pPr>
      <w:r>
        <w:rPr>
          <w:rFonts w:ascii="Trebuchet MS" w:eastAsia="Trebuchet MS" w:hAnsi="Trebuchet MS" w:cs="Trebuchet MS"/>
          <w:b/>
          <w:sz w:val="20"/>
          <w:szCs w:val="20"/>
        </w:rPr>
        <w:t>Normalize universal human emotions</w:t>
      </w:r>
      <w:r>
        <w:rPr>
          <w:rFonts w:ascii="Trebuchet MS" w:eastAsia="Trebuchet MS" w:hAnsi="Trebuchet MS" w:cs="Trebuchet MS"/>
          <w:sz w:val="20"/>
          <w:szCs w:val="20"/>
        </w:rPr>
        <w:t xml:space="preserve"> like fear, joy, awkwardness, and curiosity</w:t>
      </w:r>
    </w:p>
    <w:p w14:paraId="033CD62F" w14:textId="77777777" w:rsidR="00B67AE4" w:rsidRDefault="00000000">
      <w:pPr>
        <w:numPr>
          <w:ilvl w:val="0"/>
          <w:numId w:val="7"/>
        </w:numPr>
        <w:rPr>
          <w:rFonts w:ascii="Trebuchet MS" w:eastAsia="Trebuchet MS" w:hAnsi="Trebuchet MS" w:cs="Trebuchet MS"/>
          <w:sz w:val="20"/>
          <w:szCs w:val="20"/>
        </w:rPr>
      </w:pPr>
      <w:r>
        <w:rPr>
          <w:rFonts w:ascii="Trebuchet MS" w:eastAsia="Trebuchet MS" w:hAnsi="Trebuchet MS" w:cs="Trebuchet MS"/>
          <w:b/>
          <w:sz w:val="20"/>
          <w:szCs w:val="20"/>
        </w:rPr>
        <w:t>Center of first-person voices</w:t>
      </w:r>
      <w:r>
        <w:rPr>
          <w:rFonts w:ascii="Trebuchet MS" w:eastAsia="Trebuchet MS" w:hAnsi="Trebuchet MS" w:cs="Trebuchet MS"/>
          <w:sz w:val="20"/>
          <w:szCs w:val="20"/>
        </w:rPr>
        <w:t xml:space="preserve"> that shine light on overlooked, marginalized, or co-opted narratives as supported by the ongoing research and documentation of the NFB </w:t>
      </w:r>
    </w:p>
    <w:p w14:paraId="4FF18458" w14:textId="77777777" w:rsidR="00B67AE4" w:rsidRDefault="00B67AE4">
      <w:pPr>
        <w:rPr>
          <w:rFonts w:ascii="Trebuchet MS" w:eastAsia="Trebuchet MS" w:hAnsi="Trebuchet MS" w:cs="Trebuchet MS"/>
          <w:sz w:val="20"/>
          <w:szCs w:val="20"/>
        </w:rPr>
      </w:pPr>
    </w:p>
    <w:p w14:paraId="7F6EF172"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 xml:space="preserve">These goals were developed in relation to a set of values held by the National Federation of the Blind. </w:t>
      </w:r>
    </w:p>
    <w:p w14:paraId="5E318C36"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br/>
        <w:t>The NFB supports the experiential and educational engagement of its members, visitors, and all patrons through the embodiment of the following core values:</w:t>
      </w:r>
    </w:p>
    <w:p w14:paraId="2DDCDFBD" w14:textId="77777777" w:rsidR="00B67AE4" w:rsidRDefault="00000000">
      <w:pPr>
        <w:numPr>
          <w:ilvl w:val="0"/>
          <w:numId w:val="6"/>
        </w:numPr>
        <w:rPr>
          <w:rFonts w:ascii="Trebuchet MS" w:eastAsia="Trebuchet MS" w:hAnsi="Trebuchet MS" w:cs="Trebuchet MS"/>
          <w:b/>
          <w:sz w:val="20"/>
          <w:szCs w:val="20"/>
          <w:highlight w:val="white"/>
        </w:rPr>
      </w:pPr>
      <w:r>
        <w:rPr>
          <w:rFonts w:ascii="Trebuchet MS" w:eastAsia="Trebuchet MS" w:hAnsi="Trebuchet MS" w:cs="Trebuchet MS"/>
          <w:b/>
          <w:sz w:val="20"/>
          <w:szCs w:val="20"/>
          <w:highlight w:val="white"/>
        </w:rPr>
        <w:t xml:space="preserve">Empowerment </w:t>
      </w:r>
    </w:p>
    <w:p w14:paraId="0D8033A0" w14:textId="77777777" w:rsidR="00B67AE4" w:rsidRDefault="00000000">
      <w:pPr>
        <w:ind w:left="720"/>
        <w:rPr>
          <w:rFonts w:ascii="Trebuchet MS" w:eastAsia="Trebuchet MS" w:hAnsi="Trebuchet MS" w:cs="Trebuchet MS"/>
          <w:sz w:val="20"/>
          <w:szCs w:val="20"/>
          <w:highlight w:val="white"/>
        </w:rPr>
      </w:pPr>
      <w:r>
        <w:rPr>
          <w:rFonts w:ascii="Trebuchet MS" w:eastAsia="Trebuchet MS" w:hAnsi="Trebuchet MS" w:cs="Trebuchet MS"/>
          <w:sz w:val="20"/>
          <w:szCs w:val="20"/>
          <w:highlight w:val="white"/>
        </w:rPr>
        <w:t>The NFB Museum uses its resources and station to ensure that all are empowered to engage in respectful dialogue and action.</w:t>
      </w:r>
    </w:p>
    <w:p w14:paraId="0A492C10" w14:textId="77777777" w:rsidR="00B67AE4" w:rsidRDefault="00000000">
      <w:pPr>
        <w:numPr>
          <w:ilvl w:val="0"/>
          <w:numId w:val="6"/>
        </w:numPr>
        <w:rPr>
          <w:rFonts w:ascii="Trebuchet MS" w:eastAsia="Trebuchet MS" w:hAnsi="Trebuchet MS" w:cs="Trebuchet MS"/>
          <w:b/>
          <w:sz w:val="20"/>
          <w:szCs w:val="20"/>
          <w:highlight w:val="white"/>
        </w:rPr>
      </w:pPr>
      <w:r>
        <w:rPr>
          <w:rFonts w:ascii="Trebuchet MS" w:eastAsia="Trebuchet MS" w:hAnsi="Trebuchet MS" w:cs="Trebuchet MS"/>
          <w:b/>
          <w:sz w:val="20"/>
          <w:szCs w:val="20"/>
          <w:highlight w:val="white"/>
        </w:rPr>
        <w:t>Education</w:t>
      </w:r>
    </w:p>
    <w:p w14:paraId="342C185D" w14:textId="77777777" w:rsidR="00B67AE4" w:rsidRDefault="00000000">
      <w:pPr>
        <w:ind w:left="720"/>
        <w:rPr>
          <w:rFonts w:ascii="Trebuchet MS" w:eastAsia="Trebuchet MS" w:hAnsi="Trebuchet MS" w:cs="Trebuchet MS"/>
          <w:sz w:val="20"/>
          <w:szCs w:val="20"/>
          <w:highlight w:val="white"/>
        </w:rPr>
      </w:pPr>
      <w:r>
        <w:rPr>
          <w:rFonts w:ascii="Trebuchet MS" w:eastAsia="Trebuchet MS" w:hAnsi="Trebuchet MS" w:cs="Trebuchet MS"/>
          <w:sz w:val="20"/>
          <w:szCs w:val="20"/>
          <w:highlight w:val="white"/>
        </w:rPr>
        <w:t>The NFB Museum stimulates, provokes, and dialogues with its audiences through all programmatic and service offerings, to educate, inform, and reciprocally, be educated and informed.</w:t>
      </w:r>
    </w:p>
    <w:p w14:paraId="1AAF6441" w14:textId="77777777" w:rsidR="00B67AE4" w:rsidRDefault="00000000">
      <w:pPr>
        <w:numPr>
          <w:ilvl w:val="0"/>
          <w:numId w:val="6"/>
        </w:numPr>
        <w:rPr>
          <w:rFonts w:ascii="Trebuchet MS" w:eastAsia="Trebuchet MS" w:hAnsi="Trebuchet MS" w:cs="Trebuchet MS"/>
          <w:b/>
          <w:sz w:val="20"/>
          <w:szCs w:val="20"/>
          <w:highlight w:val="white"/>
        </w:rPr>
      </w:pPr>
      <w:r>
        <w:rPr>
          <w:rFonts w:ascii="Trebuchet MS" w:eastAsia="Trebuchet MS" w:hAnsi="Trebuchet MS" w:cs="Trebuchet MS"/>
          <w:b/>
          <w:sz w:val="20"/>
          <w:szCs w:val="20"/>
          <w:highlight w:val="white"/>
        </w:rPr>
        <w:t>Inclusion</w:t>
      </w:r>
    </w:p>
    <w:p w14:paraId="55A5DB7E" w14:textId="77777777" w:rsidR="00B67AE4" w:rsidRDefault="00000000">
      <w:pPr>
        <w:ind w:left="720"/>
        <w:rPr>
          <w:rFonts w:ascii="Trebuchet MS" w:eastAsia="Trebuchet MS" w:hAnsi="Trebuchet MS" w:cs="Trebuchet MS"/>
          <w:sz w:val="20"/>
          <w:szCs w:val="20"/>
          <w:highlight w:val="white"/>
        </w:rPr>
      </w:pPr>
      <w:r>
        <w:rPr>
          <w:rFonts w:ascii="Trebuchet MS" w:eastAsia="Trebuchet MS" w:hAnsi="Trebuchet MS" w:cs="Trebuchet MS"/>
          <w:sz w:val="20"/>
          <w:szCs w:val="20"/>
          <w:highlight w:val="white"/>
        </w:rPr>
        <w:t>The NFB Museum welcomes the widest possible audience in all that it does–providing inclusive accessibility without segregating participation or collaboration based on any vector of human difference.</w:t>
      </w:r>
    </w:p>
    <w:p w14:paraId="56E24E5C" w14:textId="77777777" w:rsidR="00B67AE4" w:rsidRDefault="00000000">
      <w:pPr>
        <w:numPr>
          <w:ilvl w:val="0"/>
          <w:numId w:val="6"/>
        </w:numPr>
        <w:rPr>
          <w:rFonts w:ascii="Trebuchet MS" w:eastAsia="Trebuchet MS" w:hAnsi="Trebuchet MS" w:cs="Trebuchet MS"/>
          <w:b/>
          <w:sz w:val="20"/>
          <w:szCs w:val="20"/>
          <w:highlight w:val="white"/>
        </w:rPr>
      </w:pPr>
      <w:r>
        <w:rPr>
          <w:rFonts w:ascii="Trebuchet MS" w:eastAsia="Trebuchet MS" w:hAnsi="Trebuchet MS" w:cs="Trebuchet MS"/>
          <w:b/>
          <w:sz w:val="20"/>
          <w:szCs w:val="20"/>
          <w:highlight w:val="white"/>
        </w:rPr>
        <w:t>Impact</w:t>
      </w:r>
    </w:p>
    <w:p w14:paraId="42E4F43E" w14:textId="77777777" w:rsidR="00B67AE4" w:rsidRDefault="00000000">
      <w:pPr>
        <w:ind w:left="720"/>
        <w:rPr>
          <w:rFonts w:ascii="Trebuchet MS" w:eastAsia="Trebuchet MS" w:hAnsi="Trebuchet MS" w:cs="Trebuchet MS"/>
          <w:sz w:val="20"/>
          <w:szCs w:val="20"/>
          <w:highlight w:val="white"/>
        </w:rPr>
      </w:pPr>
      <w:r>
        <w:rPr>
          <w:rFonts w:ascii="Trebuchet MS" w:eastAsia="Trebuchet MS" w:hAnsi="Trebuchet MS" w:cs="Trebuchet MS"/>
          <w:sz w:val="20"/>
          <w:szCs w:val="20"/>
          <w:highlight w:val="white"/>
        </w:rPr>
        <w:t>The NFB Museum’s efforts across all programs and services are focused on providing positive and long-lasting impact.</w:t>
      </w:r>
    </w:p>
    <w:p w14:paraId="647AB9AD" w14:textId="77777777" w:rsidR="00B67AE4" w:rsidRDefault="00000000">
      <w:pPr>
        <w:numPr>
          <w:ilvl w:val="0"/>
          <w:numId w:val="6"/>
        </w:numPr>
        <w:rPr>
          <w:rFonts w:ascii="Trebuchet MS" w:eastAsia="Trebuchet MS" w:hAnsi="Trebuchet MS" w:cs="Trebuchet MS"/>
          <w:b/>
          <w:sz w:val="20"/>
          <w:szCs w:val="20"/>
          <w:highlight w:val="white"/>
        </w:rPr>
      </w:pPr>
      <w:r>
        <w:rPr>
          <w:rFonts w:ascii="Trebuchet MS" w:eastAsia="Trebuchet MS" w:hAnsi="Trebuchet MS" w:cs="Trebuchet MS"/>
          <w:b/>
          <w:sz w:val="20"/>
          <w:szCs w:val="20"/>
          <w:highlight w:val="white"/>
        </w:rPr>
        <w:t>Credibility</w:t>
      </w:r>
    </w:p>
    <w:p w14:paraId="533202CE" w14:textId="77777777" w:rsidR="00B67AE4" w:rsidRDefault="00000000">
      <w:pPr>
        <w:ind w:left="720"/>
        <w:rPr>
          <w:rFonts w:ascii="Trebuchet MS" w:eastAsia="Trebuchet MS" w:hAnsi="Trebuchet MS" w:cs="Trebuchet MS"/>
          <w:sz w:val="20"/>
          <w:szCs w:val="20"/>
        </w:rPr>
      </w:pPr>
      <w:r>
        <w:rPr>
          <w:rFonts w:ascii="Trebuchet MS" w:eastAsia="Trebuchet MS" w:hAnsi="Trebuchet MS" w:cs="Trebuchet MS"/>
          <w:sz w:val="20"/>
          <w:szCs w:val="20"/>
        </w:rPr>
        <w:t>The NFB Museum is an authoritative source of information, content, history and lived experience of the blind. As such, its programming and services emphasize a critical need to remain credible to its constituents, members, and the public.</w:t>
      </w:r>
    </w:p>
    <w:p w14:paraId="40A27453" w14:textId="77777777" w:rsidR="00B67AE4" w:rsidRDefault="00B67AE4">
      <w:pPr>
        <w:rPr>
          <w:rFonts w:ascii="Trebuchet MS" w:eastAsia="Trebuchet MS" w:hAnsi="Trebuchet MS" w:cs="Trebuchet MS"/>
          <w:sz w:val="20"/>
          <w:szCs w:val="20"/>
        </w:rPr>
      </w:pPr>
    </w:p>
    <w:p w14:paraId="335565AD" w14:textId="77777777" w:rsidR="00B67AE4" w:rsidRDefault="00B67AE4">
      <w:pPr>
        <w:rPr>
          <w:rFonts w:ascii="Trebuchet MS" w:eastAsia="Trebuchet MS" w:hAnsi="Trebuchet MS" w:cs="Trebuchet MS"/>
          <w:sz w:val="20"/>
          <w:szCs w:val="20"/>
        </w:rPr>
      </w:pPr>
    </w:p>
    <w:p w14:paraId="6E2A694C"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 xml:space="preserve">The conversations and benchmarking that defined the above goals also illustrated expectations for what would not be acceptable or desirable. With the clear and powerful goals of this museum, there is value in being equally clear in articulating what the experience is not. </w:t>
      </w:r>
    </w:p>
    <w:p w14:paraId="6C168570"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lastRenderedPageBreak/>
        <w:t>The experience will not:</w:t>
      </w:r>
    </w:p>
    <w:p w14:paraId="370A0B0E" w14:textId="77777777" w:rsidR="00B67AE4" w:rsidRDefault="00000000">
      <w:pPr>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 xml:space="preserve">Be exclusively for blind people, avoiding visually compelling spaces </w:t>
      </w:r>
    </w:p>
    <w:p w14:paraId="1756EB2F" w14:textId="77777777" w:rsidR="00B67AE4" w:rsidRDefault="00000000">
      <w:pPr>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Seek to replicate or play-act the blind experience</w:t>
      </w:r>
    </w:p>
    <w:p w14:paraId="7C892E68" w14:textId="77777777" w:rsidR="00B67AE4" w:rsidRDefault="00000000">
      <w:pPr>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Focus exclusively on NFB history and advocacy</w:t>
      </w:r>
    </w:p>
    <w:p w14:paraId="35C63ECC" w14:textId="77777777" w:rsidR="00B67AE4" w:rsidRDefault="00000000">
      <w:pPr>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Showcase typical shining star stories, such as Helen Keller</w:t>
      </w:r>
    </w:p>
    <w:p w14:paraId="1163EB0F" w14:textId="77777777" w:rsidR="00B67AE4" w:rsidRDefault="00000000">
      <w:pPr>
        <w:numPr>
          <w:ilvl w:val="0"/>
          <w:numId w:val="1"/>
        </w:numPr>
        <w:rPr>
          <w:rFonts w:ascii="Trebuchet MS" w:eastAsia="Trebuchet MS" w:hAnsi="Trebuchet MS" w:cs="Trebuchet MS"/>
          <w:sz w:val="20"/>
          <w:szCs w:val="20"/>
        </w:rPr>
      </w:pPr>
      <w:r>
        <w:rPr>
          <w:rFonts w:ascii="Trebuchet MS" w:eastAsia="Trebuchet MS" w:hAnsi="Trebuchet MS" w:cs="Trebuchet MS"/>
          <w:sz w:val="20"/>
          <w:szCs w:val="20"/>
        </w:rPr>
        <w:t xml:space="preserve">Use guilt or “talking at” guests to convey content </w:t>
      </w:r>
    </w:p>
    <w:p w14:paraId="413D54D9" w14:textId="77777777" w:rsidR="00B67AE4" w:rsidRDefault="00B67AE4">
      <w:pPr>
        <w:rPr>
          <w:rFonts w:ascii="Trebuchet MS" w:eastAsia="Trebuchet MS" w:hAnsi="Trebuchet MS" w:cs="Trebuchet MS"/>
          <w:sz w:val="20"/>
          <w:szCs w:val="20"/>
        </w:rPr>
      </w:pPr>
    </w:p>
    <w:p w14:paraId="68ECDDB9" w14:textId="77777777" w:rsidR="00B67AE4" w:rsidRDefault="00000000">
      <w:pPr>
        <w:pStyle w:val="Heading2"/>
        <w:rPr>
          <w:rFonts w:ascii="Trebuchet MS" w:eastAsia="Trebuchet MS" w:hAnsi="Trebuchet MS" w:cs="Trebuchet MS"/>
          <w:sz w:val="20"/>
          <w:szCs w:val="20"/>
        </w:rPr>
      </w:pPr>
      <w:bookmarkStart w:id="4" w:name="_o6tv49nwya53" w:colFirst="0" w:colLast="0"/>
      <w:bookmarkEnd w:id="4"/>
      <w:r>
        <w:t>Museum Experience Outcomes</w:t>
      </w:r>
    </w:p>
    <w:p w14:paraId="6202FAB1"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 xml:space="preserve">Outcomes are the ways by which the goal(s) are achieved. They serve as metrics to define and measure success. If the museum experiences realize these outcomes, then the goals will be accomplished. Specific gallery, modality, and user-type tactics will be developed to support each outcome. Outcomes are almost always an internal tool to define, build, and sustain guest experiences. </w:t>
      </w:r>
    </w:p>
    <w:p w14:paraId="27583524" w14:textId="77777777" w:rsidR="00B67AE4" w:rsidRDefault="00B67AE4">
      <w:pPr>
        <w:rPr>
          <w:rFonts w:ascii="Trebuchet MS" w:eastAsia="Trebuchet MS" w:hAnsi="Trebuchet MS" w:cs="Trebuchet MS"/>
          <w:sz w:val="20"/>
          <w:szCs w:val="20"/>
        </w:rPr>
      </w:pPr>
    </w:p>
    <w:p w14:paraId="7DFB5B93" w14:textId="77777777" w:rsidR="00B67AE4" w:rsidRDefault="00000000">
      <w:r>
        <w:rPr>
          <w:rFonts w:ascii="Trebuchet MS" w:eastAsia="Trebuchet MS" w:hAnsi="Trebuchet MS" w:cs="Trebuchet MS"/>
          <w:sz w:val="20"/>
          <w:szCs w:val="20"/>
        </w:rPr>
        <w:t xml:space="preserve">The museum narrative will be organized into thematic galleries using multi-model techniques and affordances. Each gallery has specific outcomes including, but not limited to the following (note: all themes are currently under active development): </w:t>
      </w:r>
      <w:r>
        <w:t>Museum Theater: Of, By, and For Blind People</w:t>
      </w:r>
    </w:p>
    <w:p w14:paraId="2EF50AC4" w14:textId="77777777" w:rsidR="00B67AE4" w:rsidRDefault="00000000">
      <w:pPr>
        <w:spacing w:after="160"/>
        <w:rPr>
          <w:rFonts w:ascii="Trebuchet MS" w:eastAsia="Trebuchet MS" w:hAnsi="Trebuchet MS" w:cs="Trebuchet MS"/>
          <w:sz w:val="20"/>
          <w:szCs w:val="20"/>
        </w:rPr>
      </w:pPr>
      <w:r>
        <w:rPr>
          <w:rFonts w:ascii="Trebuchet MS" w:eastAsia="Trebuchet MS" w:hAnsi="Trebuchet MS" w:cs="Trebuchet MS"/>
          <w:sz w:val="20"/>
          <w:szCs w:val="20"/>
        </w:rPr>
        <w:t>Guest Experience Outcome: Meeting each guest where they are, acknowledging the full spectrum of assumptions and the journeys guests are on in their understanding of blindness</w:t>
      </w:r>
    </w:p>
    <w:p w14:paraId="09AADE7E" w14:textId="77777777" w:rsidR="00B67AE4" w:rsidRDefault="00000000">
      <w:pPr>
        <w:pStyle w:val="Heading3"/>
        <w:rPr>
          <w:color w:val="000000"/>
        </w:rPr>
      </w:pPr>
      <w:bookmarkStart w:id="5" w:name="_6zui80pxp0nt" w:colFirst="0" w:colLast="0"/>
      <w:bookmarkEnd w:id="5"/>
      <w:r>
        <w:rPr>
          <w:color w:val="000000"/>
        </w:rPr>
        <w:t>Gallery 1: Born and Becoming</w:t>
      </w:r>
    </w:p>
    <w:p w14:paraId="7B2640B7" w14:textId="77777777" w:rsidR="00B67AE4" w:rsidRDefault="00000000">
      <w:pPr>
        <w:spacing w:after="160"/>
        <w:rPr>
          <w:rFonts w:ascii="Trebuchet MS" w:eastAsia="Trebuchet MS" w:hAnsi="Trebuchet MS" w:cs="Trebuchet MS"/>
          <w:sz w:val="20"/>
          <w:szCs w:val="20"/>
        </w:rPr>
      </w:pPr>
      <w:r>
        <w:rPr>
          <w:rFonts w:ascii="Trebuchet MS" w:eastAsia="Trebuchet MS" w:hAnsi="Trebuchet MS" w:cs="Trebuchet MS"/>
          <w:sz w:val="20"/>
          <w:szCs w:val="20"/>
        </w:rPr>
        <w:t>Guest Experience Outcome: Rethink expectations of blindness</w:t>
      </w:r>
    </w:p>
    <w:p w14:paraId="058DAE7C" w14:textId="77777777" w:rsidR="00B67AE4" w:rsidRDefault="00000000">
      <w:pPr>
        <w:pStyle w:val="Heading3"/>
        <w:rPr>
          <w:color w:val="000000"/>
        </w:rPr>
      </w:pPr>
      <w:bookmarkStart w:id="6" w:name="_x13sz6cmyq3" w:colFirst="0" w:colLast="0"/>
      <w:bookmarkEnd w:id="6"/>
      <w:r>
        <w:rPr>
          <w:color w:val="000000"/>
        </w:rPr>
        <w:t>Gallery 2: The Blind People’s Movement</w:t>
      </w:r>
    </w:p>
    <w:p w14:paraId="276B8438" w14:textId="77777777" w:rsidR="00B67AE4" w:rsidRDefault="00000000">
      <w:pPr>
        <w:spacing w:after="160"/>
        <w:rPr>
          <w:rFonts w:ascii="Trebuchet MS" w:eastAsia="Trebuchet MS" w:hAnsi="Trebuchet MS" w:cs="Trebuchet MS"/>
          <w:sz w:val="20"/>
          <w:szCs w:val="20"/>
        </w:rPr>
      </w:pPr>
      <w:r>
        <w:rPr>
          <w:rFonts w:ascii="Trebuchet MS" w:eastAsia="Trebuchet MS" w:hAnsi="Trebuchet MS" w:cs="Trebuchet MS"/>
          <w:sz w:val="20"/>
          <w:szCs w:val="20"/>
        </w:rPr>
        <w:t>Guest Experience Outcome: Build respect for human agency</w:t>
      </w:r>
    </w:p>
    <w:p w14:paraId="62BC2285" w14:textId="77777777" w:rsidR="00B67AE4" w:rsidRDefault="00000000">
      <w:pPr>
        <w:pStyle w:val="Heading3"/>
        <w:rPr>
          <w:color w:val="000000"/>
        </w:rPr>
      </w:pPr>
      <w:bookmarkStart w:id="7" w:name="_bkde0764fqzm" w:colFirst="0" w:colLast="0"/>
      <w:bookmarkEnd w:id="7"/>
      <w:r>
        <w:rPr>
          <w:color w:val="000000"/>
        </w:rPr>
        <w:t>Gallery 3: Real Expectations [working title]</w:t>
      </w:r>
    </w:p>
    <w:p w14:paraId="668541C6"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Guest Experience Outcome: Expand public perception of blindness</w:t>
      </w:r>
    </w:p>
    <w:p w14:paraId="213933A1" w14:textId="77777777" w:rsidR="00B67AE4" w:rsidRDefault="00000000">
      <w:pPr>
        <w:pStyle w:val="Heading3"/>
        <w:rPr>
          <w:color w:val="000000"/>
        </w:rPr>
      </w:pPr>
      <w:bookmarkStart w:id="8" w:name="_iycflrclnhaq" w:colFirst="0" w:colLast="0"/>
      <w:bookmarkEnd w:id="8"/>
      <w:r>
        <w:rPr>
          <w:color w:val="000000"/>
        </w:rPr>
        <w:t>Gallery 4: Innovation For All, [working title]</w:t>
      </w:r>
    </w:p>
    <w:p w14:paraId="2A7E7424" w14:textId="77777777" w:rsidR="00B67AE4" w:rsidRDefault="00000000">
      <w:pPr>
        <w:spacing w:after="160"/>
        <w:rPr>
          <w:rFonts w:ascii="Trebuchet MS" w:eastAsia="Trebuchet MS" w:hAnsi="Trebuchet MS" w:cs="Trebuchet MS"/>
          <w:sz w:val="20"/>
          <w:szCs w:val="20"/>
        </w:rPr>
      </w:pPr>
      <w:r>
        <w:rPr>
          <w:rFonts w:ascii="Trebuchet MS" w:eastAsia="Trebuchet MS" w:hAnsi="Trebuchet MS" w:cs="Trebuchet MS"/>
          <w:sz w:val="20"/>
          <w:szCs w:val="20"/>
        </w:rPr>
        <w:t>Guest Experience Outcome: Celebrate the role of blind culture and innovation in daily life</w:t>
      </w:r>
    </w:p>
    <w:p w14:paraId="503A5BF3" w14:textId="77777777" w:rsidR="00B67AE4" w:rsidRDefault="00000000">
      <w:pPr>
        <w:pStyle w:val="Heading3"/>
        <w:rPr>
          <w:color w:val="000000"/>
        </w:rPr>
      </w:pPr>
      <w:bookmarkStart w:id="9" w:name="_aoir20yu7cwm" w:colFirst="0" w:colLast="0"/>
      <w:bookmarkEnd w:id="9"/>
      <w:r>
        <w:rPr>
          <w:color w:val="000000"/>
        </w:rPr>
        <w:t>Incubator Gallery</w:t>
      </w:r>
    </w:p>
    <w:p w14:paraId="69E64F11" w14:textId="77777777" w:rsidR="00B67AE4" w:rsidRDefault="00000000">
      <w:pPr>
        <w:spacing w:after="160"/>
        <w:rPr>
          <w:rFonts w:ascii="Trebuchet MS" w:eastAsia="Trebuchet MS" w:hAnsi="Trebuchet MS" w:cs="Trebuchet MS"/>
          <w:sz w:val="20"/>
          <w:szCs w:val="20"/>
        </w:rPr>
      </w:pPr>
      <w:r>
        <w:rPr>
          <w:rFonts w:ascii="Trebuchet MS" w:eastAsia="Trebuchet MS" w:hAnsi="Trebuchet MS" w:cs="Trebuchet MS"/>
          <w:sz w:val="20"/>
          <w:szCs w:val="20"/>
        </w:rPr>
        <w:t>Guest Experience Outcome: Put the museum mission into action</w:t>
      </w:r>
    </w:p>
    <w:p w14:paraId="43743E8E" w14:textId="77777777" w:rsidR="00B67AE4" w:rsidRDefault="00000000">
      <w:pPr>
        <w:pStyle w:val="Heading3"/>
        <w:rPr>
          <w:color w:val="000000"/>
        </w:rPr>
      </w:pPr>
      <w:bookmarkStart w:id="10" w:name="_mn5wnq5mo2ne" w:colFirst="0" w:colLast="0"/>
      <w:bookmarkEnd w:id="10"/>
      <w:r>
        <w:rPr>
          <w:color w:val="000000"/>
        </w:rPr>
        <w:t>The NFB Automat</w:t>
      </w:r>
    </w:p>
    <w:p w14:paraId="5D909F55" w14:textId="77777777" w:rsidR="00B67AE4" w:rsidRDefault="00000000">
      <w:pPr>
        <w:spacing w:after="160"/>
        <w:rPr>
          <w:rFonts w:ascii="Trebuchet MS" w:eastAsia="Trebuchet MS" w:hAnsi="Trebuchet MS" w:cs="Trebuchet MS"/>
          <w:sz w:val="20"/>
          <w:szCs w:val="20"/>
        </w:rPr>
      </w:pPr>
      <w:r>
        <w:rPr>
          <w:rFonts w:ascii="Trebuchet MS" w:eastAsia="Trebuchet MS" w:hAnsi="Trebuchet MS" w:cs="Trebuchet MS"/>
          <w:sz w:val="20"/>
          <w:szCs w:val="20"/>
        </w:rPr>
        <w:t xml:space="preserve">Guest Experience Outcome: Provide a guest amenity in a fun, funky, and accessible format </w:t>
      </w:r>
    </w:p>
    <w:p w14:paraId="103D603D" w14:textId="77777777" w:rsidR="00B67AE4" w:rsidRDefault="00000000">
      <w:pPr>
        <w:pStyle w:val="Heading2"/>
        <w:rPr>
          <w:rFonts w:ascii="Trebuchet MS" w:eastAsia="Trebuchet MS" w:hAnsi="Trebuchet MS" w:cs="Trebuchet MS"/>
          <w:sz w:val="20"/>
          <w:szCs w:val="20"/>
        </w:rPr>
      </w:pPr>
      <w:bookmarkStart w:id="11" w:name="_2af9z7lblhz0" w:colFirst="0" w:colLast="0"/>
      <w:bookmarkEnd w:id="11"/>
      <w:r>
        <w:lastRenderedPageBreak/>
        <w:t xml:space="preserve">Documentation and Benchmarking </w:t>
      </w:r>
    </w:p>
    <w:p w14:paraId="1DA1CE44" w14:textId="77777777" w:rsidR="00B67AE4" w:rsidRDefault="00000000">
      <w:pPr>
        <w:pStyle w:val="Heading3"/>
        <w:rPr>
          <w:color w:val="000000"/>
        </w:rPr>
      </w:pPr>
      <w:bookmarkStart w:id="12" w:name="_984giv3aqgf2" w:colFirst="0" w:colLast="0"/>
      <w:bookmarkEnd w:id="12"/>
      <w:r>
        <w:rPr>
          <w:color w:val="000000"/>
        </w:rPr>
        <w:t>Stakeholder Interviews</w:t>
      </w:r>
    </w:p>
    <w:p w14:paraId="6372D2D4"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Interviews previously conducted by Prime Access Consulting were reviewed and integrated into the Discovery Phase to inform themes, goals, and outcomes. These included:</w:t>
      </w:r>
    </w:p>
    <w:p w14:paraId="470EFDD6" w14:textId="77777777" w:rsidR="00B67AE4" w:rsidRDefault="00000000">
      <w:pPr>
        <w:numPr>
          <w:ilvl w:val="0"/>
          <w:numId w:val="3"/>
        </w:numPr>
        <w:rPr>
          <w:rFonts w:ascii="Trebuchet MS" w:eastAsia="Trebuchet MS" w:hAnsi="Trebuchet MS" w:cs="Trebuchet MS"/>
          <w:sz w:val="20"/>
          <w:szCs w:val="20"/>
        </w:rPr>
      </w:pPr>
      <w:r>
        <w:rPr>
          <w:rFonts w:ascii="Trebuchet MS" w:eastAsia="Trebuchet MS" w:hAnsi="Trebuchet MS" w:cs="Trebuchet MS"/>
          <w:sz w:val="20"/>
          <w:szCs w:val="20"/>
        </w:rPr>
        <w:t>Trisha Kulkarni - NABS President</w:t>
      </w:r>
    </w:p>
    <w:p w14:paraId="252CC705" w14:textId="77777777" w:rsidR="00B67AE4" w:rsidRDefault="00000000">
      <w:pPr>
        <w:numPr>
          <w:ilvl w:val="0"/>
          <w:numId w:val="3"/>
        </w:numPr>
        <w:rPr>
          <w:rFonts w:ascii="Trebuchet MS" w:eastAsia="Trebuchet MS" w:hAnsi="Trebuchet MS" w:cs="Trebuchet MS"/>
          <w:sz w:val="20"/>
          <w:szCs w:val="20"/>
        </w:rPr>
      </w:pPr>
      <w:r>
        <w:rPr>
          <w:rFonts w:ascii="Trebuchet MS" w:eastAsia="Trebuchet MS" w:hAnsi="Trebuchet MS" w:cs="Trebuchet MS"/>
          <w:sz w:val="20"/>
          <w:szCs w:val="20"/>
        </w:rPr>
        <w:t>Rebecca Hoffberger - AVAM Founder</w:t>
      </w:r>
    </w:p>
    <w:p w14:paraId="41DBE135" w14:textId="77777777" w:rsidR="00B67AE4" w:rsidRDefault="00000000">
      <w:pPr>
        <w:numPr>
          <w:ilvl w:val="0"/>
          <w:numId w:val="3"/>
        </w:numPr>
        <w:rPr>
          <w:rFonts w:ascii="Trebuchet MS" w:eastAsia="Trebuchet MS" w:hAnsi="Trebuchet MS" w:cs="Trebuchet MS"/>
          <w:sz w:val="20"/>
          <w:szCs w:val="20"/>
        </w:rPr>
      </w:pPr>
      <w:r>
        <w:rPr>
          <w:rFonts w:ascii="Trebuchet MS" w:eastAsia="Trebuchet MS" w:hAnsi="Trebuchet MS" w:cs="Trebuchet MS"/>
          <w:sz w:val="20"/>
          <w:szCs w:val="20"/>
        </w:rPr>
        <w:t>Kathryn Webster - President of tenBroek Memorial Fund</w:t>
      </w:r>
    </w:p>
    <w:p w14:paraId="2B5B98A7" w14:textId="77777777" w:rsidR="00B67AE4" w:rsidRDefault="00000000">
      <w:pPr>
        <w:numPr>
          <w:ilvl w:val="0"/>
          <w:numId w:val="3"/>
        </w:numPr>
        <w:rPr>
          <w:rFonts w:ascii="Trebuchet MS" w:eastAsia="Trebuchet MS" w:hAnsi="Trebuchet MS" w:cs="Trebuchet MS"/>
          <w:sz w:val="20"/>
          <w:szCs w:val="20"/>
        </w:rPr>
      </w:pPr>
      <w:r>
        <w:rPr>
          <w:rFonts w:ascii="Trebuchet MS" w:eastAsia="Trebuchet MS" w:hAnsi="Trebuchet MS" w:cs="Trebuchet MS"/>
          <w:sz w:val="20"/>
          <w:szCs w:val="20"/>
        </w:rPr>
        <w:t>Dan Goldstein - NFB Lawyer</w:t>
      </w:r>
    </w:p>
    <w:p w14:paraId="73FC15CF" w14:textId="77777777" w:rsidR="00B67AE4" w:rsidRDefault="00000000">
      <w:pPr>
        <w:numPr>
          <w:ilvl w:val="0"/>
          <w:numId w:val="3"/>
        </w:numPr>
        <w:rPr>
          <w:rFonts w:ascii="Trebuchet MS" w:eastAsia="Trebuchet MS" w:hAnsi="Trebuchet MS" w:cs="Trebuchet MS"/>
          <w:sz w:val="20"/>
          <w:szCs w:val="20"/>
        </w:rPr>
      </w:pPr>
      <w:r>
        <w:rPr>
          <w:rFonts w:ascii="Trebuchet MS" w:eastAsia="Trebuchet MS" w:hAnsi="Trebuchet MS" w:cs="Trebuchet MS"/>
          <w:sz w:val="20"/>
          <w:szCs w:val="20"/>
        </w:rPr>
        <w:t>Cayte Mendez - President of Blind Educators, Chairs National Scholarship</w:t>
      </w:r>
    </w:p>
    <w:p w14:paraId="28DD898E" w14:textId="77777777" w:rsidR="00B67AE4" w:rsidRDefault="00000000">
      <w:pPr>
        <w:numPr>
          <w:ilvl w:val="0"/>
          <w:numId w:val="3"/>
        </w:numPr>
        <w:rPr>
          <w:rFonts w:ascii="Trebuchet MS" w:eastAsia="Trebuchet MS" w:hAnsi="Trebuchet MS" w:cs="Trebuchet MS"/>
          <w:sz w:val="20"/>
          <w:szCs w:val="20"/>
        </w:rPr>
      </w:pPr>
      <w:r>
        <w:rPr>
          <w:rFonts w:ascii="Trebuchet MS" w:eastAsia="Trebuchet MS" w:hAnsi="Trebuchet MS" w:cs="Trebuchet MS"/>
          <w:sz w:val="20"/>
          <w:szCs w:val="20"/>
        </w:rPr>
        <w:t>Carlton Walker - President of Parents of Blind Children</w:t>
      </w:r>
    </w:p>
    <w:p w14:paraId="55F2E0E1" w14:textId="77777777" w:rsidR="00B67AE4" w:rsidRDefault="00000000">
      <w:pPr>
        <w:numPr>
          <w:ilvl w:val="0"/>
          <w:numId w:val="3"/>
        </w:numPr>
        <w:rPr>
          <w:rFonts w:ascii="Trebuchet MS" w:eastAsia="Trebuchet MS" w:hAnsi="Trebuchet MS" w:cs="Trebuchet MS"/>
          <w:sz w:val="20"/>
          <w:szCs w:val="20"/>
        </w:rPr>
      </w:pPr>
      <w:r>
        <w:rPr>
          <w:rFonts w:ascii="Trebuchet MS" w:eastAsia="Trebuchet MS" w:hAnsi="Trebuchet MS" w:cs="Trebuchet MS"/>
          <w:sz w:val="20"/>
          <w:szCs w:val="20"/>
        </w:rPr>
        <w:t>James Gashel - Long Term NFB Member, lawyer</w:t>
      </w:r>
    </w:p>
    <w:p w14:paraId="61A9FED6" w14:textId="77777777" w:rsidR="00B67AE4" w:rsidRDefault="00B67AE4">
      <w:pPr>
        <w:rPr>
          <w:rFonts w:ascii="Trebuchet MS" w:eastAsia="Trebuchet MS" w:hAnsi="Trebuchet MS" w:cs="Trebuchet MS"/>
          <w:sz w:val="20"/>
          <w:szCs w:val="20"/>
        </w:rPr>
      </w:pPr>
    </w:p>
    <w:p w14:paraId="51A2558C"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Additional interviews to be conducted by TWG include:</w:t>
      </w:r>
    </w:p>
    <w:p w14:paraId="5BB8B4B9"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Local NFB Chapter members / Baltimore &amp; DC area and the greater Maryland area</w:t>
      </w:r>
    </w:p>
    <w:p w14:paraId="57FA0761"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NFB Facilities Manager</w:t>
      </w:r>
    </w:p>
    <w:p w14:paraId="2DF9FCD7"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National Organization of the Blind - Board of Educators</w:t>
      </w:r>
    </w:p>
    <w:p w14:paraId="6A658D75"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National Organization of Parents with Blind Children, member(s)</w:t>
      </w:r>
    </w:p>
    <w:p w14:paraId="54F0BB09"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National Association of Blind Students</w:t>
      </w:r>
    </w:p>
    <w:p w14:paraId="324439F0"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 xml:space="preserve">NFB BELL Academy, staff </w:t>
      </w:r>
    </w:p>
    <w:p w14:paraId="7E6F74B7"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Neighborhood association leaders, as recommended by NFB</w:t>
      </w:r>
    </w:p>
    <w:p w14:paraId="14DD8A18"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Representative from the local public school system</w:t>
      </w:r>
    </w:p>
    <w:p w14:paraId="120766B4"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Representative from The National Great Blacks in Wax Museum</w:t>
      </w:r>
    </w:p>
    <w:p w14:paraId="40FBD2C5"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 xml:space="preserve">Representative from the American Visionary Museum, from education or outreach </w:t>
      </w:r>
    </w:p>
    <w:p w14:paraId="17D19F11"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Representative from the Maryland School for the Blind</w:t>
      </w:r>
    </w:p>
    <w:p w14:paraId="5FD01E4C"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Representative from Port Discovery</w:t>
      </w:r>
    </w:p>
    <w:p w14:paraId="4E27429E"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Representative from National Aquarium</w:t>
      </w:r>
    </w:p>
    <w:p w14:paraId="53338EA6" w14:textId="77777777" w:rsidR="00B67AE4" w:rsidRDefault="00000000">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Representative from the Baltimore Museum of Industry</w:t>
      </w:r>
    </w:p>
    <w:p w14:paraId="7BF45BAE" w14:textId="77777777" w:rsidR="00B67AE4" w:rsidRDefault="00B67AE4">
      <w:pPr>
        <w:rPr>
          <w:rFonts w:ascii="Trebuchet MS" w:eastAsia="Trebuchet MS" w:hAnsi="Trebuchet MS" w:cs="Trebuchet MS"/>
          <w:sz w:val="20"/>
          <w:szCs w:val="20"/>
        </w:rPr>
      </w:pPr>
    </w:p>
    <w:p w14:paraId="686E1932"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 xml:space="preserve">Updated documentation will be provided upon the completion of this second round of stakeholder interviews. </w:t>
      </w:r>
    </w:p>
    <w:p w14:paraId="62C97E16" w14:textId="77777777" w:rsidR="00B67AE4" w:rsidRDefault="00000000">
      <w:pPr>
        <w:pStyle w:val="Heading3"/>
        <w:rPr>
          <w:color w:val="000000"/>
        </w:rPr>
      </w:pPr>
      <w:bookmarkStart w:id="13" w:name="_u40481br7scq" w:colFirst="0" w:colLast="0"/>
      <w:bookmarkEnd w:id="13"/>
      <w:r>
        <w:rPr>
          <w:color w:val="000000"/>
        </w:rPr>
        <w:t>Materials Review</w:t>
      </w:r>
    </w:p>
    <w:p w14:paraId="66F6F38C"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Thorough and insightful documentation was provided by Prime Access Consulting and the National Federation of the Blind to support a comprehensive understanding of the history, context, and considerations related to the creation of The Museum of the Blind People’s Movement.</w:t>
      </w:r>
    </w:p>
    <w:p w14:paraId="2AEA2EBB"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The list of documents shared and reviewed includes the following:</w:t>
      </w:r>
    </w:p>
    <w:p w14:paraId="750F92D9" w14:textId="77777777" w:rsidR="00B67AE4" w:rsidRDefault="00000000">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NFB Museum Planning Documentation, 2022.07.01</w:t>
      </w:r>
    </w:p>
    <w:p w14:paraId="718183A4" w14:textId="77777777" w:rsidR="00B67AE4" w:rsidRDefault="00000000">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NFB Style Guide - 2020 Refresh, 2020.05.19</w:t>
      </w:r>
    </w:p>
    <w:p w14:paraId="10A431AD" w14:textId="77777777" w:rsidR="00B67AE4" w:rsidRDefault="00000000">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NFB Oral History collection of recordings, 2022.07.12</w:t>
      </w:r>
    </w:p>
    <w:p w14:paraId="06128082" w14:textId="77777777" w:rsidR="00B67AE4" w:rsidRDefault="00000000">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NFB Museum Membership complete survey results, 2022.03.16</w:t>
      </w:r>
    </w:p>
    <w:p w14:paraId="0ED8B9B8" w14:textId="77777777" w:rsidR="00B67AE4" w:rsidRDefault="00000000">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PAC Stakeholder Interview collection, 2022.03.17</w:t>
      </w:r>
    </w:p>
    <w:p w14:paraId="2B598E0E" w14:textId="77777777" w:rsidR="00B67AE4" w:rsidRDefault="00000000">
      <w:pPr>
        <w:pStyle w:val="Heading3"/>
        <w:rPr>
          <w:color w:val="000000"/>
        </w:rPr>
      </w:pPr>
      <w:bookmarkStart w:id="14" w:name="_o441utqovwpq" w:colFirst="0" w:colLast="0"/>
      <w:bookmarkEnd w:id="14"/>
      <w:r>
        <w:rPr>
          <w:color w:val="000000"/>
        </w:rPr>
        <w:lastRenderedPageBreak/>
        <w:t>Workshops and Creative Sessions</w:t>
      </w:r>
    </w:p>
    <w:p w14:paraId="25AB6A22" w14:textId="77777777" w:rsidR="00B67AE4" w:rsidRDefault="00000000">
      <w:pPr>
        <w:rPr>
          <w:rFonts w:ascii="Trebuchet MS" w:eastAsia="Trebuchet MS" w:hAnsi="Trebuchet MS" w:cs="Trebuchet MS"/>
          <w:sz w:val="20"/>
          <w:szCs w:val="20"/>
        </w:rPr>
      </w:pPr>
      <w:r>
        <w:rPr>
          <w:rFonts w:ascii="Trebuchet MS" w:eastAsia="Trebuchet MS" w:hAnsi="Trebuchet MS" w:cs="Trebuchet MS"/>
          <w:sz w:val="20"/>
          <w:szCs w:val="20"/>
        </w:rPr>
        <w:t>As part of the Content Development Phase TWG facilitated the following workshops and creative sessions</w:t>
      </w:r>
    </w:p>
    <w:p w14:paraId="3C1352EC" w14:textId="77777777" w:rsidR="00B67AE4" w:rsidRDefault="00000000">
      <w:pPr>
        <w:numPr>
          <w:ilvl w:val="0"/>
          <w:numId w:val="4"/>
        </w:numPr>
        <w:rPr>
          <w:rFonts w:ascii="Trebuchet MS" w:eastAsia="Trebuchet MS" w:hAnsi="Trebuchet MS" w:cs="Trebuchet MS"/>
          <w:sz w:val="20"/>
          <w:szCs w:val="20"/>
        </w:rPr>
      </w:pPr>
      <w:r>
        <w:rPr>
          <w:rFonts w:ascii="Trebuchet MS" w:eastAsia="Trebuchet MS" w:hAnsi="Trebuchet MS" w:cs="Trebuchet MS"/>
          <w:sz w:val="20"/>
          <w:szCs w:val="20"/>
        </w:rPr>
        <w:t>Project Kick-Off and Site Visit on March 29th, 2023</w:t>
      </w:r>
    </w:p>
    <w:p w14:paraId="4C6106E5" w14:textId="77777777" w:rsidR="00B67AE4" w:rsidRDefault="00000000">
      <w:pPr>
        <w:numPr>
          <w:ilvl w:val="1"/>
          <w:numId w:val="4"/>
        </w:numPr>
        <w:rPr>
          <w:rFonts w:ascii="Trebuchet MS" w:eastAsia="Trebuchet MS" w:hAnsi="Trebuchet MS" w:cs="Trebuchet MS"/>
          <w:sz w:val="20"/>
          <w:szCs w:val="20"/>
        </w:rPr>
      </w:pPr>
      <w:r>
        <w:rPr>
          <w:rFonts w:ascii="Trebuchet MS" w:eastAsia="Trebuchet MS" w:hAnsi="Trebuchet MS" w:cs="Trebuchet MS"/>
          <w:sz w:val="20"/>
          <w:szCs w:val="20"/>
        </w:rPr>
        <w:t>NFB Attendees: Anil Lewis, Gary Wunder, Patti Chang, Carol Castellano, Nichole Chrissis, Denice Brown, Danielle McCann, Mark Riccobono, Sara Luna</w:t>
      </w:r>
    </w:p>
    <w:p w14:paraId="41524CE4" w14:textId="77777777" w:rsidR="00B67AE4" w:rsidRDefault="00000000">
      <w:pPr>
        <w:numPr>
          <w:ilvl w:val="1"/>
          <w:numId w:val="4"/>
        </w:numPr>
        <w:rPr>
          <w:rFonts w:ascii="Trebuchet MS" w:eastAsia="Trebuchet MS" w:hAnsi="Trebuchet MS" w:cs="Trebuchet MS"/>
          <w:sz w:val="20"/>
          <w:szCs w:val="20"/>
        </w:rPr>
      </w:pPr>
      <w:r>
        <w:rPr>
          <w:rFonts w:ascii="Trebuchet MS" w:eastAsia="Trebuchet MS" w:hAnsi="Trebuchet MS" w:cs="Trebuchet MS"/>
          <w:sz w:val="20"/>
          <w:szCs w:val="20"/>
        </w:rPr>
        <w:t>PAC Attendees: Sina Bahram, Corey Timpson, Robin Marquis, Ryan-Ashley Anderson, Maria Braswell</w:t>
      </w:r>
    </w:p>
    <w:p w14:paraId="0D5CAE88" w14:textId="77777777" w:rsidR="00B67AE4" w:rsidRDefault="00000000">
      <w:pPr>
        <w:numPr>
          <w:ilvl w:val="1"/>
          <w:numId w:val="4"/>
        </w:numPr>
        <w:rPr>
          <w:rFonts w:ascii="Trebuchet MS" w:eastAsia="Trebuchet MS" w:hAnsi="Trebuchet MS" w:cs="Trebuchet MS"/>
          <w:sz w:val="20"/>
          <w:szCs w:val="20"/>
        </w:rPr>
      </w:pPr>
      <w:r>
        <w:rPr>
          <w:rFonts w:ascii="Trebuchet MS" w:eastAsia="Trebuchet MS" w:hAnsi="Trebuchet MS" w:cs="Trebuchet MS"/>
          <w:sz w:val="20"/>
          <w:szCs w:val="20"/>
        </w:rPr>
        <w:t>Thinkwell Attendees: Anna Altschwager, Cynthia Sharpe, Samantha McIntyre, Sara Beil, Paige Luke, Michael Finney</w:t>
      </w:r>
    </w:p>
    <w:p w14:paraId="37A059DE" w14:textId="77777777" w:rsidR="00B67AE4" w:rsidRDefault="00000000">
      <w:pPr>
        <w:numPr>
          <w:ilvl w:val="0"/>
          <w:numId w:val="4"/>
        </w:numPr>
        <w:rPr>
          <w:rFonts w:ascii="Trebuchet MS" w:eastAsia="Trebuchet MS" w:hAnsi="Trebuchet MS" w:cs="Trebuchet MS"/>
          <w:sz w:val="20"/>
          <w:szCs w:val="20"/>
        </w:rPr>
      </w:pPr>
      <w:r>
        <w:rPr>
          <w:rFonts w:ascii="Trebuchet MS" w:eastAsia="Trebuchet MS" w:hAnsi="Trebuchet MS" w:cs="Trebuchet MS"/>
          <w:sz w:val="20"/>
          <w:szCs w:val="20"/>
        </w:rPr>
        <w:t>Virtual Charrette on April 20th, 2023</w:t>
      </w:r>
    </w:p>
    <w:p w14:paraId="1DA477E9" w14:textId="77777777" w:rsidR="00B67AE4" w:rsidRDefault="00000000">
      <w:pPr>
        <w:numPr>
          <w:ilvl w:val="1"/>
          <w:numId w:val="4"/>
        </w:numPr>
        <w:rPr>
          <w:rFonts w:ascii="Trebuchet MS" w:eastAsia="Trebuchet MS" w:hAnsi="Trebuchet MS" w:cs="Trebuchet MS"/>
          <w:sz w:val="20"/>
          <w:szCs w:val="20"/>
        </w:rPr>
      </w:pPr>
      <w:r>
        <w:rPr>
          <w:rFonts w:ascii="Trebuchet MS" w:eastAsia="Trebuchet MS" w:hAnsi="Trebuchet MS" w:cs="Trebuchet MS"/>
          <w:sz w:val="20"/>
          <w:szCs w:val="20"/>
        </w:rPr>
        <w:t>NFB Attendees: Anil Lewis, Gary Wunder, Danielle McCann, Nichole Chrissis, Lou Ann Blake, Mark Riccobono</w:t>
      </w:r>
    </w:p>
    <w:p w14:paraId="4998EC74" w14:textId="77777777" w:rsidR="00B67AE4" w:rsidRDefault="00000000">
      <w:pPr>
        <w:numPr>
          <w:ilvl w:val="1"/>
          <w:numId w:val="4"/>
        </w:numPr>
        <w:rPr>
          <w:rFonts w:ascii="Trebuchet MS" w:eastAsia="Trebuchet MS" w:hAnsi="Trebuchet MS" w:cs="Trebuchet MS"/>
          <w:sz w:val="20"/>
          <w:szCs w:val="20"/>
        </w:rPr>
      </w:pPr>
      <w:r>
        <w:rPr>
          <w:rFonts w:ascii="Trebuchet MS" w:eastAsia="Trebuchet MS" w:hAnsi="Trebuchet MS" w:cs="Trebuchet MS"/>
          <w:sz w:val="20"/>
          <w:szCs w:val="20"/>
        </w:rPr>
        <w:t>PAC Attendees: Sina Bahram, Corey Timpson, Robin Marquis, Maria Braswell, Ryan-Ashley Anderson</w:t>
      </w:r>
    </w:p>
    <w:p w14:paraId="0AB3EA92" w14:textId="77777777" w:rsidR="00B67AE4" w:rsidRDefault="00000000">
      <w:pPr>
        <w:numPr>
          <w:ilvl w:val="1"/>
          <w:numId w:val="4"/>
        </w:numPr>
        <w:rPr>
          <w:rFonts w:ascii="Trebuchet MS" w:eastAsia="Trebuchet MS" w:hAnsi="Trebuchet MS" w:cs="Trebuchet MS"/>
          <w:sz w:val="20"/>
          <w:szCs w:val="20"/>
        </w:rPr>
      </w:pPr>
      <w:r>
        <w:rPr>
          <w:rFonts w:ascii="Trebuchet MS" w:eastAsia="Trebuchet MS" w:hAnsi="Trebuchet MS" w:cs="Trebuchet MS"/>
          <w:sz w:val="20"/>
          <w:szCs w:val="20"/>
        </w:rPr>
        <w:t>Thinkwell Attendees: Anna Altschwager, Cynthia Sharpe, Lacy Campbell, Mariko Samejima, Paige Luke, Samantha McIntyre, Sara Beil, Zachary Bennett</w:t>
      </w:r>
    </w:p>
    <w:p w14:paraId="333AA102" w14:textId="77777777" w:rsidR="00B67AE4" w:rsidRDefault="00000000">
      <w:pPr>
        <w:numPr>
          <w:ilvl w:val="0"/>
          <w:numId w:val="4"/>
        </w:numPr>
        <w:rPr>
          <w:rFonts w:ascii="Trebuchet MS" w:eastAsia="Trebuchet MS" w:hAnsi="Trebuchet MS" w:cs="Trebuchet MS"/>
          <w:sz w:val="20"/>
          <w:szCs w:val="20"/>
        </w:rPr>
      </w:pPr>
      <w:r>
        <w:rPr>
          <w:rFonts w:ascii="Trebuchet MS" w:eastAsia="Trebuchet MS" w:hAnsi="Trebuchet MS" w:cs="Trebuchet MS"/>
          <w:sz w:val="20"/>
          <w:szCs w:val="20"/>
        </w:rPr>
        <w:t>In-Person Feedback Session &amp; Charrette on May 11th, 2023</w:t>
      </w:r>
    </w:p>
    <w:p w14:paraId="6B3F8584" w14:textId="77777777" w:rsidR="00B67AE4" w:rsidRDefault="00000000">
      <w:pPr>
        <w:numPr>
          <w:ilvl w:val="1"/>
          <w:numId w:val="4"/>
        </w:numPr>
        <w:rPr>
          <w:rFonts w:ascii="Trebuchet MS" w:eastAsia="Trebuchet MS" w:hAnsi="Trebuchet MS" w:cs="Trebuchet MS"/>
          <w:sz w:val="20"/>
          <w:szCs w:val="20"/>
        </w:rPr>
      </w:pPr>
      <w:r>
        <w:rPr>
          <w:rFonts w:ascii="Trebuchet MS" w:eastAsia="Trebuchet MS" w:hAnsi="Trebuchet MS" w:cs="Trebuchet MS"/>
          <w:sz w:val="20"/>
          <w:szCs w:val="20"/>
        </w:rPr>
        <w:t>NFB Attendees: Lou Ann Blake, Patti Chang, Nichole Chrissis, Danielle McCann, Mark Riccobono, Carol Castellano, Peggy Chong, Anil Lewis, Sara Luna, Denice Brown, Bryan Bashin, Georgina Kleege, Helen Delacretaz</w:t>
      </w:r>
    </w:p>
    <w:p w14:paraId="7EF21734" w14:textId="77777777" w:rsidR="00B67AE4" w:rsidRDefault="00000000">
      <w:pPr>
        <w:numPr>
          <w:ilvl w:val="1"/>
          <w:numId w:val="4"/>
        </w:numPr>
        <w:rPr>
          <w:rFonts w:ascii="Trebuchet MS" w:eastAsia="Trebuchet MS" w:hAnsi="Trebuchet MS" w:cs="Trebuchet MS"/>
          <w:sz w:val="20"/>
          <w:szCs w:val="20"/>
        </w:rPr>
      </w:pPr>
      <w:r>
        <w:rPr>
          <w:rFonts w:ascii="Trebuchet MS" w:eastAsia="Trebuchet MS" w:hAnsi="Trebuchet MS" w:cs="Trebuchet MS"/>
          <w:sz w:val="20"/>
          <w:szCs w:val="20"/>
        </w:rPr>
        <w:t>PAC Attendees: Sina Bahram, Robin Marquis, Corey Timpson, Maria Braswell</w:t>
      </w:r>
    </w:p>
    <w:p w14:paraId="287128A4" w14:textId="77777777" w:rsidR="00B67AE4" w:rsidRDefault="00000000">
      <w:pPr>
        <w:numPr>
          <w:ilvl w:val="1"/>
          <w:numId w:val="4"/>
        </w:numPr>
        <w:rPr>
          <w:rFonts w:ascii="Trebuchet MS" w:eastAsia="Trebuchet MS" w:hAnsi="Trebuchet MS" w:cs="Trebuchet MS"/>
          <w:sz w:val="20"/>
          <w:szCs w:val="20"/>
        </w:rPr>
      </w:pPr>
      <w:r>
        <w:rPr>
          <w:rFonts w:ascii="Trebuchet MS" w:eastAsia="Trebuchet MS" w:hAnsi="Trebuchet MS" w:cs="Trebuchet MS"/>
          <w:sz w:val="20"/>
          <w:szCs w:val="20"/>
        </w:rPr>
        <w:t>Thinkwell Attendees: Anna Altschwager, Zac Bennett, Michael Finney, Cynthia Sharpe, Sara Beil, Paige Luke, Samantha McIntyre</w:t>
      </w:r>
    </w:p>
    <w:p w14:paraId="1830F412" w14:textId="1ED91234" w:rsidR="00B67AE4" w:rsidRDefault="00000000">
      <w:pPr>
        <w:numPr>
          <w:ilvl w:val="0"/>
          <w:numId w:val="4"/>
        </w:numPr>
        <w:rPr>
          <w:rFonts w:ascii="Trebuchet MS" w:eastAsia="Trebuchet MS" w:hAnsi="Trebuchet MS" w:cs="Trebuchet MS"/>
          <w:sz w:val="20"/>
          <w:szCs w:val="20"/>
        </w:rPr>
      </w:pPr>
      <w:r>
        <w:rPr>
          <w:rFonts w:ascii="Trebuchet MS" w:eastAsia="Trebuchet MS" w:hAnsi="Trebuchet MS" w:cs="Trebuchet MS"/>
          <w:sz w:val="20"/>
          <w:szCs w:val="20"/>
        </w:rPr>
        <w:t xml:space="preserve">In-Person Charrette on July 18th, 2023 </w:t>
      </w:r>
    </w:p>
    <w:sectPr w:rsidR="00B67AE4">
      <w:headerReference w:type="default" r:id="rId7"/>
      <w:footerReference w:type="defaul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F64D" w14:textId="77777777" w:rsidR="00E1219D" w:rsidRDefault="00E1219D">
      <w:pPr>
        <w:spacing w:line="240" w:lineRule="auto"/>
      </w:pPr>
      <w:r>
        <w:separator/>
      </w:r>
    </w:p>
  </w:endnote>
  <w:endnote w:type="continuationSeparator" w:id="0">
    <w:p w14:paraId="672E3954" w14:textId="77777777" w:rsidR="00E1219D" w:rsidRDefault="00E12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9F65" w14:textId="77777777" w:rsidR="00B67AE4" w:rsidRDefault="00000000">
    <w:pPr>
      <w:jc w:val="right"/>
    </w:pPr>
    <w:r>
      <w:fldChar w:fldCharType="begin"/>
    </w:r>
    <w:r>
      <w:instrText>PAGE</w:instrText>
    </w:r>
    <w:r>
      <w:fldChar w:fldCharType="separate"/>
    </w:r>
    <w:r w:rsidR="001E2EE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A28D" w14:textId="77777777" w:rsidR="00B67AE4" w:rsidRDefault="00B67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EC0A" w14:textId="77777777" w:rsidR="00E1219D" w:rsidRDefault="00E1219D">
      <w:pPr>
        <w:spacing w:line="240" w:lineRule="auto"/>
      </w:pPr>
      <w:r>
        <w:separator/>
      </w:r>
    </w:p>
  </w:footnote>
  <w:footnote w:type="continuationSeparator" w:id="0">
    <w:p w14:paraId="7246E467" w14:textId="77777777" w:rsidR="00E1219D" w:rsidRDefault="00E121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515D" w14:textId="77777777" w:rsidR="00B67AE4" w:rsidRDefault="00000000">
    <w:r>
      <w:rPr>
        <w:noProof/>
      </w:rPr>
      <w:drawing>
        <wp:inline distT="114300" distB="114300" distL="114300" distR="114300" wp14:anchorId="3DC86D73" wp14:editId="38CE7792">
          <wp:extent cx="1293045" cy="310896"/>
          <wp:effectExtent l="0" t="0" r="0" b="0"/>
          <wp:docPr id="1" name="image1.png" descr="Thinkwell Logo"/>
          <wp:cNvGraphicFramePr/>
          <a:graphic xmlns:a="http://schemas.openxmlformats.org/drawingml/2006/main">
            <a:graphicData uri="http://schemas.openxmlformats.org/drawingml/2006/picture">
              <pic:pic xmlns:pic="http://schemas.openxmlformats.org/drawingml/2006/picture">
                <pic:nvPicPr>
                  <pic:cNvPr id="1" name="image1.png" descr="Thinkwell Logo"/>
                  <pic:cNvPicPr preferRelativeResize="0"/>
                </pic:nvPicPr>
                <pic:blipFill>
                  <a:blip r:embed="rId1"/>
                  <a:srcRect/>
                  <a:stretch>
                    <a:fillRect/>
                  </a:stretch>
                </pic:blipFill>
                <pic:spPr>
                  <a:xfrm>
                    <a:off x="0" y="0"/>
                    <a:ext cx="1293045" cy="3108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8E4"/>
    <w:multiLevelType w:val="multilevel"/>
    <w:tmpl w:val="EAFA1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DF5A9A"/>
    <w:multiLevelType w:val="multilevel"/>
    <w:tmpl w:val="2DC40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2A6789"/>
    <w:multiLevelType w:val="multilevel"/>
    <w:tmpl w:val="695A2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0D725A"/>
    <w:multiLevelType w:val="multilevel"/>
    <w:tmpl w:val="5E264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5437D0"/>
    <w:multiLevelType w:val="multilevel"/>
    <w:tmpl w:val="CA909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FC5CD3"/>
    <w:multiLevelType w:val="multilevel"/>
    <w:tmpl w:val="B0449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DB16EC2"/>
    <w:multiLevelType w:val="multilevel"/>
    <w:tmpl w:val="C5481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5811796">
    <w:abstractNumId w:val="3"/>
  </w:num>
  <w:num w:numId="2" w16cid:durableId="279921739">
    <w:abstractNumId w:val="0"/>
  </w:num>
  <w:num w:numId="3" w16cid:durableId="1449466493">
    <w:abstractNumId w:val="1"/>
  </w:num>
  <w:num w:numId="4" w16cid:durableId="1957105118">
    <w:abstractNumId w:val="6"/>
  </w:num>
  <w:num w:numId="5" w16cid:durableId="819931252">
    <w:abstractNumId w:val="2"/>
  </w:num>
  <w:num w:numId="6" w16cid:durableId="1433939249">
    <w:abstractNumId w:val="5"/>
  </w:num>
  <w:num w:numId="7" w16cid:durableId="1311667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AE4"/>
    <w:rsid w:val="001E2EE3"/>
    <w:rsid w:val="00200473"/>
    <w:rsid w:val="00330F3A"/>
    <w:rsid w:val="00B67AE4"/>
    <w:rsid w:val="00C02EF4"/>
    <w:rsid w:val="00D20CB2"/>
    <w:rsid w:val="00E1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DAF4"/>
  <w15:docId w15:val="{55C035A6-425A-C54B-883E-95ADD0C1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1560</Words>
  <Characters>8893</Characters>
  <Application>Microsoft Office Word</Application>
  <DocSecurity>0</DocSecurity>
  <Lines>74</Lines>
  <Paragraphs>20</Paragraphs>
  <ScaleCrop>false</ScaleCrop>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Chang, Patti</cp:lastModifiedBy>
  <cp:revision>4</cp:revision>
  <dcterms:created xsi:type="dcterms:W3CDTF">2023-06-20T14:40:00Z</dcterms:created>
  <dcterms:modified xsi:type="dcterms:W3CDTF">2023-07-29T13:57:00Z</dcterms:modified>
</cp:coreProperties>
</file>