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483B" w14:textId="77777777" w:rsidR="001270ED" w:rsidRDefault="001270ED">
      <w:pPr>
        <w:ind w:left="2880" w:firstLine="720"/>
      </w:pPr>
    </w:p>
    <w:p w14:paraId="1EC4483C" w14:textId="717A44AA" w:rsidR="001270ED" w:rsidRDefault="00C963C9">
      <w:pPr>
        <w:ind w:left="2880" w:firstLine="720"/>
      </w:pPr>
      <w:r>
        <w:tab/>
      </w:r>
      <w:r>
        <w:tab/>
      </w:r>
      <w:r>
        <w:tab/>
      </w:r>
      <w:r w:rsidR="000B08AA">
        <w:t xml:space="preserve">           </w:t>
      </w:r>
      <w:r w:rsidR="000B08AA">
        <w:rPr>
          <w:noProof/>
        </w:rPr>
        <mc:AlternateContent>
          <mc:Choice Requires="wps">
            <w:drawing>
              <wp:anchor distT="0" distB="0" distL="114300" distR="114300" simplePos="0" relativeHeight="251658240" behindDoc="0" locked="0" layoutInCell="1" hidden="0" allowOverlap="1" wp14:anchorId="1EC44866" wp14:editId="1EC44867">
                <wp:simplePos x="0" y="0"/>
                <wp:positionH relativeFrom="column">
                  <wp:posOffset>3898900</wp:posOffset>
                </wp:positionH>
                <wp:positionV relativeFrom="paragraph">
                  <wp:posOffset>-444499</wp:posOffset>
                </wp:positionV>
                <wp:extent cx="2574925" cy="1014730"/>
                <wp:effectExtent l="0" t="0" r="0" b="0"/>
                <wp:wrapNone/>
                <wp:docPr id="2" name="Rectangle 2"/>
                <wp:cNvGraphicFramePr/>
                <a:graphic xmlns:a="http://schemas.openxmlformats.org/drawingml/2006/main">
                  <a:graphicData uri="http://schemas.microsoft.com/office/word/2010/wordprocessingShape">
                    <wps:wsp>
                      <wps:cNvSpPr/>
                      <wps:spPr>
                        <a:xfrm>
                          <a:off x="4063300" y="3277398"/>
                          <a:ext cx="2565400" cy="1005205"/>
                        </a:xfrm>
                        <a:prstGeom prst="rect">
                          <a:avLst/>
                        </a:prstGeom>
                        <a:noFill/>
                        <a:ln>
                          <a:noFill/>
                        </a:ln>
                      </wps:spPr>
                      <wps:txbx>
                        <w:txbxContent>
                          <w:p w14:paraId="1EC44873" w14:textId="77777777" w:rsidR="001270ED" w:rsidRDefault="000B08AA">
                            <w:pPr>
                              <w:ind w:firstLine="720"/>
                              <w:textDirection w:val="btLr"/>
                            </w:pPr>
                            <w:r>
                              <w:rPr>
                                <w:rFonts w:ascii="Arial" w:eastAsia="Arial" w:hAnsi="Arial" w:cs="Arial"/>
                                <w:color w:val="000000"/>
                                <w:sz w:val="22"/>
                              </w:rPr>
                              <w:t>Tracy Soforenko, President</w:t>
                            </w:r>
                          </w:p>
                          <w:p w14:paraId="1EC44874" w14:textId="77777777" w:rsidR="001270ED" w:rsidRDefault="000B08AA">
                            <w:pPr>
                              <w:ind w:firstLine="720"/>
                              <w:textDirection w:val="btLr"/>
                            </w:pPr>
                            <w:r>
                              <w:rPr>
                                <w:rFonts w:ascii="Arial" w:eastAsia="Arial" w:hAnsi="Arial" w:cs="Arial"/>
                                <w:color w:val="000000"/>
                                <w:sz w:val="22"/>
                              </w:rPr>
                              <w:t>1511 North Jackson Street</w:t>
                            </w:r>
                          </w:p>
                          <w:p w14:paraId="1EC44875" w14:textId="77777777" w:rsidR="001270ED" w:rsidRDefault="000B08AA">
                            <w:pPr>
                              <w:ind w:firstLine="720"/>
                              <w:textDirection w:val="btLr"/>
                            </w:pPr>
                            <w:r>
                              <w:rPr>
                                <w:rFonts w:ascii="Arial" w:eastAsia="Arial" w:hAnsi="Arial" w:cs="Arial"/>
                                <w:color w:val="000000"/>
                                <w:sz w:val="22"/>
                              </w:rPr>
                              <w:t>Arlington, VA 22201</w:t>
                            </w:r>
                          </w:p>
                          <w:p w14:paraId="1EC44876" w14:textId="77777777" w:rsidR="001270ED" w:rsidRDefault="000B08AA">
                            <w:pPr>
                              <w:ind w:firstLine="720"/>
                              <w:textDirection w:val="btLr"/>
                            </w:pPr>
                            <w:r>
                              <w:rPr>
                                <w:rFonts w:ascii="Arial" w:eastAsia="Arial" w:hAnsi="Arial" w:cs="Arial"/>
                                <w:color w:val="000000"/>
                                <w:sz w:val="22"/>
                              </w:rPr>
                              <w:t>202-285-4595</w:t>
                            </w:r>
                          </w:p>
                          <w:p w14:paraId="1EC44877" w14:textId="77777777" w:rsidR="001270ED" w:rsidRDefault="000B08AA">
                            <w:pPr>
                              <w:ind w:firstLine="720"/>
                              <w:textDirection w:val="btLr"/>
                            </w:pPr>
                            <w:r>
                              <w:rPr>
                                <w:rFonts w:ascii="Arial" w:eastAsia="Arial" w:hAnsi="Arial" w:cs="Arial"/>
                                <w:color w:val="000000"/>
                                <w:sz w:val="22"/>
                              </w:rPr>
                              <w:t>tracy.soforenko@gmail.com</w:t>
                            </w:r>
                          </w:p>
                          <w:p w14:paraId="1EC44878" w14:textId="77777777" w:rsidR="001270ED" w:rsidRDefault="001270ED">
                            <w:pPr>
                              <w:textDirection w:val="btLr"/>
                            </w:pPr>
                          </w:p>
                        </w:txbxContent>
                      </wps:txbx>
                      <wps:bodyPr spcFirstLastPara="1" wrap="square" lIns="91425" tIns="45700" rIns="91425" bIns="45700" anchor="t" anchorCtr="0">
                        <a:noAutofit/>
                      </wps:bodyPr>
                    </wps:wsp>
                  </a:graphicData>
                </a:graphic>
              </wp:anchor>
            </w:drawing>
          </mc:Choice>
          <mc:Fallback>
            <w:pict>
              <v:rect w14:anchorId="1EC44866" id="Rectangle 2" o:spid="_x0000_s1026" style="position:absolute;left:0;text-align:left;margin-left:307pt;margin-top:-35pt;width:202.75pt;height:7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" filled="f" stroked="f">
                <v:textbox inset="2.53958mm,1.2694mm,2.53958mm,1.2694mm">
                  <w:txbxContent>
                    <w:p w14:paraId="1EC44873" w14:textId="77777777" w:rsidR="001270ED" w:rsidRDefault="000B08AA">
                      <w:pPr>
                        <w:ind w:firstLine="720"/>
                        <w:textDirection w:val="btLr"/>
                      </w:pPr>
                      <w:r>
                        <w:rPr>
                          <w:rFonts w:ascii="Arial" w:eastAsia="Arial" w:hAnsi="Arial" w:cs="Arial"/>
                          <w:color w:val="000000"/>
                          <w:sz w:val="22"/>
                        </w:rPr>
                        <w:t>Tracy Soforenko, President</w:t>
                      </w:r>
                    </w:p>
                    <w:p w14:paraId="1EC44874" w14:textId="77777777" w:rsidR="001270ED" w:rsidRDefault="000B08AA">
                      <w:pPr>
                        <w:ind w:firstLine="720"/>
                        <w:textDirection w:val="btLr"/>
                      </w:pPr>
                      <w:r>
                        <w:rPr>
                          <w:rFonts w:ascii="Arial" w:eastAsia="Arial" w:hAnsi="Arial" w:cs="Arial"/>
                          <w:color w:val="000000"/>
                          <w:sz w:val="22"/>
                        </w:rPr>
                        <w:t>1511 North Jackson Street</w:t>
                      </w:r>
                    </w:p>
                    <w:p w14:paraId="1EC44875" w14:textId="77777777" w:rsidR="001270ED" w:rsidRDefault="000B08AA">
                      <w:pPr>
                        <w:ind w:firstLine="720"/>
                        <w:textDirection w:val="btLr"/>
                      </w:pPr>
                      <w:r>
                        <w:rPr>
                          <w:rFonts w:ascii="Arial" w:eastAsia="Arial" w:hAnsi="Arial" w:cs="Arial"/>
                          <w:color w:val="000000"/>
                          <w:sz w:val="22"/>
                        </w:rPr>
                        <w:t>Arlington, VA 22201</w:t>
                      </w:r>
                    </w:p>
                    <w:p w14:paraId="1EC44876" w14:textId="77777777" w:rsidR="001270ED" w:rsidRDefault="000B08AA">
                      <w:pPr>
                        <w:ind w:firstLine="720"/>
                        <w:textDirection w:val="btLr"/>
                      </w:pPr>
                      <w:r>
                        <w:rPr>
                          <w:rFonts w:ascii="Arial" w:eastAsia="Arial" w:hAnsi="Arial" w:cs="Arial"/>
                          <w:color w:val="000000"/>
                          <w:sz w:val="22"/>
                        </w:rPr>
                        <w:t>202-285-4595</w:t>
                      </w:r>
                    </w:p>
                    <w:p w14:paraId="1EC44877" w14:textId="77777777" w:rsidR="001270ED" w:rsidRDefault="000B08AA">
                      <w:pPr>
                        <w:ind w:firstLine="720"/>
                        <w:textDirection w:val="btLr"/>
                      </w:pPr>
                      <w:r>
                        <w:rPr>
                          <w:rFonts w:ascii="Arial" w:eastAsia="Arial" w:hAnsi="Arial" w:cs="Arial"/>
                          <w:color w:val="000000"/>
                          <w:sz w:val="22"/>
                        </w:rPr>
                        <w:t>tracy.soforenko@gmail.com</w:t>
                      </w:r>
                    </w:p>
                    <w:p w14:paraId="1EC44878" w14:textId="77777777" w:rsidR="001270ED" w:rsidRDefault="001270ED">
                      <w:pPr>
                        <w:textDirection w:val="btLr"/>
                      </w:pPr>
                    </w:p>
                  </w:txbxContent>
                </v:textbox>
              </v:rect>
            </w:pict>
          </mc:Fallback>
        </mc:AlternateContent>
      </w:r>
      <w:r w:rsidR="000B08AA">
        <w:rPr>
          <w:noProof/>
        </w:rPr>
        <mc:AlternateContent>
          <mc:Choice Requires="wps">
            <w:drawing>
              <wp:anchor distT="0" distB="0" distL="114300" distR="114300" simplePos="0" relativeHeight="251659264" behindDoc="0" locked="0" layoutInCell="1" hidden="0" allowOverlap="1" wp14:anchorId="1EC44868" wp14:editId="1EC44869">
                <wp:simplePos x="0" y="0"/>
                <wp:positionH relativeFrom="column">
                  <wp:posOffset>3810000</wp:posOffset>
                </wp:positionH>
                <wp:positionV relativeFrom="paragraph">
                  <wp:posOffset>-444499</wp:posOffset>
                </wp:positionV>
                <wp:extent cx="2574925" cy="1014730"/>
                <wp:effectExtent l="0" t="0" r="0" b="0"/>
                <wp:wrapNone/>
                <wp:docPr id="1" name="Rectangle 1"/>
                <wp:cNvGraphicFramePr/>
                <a:graphic xmlns:a="http://schemas.openxmlformats.org/drawingml/2006/main">
                  <a:graphicData uri="http://schemas.microsoft.com/office/word/2010/wordprocessingShape">
                    <wps:wsp>
                      <wps:cNvSpPr/>
                      <wps:spPr>
                        <a:xfrm>
                          <a:off x="4063300" y="3277398"/>
                          <a:ext cx="2565400" cy="1005205"/>
                        </a:xfrm>
                        <a:prstGeom prst="rect">
                          <a:avLst/>
                        </a:prstGeom>
                        <a:noFill/>
                        <a:ln>
                          <a:noFill/>
                        </a:ln>
                      </wps:spPr>
                      <wps:txbx>
                        <w:txbxContent>
                          <w:p w14:paraId="1EC44879" w14:textId="77777777" w:rsidR="001270ED" w:rsidRDefault="001270ED">
                            <w:pPr>
                              <w:ind w:firstLine="720"/>
                              <w:textDirection w:val="btLr"/>
                            </w:pPr>
                          </w:p>
                          <w:p w14:paraId="1EC4487A" w14:textId="77777777" w:rsidR="001270ED" w:rsidRDefault="001270ED">
                            <w:pPr>
                              <w:ind w:firstLine="720"/>
                              <w:textDirection w:val="btLr"/>
                            </w:pPr>
                          </w:p>
                          <w:p w14:paraId="1EC4487B" w14:textId="77777777" w:rsidR="001270ED" w:rsidRDefault="001270ED">
                            <w:pPr>
                              <w:textDirection w:val="btLr"/>
                            </w:pPr>
                          </w:p>
                          <w:p w14:paraId="445D76AC" w14:textId="77777777" w:rsidR="0027346F" w:rsidRDefault="0027346F"/>
                        </w:txbxContent>
                      </wps:txbx>
                      <wps:bodyPr spcFirstLastPara="1" wrap="square" lIns="91425" tIns="45700" rIns="91425" bIns="45700" anchor="t" anchorCtr="0">
                        <a:noAutofit/>
                      </wps:bodyPr>
                    </wps:wsp>
                  </a:graphicData>
                </a:graphic>
              </wp:anchor>
            </w:drawing>
          </mc:Choice>
          <mc:Fallback>
            <w:pict>
              <v:rect w14:anchorId="1EC44868" id="Rectangle 1" o:spid="_x0000_s1027" style="position:absolute;left:0;text-align:left;margin-left:300pt;margin-top:-35pt;width:202.75pt;height:7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" filled="f" stroked="f">
                <v:textbox inset="2.53958mm,1.2694mm,2.53958mm,1.2694mm">
                  <w:txbxContent>
                    <w:p w14:paraId="1EC44879" w14:textId="77777777" w:rsidR="001270ED" w:rsidRDefault="001270ED">
                      <w:pPr>
                        <w:ind w:firstLine="720"/>
                        <w:textDirection w:val="btLr"/>
                      </w:pPr>
                    </w:p>
                    <w:p w14:paraId="1EC4487A" w14:textId="77777777" w:rsidR="001270ED" w:rsidRDefault="001270ED">
                      <w:pPr>
                        <w:ind w:firstLine="720"/>
                        <w:textDirection w:val="btLr"/>
                      </w:pPr>
                    </w:p>
                    <w:p w14:paraId="1EC4487B" w14:textId="77777777" w:rsidR="001270ED" w:rsidRDefault="001270ED">
                      <w:pPr>
                        <w:textDirection w:val="btLr"/>
                      </w:pPr>
                    </w:p>
                    <w:p w14:paraId="445D76AC" w14:textId="77777777" w:rsidR="0027346F" w:rsidRDefault="0027346F"/>
                  </w:txbxContent>
                </v:textbox>
              </v:rect>
            </w:pict>
          </mc:Fallback>
        </mc:AlternateContent>
      </w:r>
      <w:r w:rsidR="000B08AA">
        <w:rPr>
          <w:noProof/>
        </w:rPr>
        <w:drawing>
          <wp:anchor distT="0" distB="0" distL="114300" distR="114300" simplePos="0" relativeHeight="251660288" behindDoc="0" locked="0" layoutInCell="1" hidden="0" allowOverlap="1" wp14:anchorId="1EC4486A" wp14:editId="1EC4486B">
            <wp:simplePos x="0" y="0"/>
            <wp:positionH relativeFrom="column">
              <wp:posOffset>-634</wp:posOffset>
            </wp:positionH>
            <wp:positionV relativeFrom="paragraph">
              <wp:posOffset>-613409</wp:posOffset>
            </wp:positionV>
            <wp:extent cx="2472055" cy="104775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72055" cy="1047750"/>
                    </a:xfrm>
                    <a:prstGeom prst="rect">
                      <a:avLst/>
                    </a:prstGeom>
                    <a:ln/>
                  </pic:spPr>
                </pic:pic>
              </a:graphicData>
            </a:graphic>
          </wp:anchor>
        </w:drawing>
      </w:r>
    </w:p>
    <w:p w14:paraId="1EC4483D" w14:textId="77777777" w:rsidR="001270ED" w:rsidRDefault="001270ED">
      <w:pPr>
        <w:jc w:val="center"/>
      </w:pPr>
    </w:p>
    <w:p w14:paraId="1EC4483E" w14:textId="77777777" w:rsidR="001270ED" w:rsidRDefault="001270ED">
      <w:pPr>
        <w:pBdr>
          <w:bottom w:val="single" w:sz="4" w:space="1" w:color="000000"/>
        </w:pBdr>
        <w:jc w:val="center"/>
      </w:pPr>
    </w:p>
    <w:p w14:paraId="1EC4483F" w14:textId="77777777" w:rsidR="001270ED" w:rsidRDefault="001270ED">
      <w:pPr>
        <w:jc w:val="center"/>
      </w:pPr>
    </w:p>
    <w:p w14:paraId="1EC44840" w14:textId="435451FA" w:rsidR="001270ED" w:rsidRPr="00F716EE" w:rsidRDefault="000B08AA">
      <w:pPr>
        <w:spacing w:after="280"/>
        <w:jc w:val="center"/>
        <w:rPr>
          <w:rFonts w:ascii="Arial" w:hAnsi="Arial" w:cs="Arial"/>
        </w:rPr>
      </w:pPr>
      <w:r w:rsidRPr="00F716EE">
        <w:rPr>
          <w:rFonts w:ascii="Arial" w:hAnsi="Arial" w:cs="Arial"/>
          <w:b/>
        </w:rPr>
        <w:t>202</w:t>
      </w:r>
      <w:r w:rsidR="00A4284E" w:rsidRPr="00F716EE">
        <w:rPr>
          <w:rFonts w:ascii="Arial" w:hAnsi="Arial" w:cs="Arial"/>
          <w:b/>
        </w:rPr>
        <w:t>5</w:t>
      </w:r>
      <w:r w:rsidRPr="00F716EE">
        <w:rPr>
          <w:rFonts w:ascii="Arial" w:hAnsi="Arial" w:cs="Arial"/>
          <w:b/>
        </w:rPr>
        <w:t xml:space="preserve"> LEGISLATIVE PRIORITIES FROM THE BLIND OF VIRGINIA</w:t>
      </w:r>
    </w:p>
    <w:p w14:paraId="1EC44841" w14:textId="68FE180E" w:rsidR="001270ED" w:rsidRDefault="000B08AA">
      <w:pPr>
        <w:pBdr>
          <w:top w:val="single" w:sz="4" w:space="1" w:color="000000"/>
          <w:left w:val="single" w:sz="4" w:space="4" w:color="000000"/>
          <w:bottom w:val="single" w:sz="4" w:space="1" w:color="000000"/>
          <w:right w:val="single" w:sz="4" w:space="4" w:color="000000"/>
        </w:pBdr>
        <w:rPr>
          <w:rFonts w:ascii="Arial" w:hAnsi="Arial" w:cs="Arial"/>
          <w:b/>
        </w:rPr>
      </w:pPr>
      <w:r w:rsidRPr="00F716EE">
        <w:rPr>
          <w:rFonts w:ascii="Arial" w:hAnsi="Arial" w:cs="Arial"/>
          <w:b/>
        </w:rPr>
        <w:t>Priority 1: Modernize governmental procurement of accessible technology</w:t>
      </w:r>
    </w:p>
    <w:p w14:paraId="4932EF64" w14:textId="77777777" w:rsidR="008027AB" w:rsidRPr="00274C65" w:rsidRDefault="008027AB">
      <w:pPr>
        <w:pBdr>
          <w:top w:val="single" w:sz="4" w:space="1" w:color="000000"/>
          <w:left w:val="single" w:sz="4" w:space="4" w:color="000000"/>
          <w:bottom w:val="single" w:sz="4" w:space="1" w:color="000000"/>
          <w:right w:val="single" w:sz="4" w:space="4" w:color="000000"/>
        </w:pBdr>
        <w:rPr>
          <w:rFonts w:ascii="Arial" w:hAnsi="Arial" w:cs="Arial"/>
        </w:rPr>
      </w:pPr>
    </w:p>
    <w:p w14:paraId="1EC44842" w14:textId="19BF76EE" w:rsidR="001270ED" w:rsidRPr="00F716EE" w:rsidRDefault="000B08AA">
      <w:pPr>
        <w:pBdr>
          <w:top w:val="single" w:sz="4" w:space="1" w:color="000000"/>
          <w:left w:val="single" w:sz="4" w:space="4" w:color="000000"/>
          <w:bottom w:val="single" w:sz="4" w:space="1" w:color="000000"/>
          <w:right w:val="single" w:sz="4" w:space="4" w:color="000000"/>
        </w:pBdr>
        <w:rPr>
          <w:rFonts w:ascii="Arial" w:hAnsi="Arial" w:cs="Arial"/>
        </w:rPr>
      </w:pPr>
      <w:r w:rsidRPr="00F716EE">
        <w:rPr>
          <w:rFonts w:ascii="Arial" w:hAnsi="Arial" w:cs="Arial"/>
          <w:b/>
        </w:rPr>
        <w:t xml:space="preserve">Action: Co-Sponsor H.B. </w:t>
      </w:r>
      <w:r w:rsidR="002E25DF" w:rsidRPr="00F716EE">
        <w:rPr>
          <w:rFonts w:ascii="Arial" w:hAnsi="Arial" w:cs="Arial"/>
          <w:b/>
        </w:rPr>
        <w:t xml:space="preserve">2541 </w:t>
      </w:r>
      <w:r w:rsidRPr="00F716EE">
        <w:rPr>
          <w:rFonts w:ascii="Arial" w:hAnsi="Arial" w:cs="Arial"/>
          <w:b/>
        </w:rPr>
        <w:t>(Del. Kathy Tran)</w:t>
      </w:r>
    </w:p>
    <w:p w14:paraId="1EC44845" w14:textId="77777777" w:rsidR="001270ED" w:rsidRPr="00F716EE" w:rsidRDefault="001270ED">
      <w:pPr>
        <w:jc w:val="both"/>
        <w:rPr>
          <w:rFonts w:ascii="Arial" w:hAnsi="Arial" w:cs="Arial"/>
        </w:rPr>
      </w:pPr>
    </w:p>
    <w:p w14:paraId="50AD7882" w14:textId="77777777" w:rsidR="00041DCE" w:rsidRDefault="000B08AA" w:rsidP="00041DCE">
      <w:pPr>
        <w:jc w:val="both"/>
        <w:rPr>
          <w:rFonts w:ascii="Arial" w:hAnsi="Arial" w:cs="Arial"/>
        </w:rPr>
      </w:pPr>
      <w:bookmarkStart w:id="0" w:name="_Hlk155700594"/>
      <w:r w:rsidRPr="00F716EE">
        <w:rPr>
          <w:rFonts w:ascii="Arial" w:hAnsi="Arial" w:cs="Arial"/>
          <w:b/>
          <w:bCs/>
          <w:u w:val="single"/>
        </w:rPr>
        <w:t>Issue</w:t>
      </w:r>
      <w:r w:rsidRPr="00F716EE">
        <w:rPr>
          <w:rFonts w:ascii="Arial" w:hAnsi="Arial" w:cs="Arial"/>
        </w:rPr>
        <w:t xml:space="preserve">: </w:t>
      </w:r>
      <w:bookmarkEnd w:id="0"/>
      <w:r w:rsidR="00041DCE" w:rsidRPr="00F716EE">
        <w:rPr>
          <w:rFonts w:ascii="Arial" w:hAnsi="Arial" w:cs="Arial"/>
        </w:rPr>
        <w:t>Virginia governmental entities often use technology that is inaccessible to individuals with disabilities. This creates barriers for essential activities such as voting, accessing critical information during emergencies, interacting with public services, and even finding someone in the government to speak to about accessibility issues. While regulations under the Americans with Disabilities Act (ADA) require website accessibility, Virginia’s Information Technology Access Act (ITAA), passed in 1999, is woefully outdated and does not align with current ADA requirements.</w:t>
      </w:r>
    </w:p>
    <w:p w14:paraId="7068A3CF" w14:textId="77777777" w:rsidR="00CA4D3E" w:rsidRDefault="00CA4D3E" w:rsidP="00041DCE">
      <w:pPr>
        <w:jc w:val="both"/>
        <w:rPr>
          <w:rFonts w:ascii="Arial" w:hAnsi="Arial" w:cs="Arial"/>
        </w:rPr>
      </w:pPr>
    </w:p>
    <w:p w14:paraId="2E03707D" w14:textId="419A6768" w:rsidR="00A309E2" w:rsidRDefault="00041DCE" w:rsidP="00041DCE">
      <w:pPr>
        <w:jc w:val="both"/>
        <w:rPr>
          <w:rFonts w:ascii="Arial" w:hAnsi="Arial" w:cs="Arial"/>
        </w:rPr>
      </w:pPr>
      <w:r w:rsidRPr="00F716EE">
        <w:rPr>
          <w:rFonts w:ascii="Arial" w:hAnsi="Arial" w:cs="Arial"/>
        </w:rPr>
        <w:t xml:space="preserve">In 2024, the General Assembly passed HB1355 in the House and referred it for further study by the Procurement Working Group. This study confirmed the need for updates and provided actionable recommendations to address accessibility </w:t>
      </w:r>
      <w:r w:rsidR="003744A8" w:rsidRPr="00F716EE">
        <w:rPr>
          <w:rFonts w:ascii="Arial" w:hAnsi="Arial" w:cs="Arial"/>
        </w:rPr>
        <w:t>gaps. The</w:t>
      </w:r>
      <w:r w:rsidRPr="00F716EE">
        <w:rPr>
          <w:rFonts w:ascii="Arial" w:hAnsi="Arial" w:cs="Arial"/>
        </w:rPr>
        <w:t xml:space="preserve"> study recommended:</w:t>
      </w:r>
    </w:p>
    <w:p w14:paraId="20A5009F" w14:textId="77777777" w:rsidR="00CA4D3E" w:rsidRPr="00F716EE" w:rsidRDefault="00CA4D3E" w:rsidP="00041DCE">
      <w:pPr>
        <w:jc w:val="both"/>
        <w:rPr>
          <w:rFonts w:ascii="Arial" w:hAnsi="Arial" w:cs="Arial"/>
        </w:rPr>
      </w:pPr>
    </w:p>
    <w:p w14:paraId="07D7CF11" w14:textId="4674F505" w:rsidR="00DE36D1" w:rsidRPr="00F716EE" w:rsidRDefault="00DE36D1" w:rsidP="008714F7">
      <w:pPr>
        <w:tabs>
          <w:tab w:val="left" w:pos="720"/>
          <w:tab w:val="left" w:pos="900"/>
          <w:tab w:val="left" w:pos="1440"/>
        </w:tabs>
        <w:ind w:left="720" w:hanging="720"/>
        <w:jc w:val="both"/>
        <w:rPr>
          <w:rFonts w:ascii="Arial" w:hAnsi="Arial" w:cs="Arial"/>
        </w:rPr>
      </w:pPr>
      <w:r w:rsidRPr="00F716EE">
        <w:rPr>
          <w:rFonts w:ascii="Arial" w:hAnsi="Arial" w:cs="Arial"/>
        </w:rPr>
        <w:t>●</w:t>
      </w:r>
      <w:r w:rsidRPr="00F716EE">
        <w:rPr>
          <w:rFonts w:ascii="Arial" w:hAnsi="Arial" w:cs="Arial"/>
        </w:rPr>
        <w:tab/>
        <w:t>Amending Chapter 35 of Title 2.2 to require compliance with Title II of the ADA for all</w:t>
      </w:r>
      <w:r w:rsidR="0066105C">
        <w:rPr>
          <w:rFonts w:ascii="Arial" w:hAnsi="Arial" w:cs="Arial"/>
        </w:rPr>
        <w:t xml:space="preserve"> </w:t>
      </w:r>
      <w:r w:rsidRPr="00F716EE">
        <w:rPr>
          <w:rFonts w:ascii="Arial" w:hAnsi="Arial" w:cs="Arial"/>
        </w:rPr>
        <w:t>covered entities, with timelines matching ADA standards.</w:t>
      </w:r>
    </w:p>
    <w:p w14:paraId="7D2F6576" w14:textId="77777777" w:rsidR="00DE36D1" w:rsidRPr="00F716EE" w:rsidRDefault="00DE36D1" w:rsidP="00DE36D1">
      <w:pPr>
        <w:jc w:val="both"/>
        <w:rPr>
          <w:rFonts w:ascii="Arial" w:hAnsi="Arial" w:cs="Arial"/>
        </w:rPr>
      </w:pPr>
      <w:r w:rsidRPr="00F716EE">
        <w:rPr>
          <w:rFonts w:ascii="Arial" w:hAnsi="Arial" w:cs="Arial"/>
        </w:rPr>
        <w:t>●</w:t>
      </w:r>
      <w:r w:rsidRPr="00F716EE">
        <w:rPr>
          <w:rFonts w:ascii="Arial" w:hAnsi="Arial" w:cs="Arial"/>
        </w:rPr>
        <w:tab/>
        <w:t>Expanding the definition of covered entities to include public schools.</w:t>
      </w:r>
    </w:p>
    <w:p w14:paraId="1E54591B" w14:textId="77777777" w:rsidR="00DE36D1" w:rsidRPr="00F716EE" w:rsidRDefault="00DE36D1" w:rsidP="00DE36D1">
      <w:pPr>
        <w:jc w:val="both"/>
        <w:rPr>
          <w:rFonts w:ascii="Arial" w:hAnsi="Arial" w:cs="Arial"/>
        </w:rPr>
      </w:pPr>
      <w:r w:rsidRPr="00F716EE">
        <w:rPr>
          <w:rFonts w:ascii="Arial" w:hAnsi="Arial" w:cs="Arial"/>
        </w:rPr>
        <w:t>●</w:t>
      </w:r>
      <w:r w:rsidRPr="00F716EE">
        <w:rPr>
          <w:rFonts w:ascii="Arial" w:hAnsi="Arial" w:cs="Arial"/>
        </w:rPr>
        <w:tab/>
        <w:t>Prioritizing accessibility for systems and applications used by the public.</w:t>
      </w:r>
    </w:p>
    <w:p w14:paraId="533D42F8" w14:textId="24EB1064" w:rsidR="00B35883" w:rsidRPr="00F716EE" w:rsidRDefault="00DE36D1" w:rsidP="00DE36D1">
      <w:pPr>
        <w:jc w:val="both"/>
        <w:rPr>
          <w:rFonts w:ascii="Arial" w:hAnsi="Arial" w:cs="Arial"/>
        </w:rPr>
      </w:pPr>
      <w:r w:rsidRPr="00F716EE">
        <w:rPr>
          <w:rFonts w:ascii="Arial" w:hAnsi="Arial" w:cs="Arial"/>
        </w:rPr>
        <w:t>●</w:t>
      </w:r>
      <w:r w:rsidRPr="00F716EE">
        <w:rPr>
          <w:rFonts w:ascii="Arial" w:hAnsi="Arial" w:cs="Arial"/>
        </w:rPr>
        <w:tab/>
        <w:t>Requiring agencies to publish contact information for reporting accessibility barriers.</w:t>
      </w:r>
    </w:p>
    <w:p w14:paraId="1EC4484B" w14:textId="77777777" w:rsidR="001270ED" w:rsidRPr="00F716EE" w:rsidRDefault="001270ED">
      <w:pPr>
        <w:jc w:val="both"/>
        <w:rPr>
          <w:rFonts w:ascii="Arial" w:hAnsi="Arial" w:cs="Arial"/>
        </w:rPr>
      </w:pPr>
    </w:p>
    <w:p w14:paraId="1EC44851" w14:textId="4FF052CD" w:rsidR="001270ED" w:rsidRPr="00F716EE" w:rsidRDefault="000B08AA">
      <w:pPr>
        <w:jc w:val="both"/>
        <w:rPr>
          <w:rFonts w:ascii="Arial" w:hAnsi="Arial" w:cs="Arial"/>
        </w:rPr>
      </w:pPr>
      <w:r w:rsidRPr="00F716EE">
        <w:rPr>
          <w:rFonts w:ascii="Arial" w:hAnsi="Arial" w:cs="Arial"/>
          <w:b/>
          <w:bCs/>
          <w:u w:val="single"/>
        </w:rPr>
        <w:t>Solution</w:t>
      </w:r>
      <w:r w:rsidRPr="00F716EE">
        <w:rPr>
          <w:rFonts w:ascii="Arial" w:hAnsi="Arial" w:cs="Arial"/>
        </w:rPr>
        <w:t xml:space="preserve">: </w:t>
      </w:r>
      <w:r w:rsidR="00376CFF" w:rsidRPr="00F716EE">
        <w:rPr>
          <w:rFonts w:ascii="Arial" w:hAnsi="Arial" w:cs="Arial"/>
        </w:rPr>
        <w:t xml:space="preserve">HB 2541 </w:t>
      </w:r>
      <w:r w:rsidR="00A6269B" w:rsidRPr="00F716EE">
        <w:rPr>
          <w:rFonts w:ascii="Arial" w:hAnsi="Arial" w:cs="Arial"/>
        </w:rPr>
        <w:t xml:space="preserve">incorporates these recommendations and modernizes the ITAA to align with federal laws, including the ADA, Section 504 of the Rehabilitation </w:t>
      </w:r>
      <w:r w:rsidR="00DA6EB8" w:rsidRPr="00F716EE">
        <w:rPr>
          <w:rFonts w:ascii="Arial" w:hAnsi="Arial" w:cs="Arial"/>
        </w:rPr>
        <w:t>Act,</w:t>
      </w:r>
      <w:r w:rsidR="00A6269B" w:rsidRPr="00F716EE">
        <w:rPr>
          <w:rFonts w:ascii="Arial" w:hAnsi="Arial" w:cs="Arial"/>
        </w:rPr>
        <w:t xml:space="preserve"> and the Individuals with Disabilities Education Act. It equips Virginia governmental entities with the necessary tools to comply with these laws as they purchase new technology. It does not create additional legal burdens but provides practical guidance for compliance.</w:t>
      </w:r>
      <w:r w:rsidR="000C7304">
        <w:rPr>
          <w:rFonts w:ascii="Arial" w:hAnsi="Arial" w:cs="Arial"/>
        </w:rPr>
        <w:t xml:space="preserve"> </w:t>
      </w:r>
      <w:r w:rsidR="00C67CBF" w:rsidRPr="00F716EE">
        <w:rPr>
          <w:rFonts w:ascii="Arial" w:hAnsi="Arial" w:cs="Arial"/>
        </w:rPr>
        <w:t>Key improvements</w:t>
      </w:r>
      <w:r w:rsidR="008714F7">
        <w:rPr>
          <w:rFonts w:ascii="Arial" w:hAnsi="Arial" w:cs="Arial"/>
        </w:rPr>
        <w:t xml:space="preserve"> include</w:t>
      </w:r>
      <w:r w:rsidR="00C67CBF" w:rsidRPr="00F716EE">
        <w:rPr>
          <w:rFonts w:ascii="Arial" w:hAnsi="Arial" w:cs="Arial"/>
        </w:rPr>
        <w:t>:</w:t>
      </w:r>
      <w:r w:rsidR="004C2EA9" w:rsidRPr="00F716EE">
        <w:rPr>
          <w:rFonts w:ascii="Arial" w:hAnsi="Arial" w:cs="Arial"/>
        </w:rPr>
        <w:t xml:space="preserve"> </w:t>
      </w:r>
    </w:p>
    <w:p w14:paraId="4FB8A934" w14:textId="5652EB5E" w:rsidR="003E68FF" w:rsidRPr="00F716EE" w:rsidRDefault="003E68FF" w:rsidP="003E68FF">
      <w:pPr>
        <w:jc w:val="both"/>
        <w:rPr>
          <w:rFonts w:ascii="Arial" w:hAnsi="Arial" w:cs="Arial"/>
        </w:rPr>
      </w:pPr>
      <w:r w:rsidRPr="00F716EE">
        <w:rPr>
          <w:rFonts w:ascii="Arial" w:hAnsi="Arial" w:cs="Arial"/>
        </w:rPr>
        <w:t>●</w:t>
      </w:r>
      <w:r w:rsidRPr="00F716EE">
        <w:rPr>
          <w:rFonts w:ascii="Arial" w:hAnsi="Arial" w:cs="Arial"/>
        </w:rPr>
        <w:tab/>
        <w:t>Extend</w:t>
      </w:r>
      <w:r w:rsidR="001E02A3">
        <w:rPr>
          <w:rFonts w:ascii="Arial" w:hAnsi="Arial" w:cs="Arial"/>
        </w:rPr>
        <w:t>ing</w:t>
      </w:r>
      <w:r w:rsidRPr="00F716EE">
        <w:rPr>
          <w:rFonts w:ascii="Arial" w:hAnsi="Arial" w:cs="Arial"/>
        </w:rPr>
        <w:t xml:space="preserve"> protections to all disabilities, not just blindness or low vision.</w:t>
      </w:r>
    </w:p>
    <w:p w14:paraId="7A400681" w14:textId="446028A6" w:rsidR="003E68FF" w:rsidRPr="00F716EE" w:rsidRDefault="003E68FF" w:rsidP="003E68FF">
      <w:pPr>
        <w:jc w:val="both"/>
        <w:rPr>
          <w:rFonts w:ascii="Arial" w:hAnsi="Arial" w:cs="Arial"/>
        </w:rPr>
      </w:pPr>
      <w:r w:rsidRPr="00F716EE">
        <w:rPr>
          <w:rFonts w:ascii="Arial" w:hAnsi="Arial" w:cs="Arial"/>
        </w:rPr>
        <w:t>●</w:t>
      </w:r>
      <w:r w:rsidRPr="00F716EE">
        <w:rPr>
          <w:rFonts w:ascii="Arial" w:hAnsi="Arial" w:cs="Arial"/>
        </w:rPr>
        <w:tab/>
      </w:r>
      <w:r w:rsidR="003B7F5F">
        <w:rPr>
          <w:rFonts w:ascii="Arial" w:hAnsi="Arial" w:cs="Arial"/>
        </w:rPr>
        <w:t xml:space="preserve">Including </w:t>
      </w:r>
      <w:r w:rsidRPr="00F716EE">
        <w:rPr>
          <w:rFonts w:ascii="Arial" w:hAnsi="Arial" w:cs="Arial"/>
        </w:rPr>
        <w:t>K-12 education to address the growing reliance on technology in schools.</w:t>
      </w:r>
    </w:p>
    <w:p w14:paraId="6A24DC22" w14:textId="7B2B1C29" w:rsidR="003E68FF" w:rsidRPr="00F716EE" w:rsidRDefault="003E68FF" w:rsidP="003E68FF">
      <w:pPr>
        <w:jc w:val="both"/>
        <w:rPr>
          <w:rFonts w:ascii="Arial" w:hAnsi="Arial" w:cs="Arial"/>
        </w:rPr>
      </w:pPr>
      <w:r w:rsidRPr="00F716EE">
        <w:rPr>
          <w:rFonts w:ascii="Arial" w:hAnsi="Arial" w:cs="Arial"/>
        </w:rPr>
        <w:t>●</w:t>
      </w:r>
      <w:r w:rsidRPr="00F716EE">
        <w:rPr>
          <w:rFonts w:ascii="Arial" w:hAnsi="Arial" w:cs="Arial"/>
        </w:rPr>
        <w:tab/>
        <w:t>Provid</w:t>
      </w:r>
      <w:r w:rsidR="001E02A3">
        <w:rPr>
          <w:rFonts w:ascii="Arial" w:hAnsi="Arial" w:cs="Arial"/>
        </w:rPr>
        <w:t>ing</w:t>
      </w:r>
      <w:r w:rsidRPr="00F716EE">
        <w:rPr>
          <w:rFonts w:ascii="Arial" w:hAnsi="Arial" w:cs="Arial"/>
        </w:rPr>
        <w:t xml:space="preserve"> a point of contact when an access barrier is identified.</w:t>
      </w:r>
    </w:p>
    <w:p w14:paraId="1EC44852" w14:textId="38C821DF" w:rsidR="004700B4" w:rsidRPr="00F716EE" w:rsidRDefault="004700B4">
      <w:pPr>
        <w:rPr>
          <w:rFonts w:ascii="Arial" w:hAnsi="Arial" w:cs="Arial"/>
        </w:rPr>
      </w:pPr>
      <w:r w:rsidRPr="00F716EE">
        <w:rPr>
          <w:rFonts w:ascii="Arial" w:hAnsi="Arial" w:cs="Arial"/>
        </w:rPr>
        <w:br w:type="page"/>
      </w:r>
    </w:p>
    <w:p w14:paraId="70C8397E" w14:textId="77777777" w:rsidR="001270ED" w:rsidRPr="00F716EE" w:rsidRDefault="001270ED">
      <w:pPr>
        <w:jc w:val="both"/>
        <w:rPr>
          <w:rFonts w:ascii="Arial" w:hAnsi="Arial" w:cs="Arial"/>
        </w:rPr>
      </w:pPr>
    </w:p>
    <w:p w14:paraId="1EC44853" w14:textId="297F81F5" w:rsidR="001270ED" w:rsidRDefault="000B08AA">
      <w:pPr>
        <w:pBdr>
          <w:top w:val="single" w:sz="4" w:space="1" w:color="000000"/>
          <w:left w:val="single" w:sz="4" w:space="4" w:color="000000"/>
          <w:bottom w:val="single" w:sz="4" w:space="1" w:color="000000"/>
          <w:right w:val="single" w:sz="4" w:space="4" w:color="000000"/>
        </w:pBdr>
        <w:rPr>
          <w:rFonts w:ascii="Arial" w:hAnsi="Arial" w:cs="Arial"/>
          <w:b/>
        </w:rPr>
      </w:pPr>
      <w:r w:rsidRPr="00F716EE">
        <w:rPr>
          <w:rFonts w:ascii="Arial" w:hAnsi="Arial" w:cs="Arial"/>
          <w:b/>
        </w:rPr>
        <w:t xml:space="preserve">Priority 2: </w:t>
      </w:r>
      <w:r w:rsidR="003674A0" w:rsidRPr="00F716EE">
        <w:rPr>
          <w:rFonts w:ascii="Arial" w:hAnsi="Arial" w:cs="Arial"/>
          <w:b/>
        </w:rPr>
        <w:t xml:space="preserve">Website Access under the </w:t>
      </w:r>
      <w:r w:rsidR="00705947" w:rsidRPr="00F716EE">
        <w:rPr>
          <w:rFonts w:ascii="Arial" w:hAnsi="Arial" w:cs="Arial"/>
          <w:b/>
        </w:rPr>
        <w:t xml:space="preserve">Virginians </w:t>
      </w:r>
      <w:r w:rsidR="003674A0" w:rsidRPr="00F716EE">
        <w:rPr>
          <w:rFonts w:ascii="Arial" w:hAnsi="Arial" w:cs="Arial"/>
          <w:b/>
        </w:rPr>
        <w:t xml:space="preserve">with Disabilities </w:t>
      </w:r>
      <w:r w:rsidR="00705947" w:rsidRPr="00F716EE">
        <w:rPr>
          <w:rFonts w:ascii="Arial" w:hAnsi="Arial" w:cs="Arial"/>
          <w:b/>
        </w:rPr>
        <w:t>Act</w:t>
      </w:r>
      <w:r w:rsidR="00A20F90" w:rsidRPr="00F716EE">
        <w:rPr>
          <w:rFonts w:ascii="Arial" w:hAnsi="Arial" w:cs="Arial"/>
          <w:b/>
        </w:rPr>
        <w:t>: Technical Amendment</w:t>
      </w:r>
      <w:r w:rsidRPr="00F716EE">
        <w:rPr>
          <w:rFonts w:ascii="Arial" w:hAnsi="Arial" w:cs="Arial"/>
          <w:b/>
        </w:rPr>
        <w:t xml:space="preserve"> </w:t>
      </w:r>
    </w:p>
    <w:p w14:paraId="35D9D450" w14:textId="77777777" w:rsidR="001E02A3" w:rsidRPr="00F716EE" w:rsidRDefault="001E02A3">
      <w:pPr>
        <w:pBdr>
          <w:top w:val="single" w:sz="4" w:space="1" w:color="000000"/>
          <w:left w:val="single" w:sz="4" w:space="4" w:color="000000"/>
          <w:bottom w:val="single" w:sz="4" w:space="1" w:color="000000"/>
          <w:right w:val="single" w:sz="4" w:space="4" w:color="000000"/>
        </w:pBdr>
        <w:rPr>
          <w:rFonts w:ascii="Arial" w:hAnsi="Arial" w:cs="Arial"/>
        </w:rPr>
      </w:pPr>
    </w:p>
    <w:p w14:paraId="1EC44854" w14:textId="7EB3B2B5" w:rsidR="001270ED" w:rsidRPr="00F716EE" w:rsidRDefault="000B08AA">
      <w:pPr>
        <w:pBdr>
          <w:top w:val="single" w:sz="4" w:space="1" w:color="000000"/>
          <w:left w:val="single" w:sz="4" w:space="4" w:color="000000"/>
          <w:bottom w:val="single" w:sz="4" w:space="1" w:color="000000"/>
          <w:right w:val="single" w:sz="4" w:space="4" w:color="000000"/>
        </w:pBdr>
        <w:rPr>
          <w:rFonts w:ascii="Arial" w:hAnsi="Arial" w:cs="Arial"/>
        </w:rPr>
      </w:pPr>
      <w:r w:rsidRPr="00F716EE">
        <w:rPr>
          <w:rFonts w:ascii="Arial" w:hAnsi="Arial" w:cs="Arial"/>
          <w:b/>
        </w:rPr>
        <w:t xml:space="preserve">Action: Co-Sponsor H.B. </w:t>
      </w:r>
      <w:r w:rsidR="000E4BE1" w:rsidRPr="00F716EE">
        <w:rPr>
          <w:rFonts w:ascii="Arial" w:hAnsi="Arial" w:cs="Arial"/>
          <w:b/>
        </w:rPr>
        <w:t>1680</w:t>
      </w:r>
      <w:r w:rsidRPr="00F716EE">
        <w:rPr>
          <w:rFonts w:ascii="Arial" w:hAnsi="Arial" w:cs="Arial"/>
          <w:b/>
        </w:rPr>
        <w:t xml:space="preserve">(Del. </w:t>
      </w:r>
      <w:r w:rsidR="000E4BE1" w:rsidRPr="00F716EE">
        <w:rPr>
          <w:rFonts w:ascii="Arial" w:hAnsi="Arial" w:cs="Arial"/>
          <w:b/>
        </w:rPr>
        <w:t>Laura Jane Cohen</w:t>
      </w:r>
      <w:r w:rsidRPr="00F716EE">
        <w:rPr>
          <w:rFonts w:ascii="Arial" w:hAnsi="Arial" w:cs="Arial"/>
          <w:b/>
        </w:rPr>
        <w:t>)</w:t>
      </w:r>
    </w:p>
    <w:p w14:paraId="1EC44855" w14:textId="77777777" w:rsidR="001270ED" w:rsidRPr="00F716EE" w:rsidRDefault="001270ED">
      <w:pPr>
        <w:rPr>
          <w:rFonts w:ascii="Arial" w:hAnsi="Arial" w:cs="Arial"/>
        </w:rPr>
      </w:pPr>
    </w:p>
    <w:p w14:paraId="77FCE181" w14:textId="48A8C2C1" w:rsidR="00B30C30" w:rsidRPr="00F716EE" w:rsidRDefault="00644826" w:rsidP="00097F0D">
      <w:pPr>
        <w:jc w:val="both"/>
        <w:rPr>
          <w:rFonts w:ascii="Arial" w:hAnsi="Arial" w:cs="Arial"/>
          <w:color w:val="000000"/>
        </w:rPr>
      </w:pPr>
      <w:r w:rsidRPr="00F716EE">
        <w:rPr>
          <w:rFonts w:ascii="Arial" w:hAnsi="Arial" w:cs="Arial"/>
          <w:b/>
          <w:bCs/>
          <w:color w:val="000000"/>
          <w:u w:val="single"/>
        </w:rPr>
        <w:t>I</w:t>
      </w:r>
      <w:r w:rsidR="000B08AA" w:rsidRPr="00F716EE">
        <w:rPr>
          <w:rFonts w:ascii="Arial" w:hAnsi="Arial" w:cs="Arial"/>
          <w:b/>
          <w:bCs/>
          <w:color w:val="000000"/>
          <w:u w:val="single"/>
        </w:rPr>
        <w:t>ssue</w:t>
      </w:r>
      <w:r w:rsidR="000B08AA" w:rsidRPr="00F716EE">
        <w:rPr>
          <w:rFonts w:ascii="Arial" w:hAnsi="Arial" w:cs="Arial"/>
          <w:color w:val="000000"/>
        </w:rPr>
        <w:t xml:space="preserve">: </w:t>
      </w:r>
      <w:r w:rsidR="00717111" w:rsidRPr="00F716EE">
        <w:rPr>
          <w:rFonts w:ascii="Arial" w:hAnsi="Arial" w:cs="Arial"/>
          <w:color w:val="000000"/>
        </w:rPr>
        <w:t>Websites and mobile applications are an essential part of modern living. Millions of individuals with disabilities rely on them for shopping, accessing services, and obtaining information</w:t>
      </w:r>
      <w:r w:rsidR="00837509" w:rsidRPr="00F716EE">
        <w:rPr>
          <w:rFonts w:ascii="Arial" w:hAnsi="Arial" w:cs="Arial"/>
          <w:color w:val="000000"/>
        </w:rPr>
        <w:t xml:space="preserve">. </w:t>
      </w:r>
      <w:r w:rsidR="00717111" w:rsidRPr="00F716EE">
        <w:rPr>
          <w:rFonts w:ascii="Arial" w:hAnsi="Arial" w:cs="Arial"/>
          <w:color w:val="000000"/>
        </w:rPr>
        <w:t xml:space="preserve">    While the ADA regulations mandate accessibility, Virginia’s current Virginians with Disabilities Act does not include websites in its definition of "Place of Public Accommodation” making it inconsistent with federal law. </w:t>
      </w:r>
    </w:p>
    <w:p w14:paraId="4C6D6CF5" w14:textId="77777777" w:rsidR="00097F0D" w:rsidRPr="00F716EE" w:rsidRDefault="00097F0D" w:rsidP="00097F0D">
      <w:pPr>
        <w:jc w:val="both"/>
        <w:rPr>
          <w:rFonts w:ascii="Arial" w:hAnsi="Arial" w:cs="Arial"/>
        </w:rPr>
      </w:pPr>
    </w:p>
    <w:p w14:paraId="63BF5EA4" w14:textId="13A2DB2E" w:rsidR="006259E0" w:rsidRDefault="000B08AA" w:rsidP="001E02A3">
      <w:pPr>
        <w:jc w:val="both"/>
        <w:rPr>
          <w:rFonts w:ascii="Arial" w:hAnsi="Arial" w:cs="Arial"/>
        </w:rPr>
      </w:pPr>
      <w:r w:rsidRPr="00F716EE">
        <w:rPr>
          <w:rFonts w:ascii="Arial" w:hAnsi="Arial" w:cs="Arial"/>
          <w:b/>
          <w:bCs/>
          <w:u w:val="single"/>
        </w:rPr>
        <w:t>Solution</w:t>
      </w:r>
      <w:r w:rsidRPr="00F716EE">
        <w:rPr>
          <w:rFonts w:ascii="Arial" w:hAnsi="Arial" w:cs="Arial"/>
        </w:rPr>
        <w:t xml:space="preserve">: </w:t>
      </w:r>
      <w:r w:rsidR="000B1EE3" w:rsidRPr="00F716EE">
        <w:rPr>
          <w:rFonts w:ascii="Arial" w:hAnsi="Arial" w:cs="Arial"/>
        </w:rPr>
        <w:t>HB 1680 is a technical amendment that makes the Virginians with Disabilities Act consistent with the Americans with Disabilities Act by adding “websites” to the definition of place of Public Accommodation.</w:t>
      </w:r>
    </w:p>
    <w:p w14:paraId="64D95369" w14:textId="77777777" w:rsidR="001E02A3" w:rsidRPr="00F716EE" w:rsidRDefault="001E02A3" w:rsidP="001E02A3">
      <w:pPr>
        <w:jc w:val="both"/>
        <w:rPr>
          <w:rFonts w:ascii="Arial" w:hAnsi="Arial" w:cs="Arial"/>
        </w:rPr>
      </w:pPr>
    </w:p>
    <w:p w14:paraId="1EC44864" w14:textId="77777777" w:rsidR="001270ED" w:rsidRPr="00F716EE" w:rsidRDefault="000B08AA">
      <w:pPr>
        <w:spacing w:before="240" w:after="240"/>
        <w:jc w:val="center"/>
        <w:rPr>
          <w:rFonts w:ascii="Arial" w:hAnsi="Arial" w:cs="Arial"/>
        </w:rPr>
      </w:pPr>
      <w:r w:rsidRPr="00F716EE">
        <w:rPr>
          <w:rFonts w:ascii="Arial" w:hAnsi="Arial" w:cs="Arial"/>
          <w:b/>
        </w:rPr>
        <w:t>ABOUT THE NATIONAL FEDERATION OF THE BLIND</w:t>
      </w:r>
    </w:p>
    <w:p w14:paraId="1EC44865" w14:textId="1722E1C0" w:rsidR="001270ED" w:rsidRPr="003136C1" w:rsidRDefault="000B08AA">
      <w:pPr>
        <w:jc w:val="both"/>
        <w:rPr>
          <w:rFonts w:ascii="Arial" w:hAnsi="Arial" w:cs="Arial"/>
          <w:u w:val="single"/>
        </w:rPr>
      </w:pPr>
      <w:r w:rsidRPr="003136C1">
        <w:rPr>
          <w:rFonts w:ascii="Arial" w:hAnsi="Arial" w:cs="Arial"/>
        </w:rPr>
        <w:t>The National Federation of the Blind is America’s largest and most active organization of blind people. With tens of thousands of members nationwide, we are not an “agency” claiming to speak for the blind; we are blind people speaking for ourselves. In Virginia, we are organized into 1</w:t>
      </w:r>
      <w:r w:rsidR="005A1012" w:rsidRPr="003136C1">
        <w:rPr>
          <w:rFonts w:ascii="Arial" w:hAnsi="Arial" w:cs="Arial"/>
        </w:rPr>
        <w:t>2</w:t>
      </w:r>
      <w:r w:rsidRPr="003136C1">
        <w:rPr>
          <w:rFonts w:ascii="Arial" w:hAnsi="Arial" w:cs="Arial"/>
        </w:rPr>
        <w:t xml:space="preserve"> local chapters throughout the Commonwealth, and into various special interest divisions.</w:t>
      </w:r>
    </w:p>
    <w:sectPr w:rsidR="001270ED" w:rsidRPr="003136C1">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8BF4" w14:textId="77777777" w:rsidR="00324227" w:rsidRDefault="00324227">
      <w:r>
        <w:separator/>
      </w:r>
    </w:p>
  </w:endnote>
  <w:endnote w:type="continuationSeparator" w:id="0">
    <w:p w14:paraId="1FE51B37" w14:textId="77777777" w:rsidR="00324227" w:rsidRDefault="0032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486F" w14:textId="77777777" w:rsidR="001270ED" w:rsidRDefault="001270E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4870" w14:textId="77777777" w:rsidR="001270ED" w:rsidRDefault="001270E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4872" w14:textId="77777777" w:rsidR="001270ED" w:rsidRDefault="001270E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64FB" w14:textId="77777777" w:rsidR="00324227" w:rsidRDefault="00324227">
      <w:r>
        <w:separator/>
      </w:r>
    </w:p>
  </w:footnote>
  <w:footnote w:type="continuationSeparator" w:id="0">
    <w:p w14:paraId="7D7843FC" w14:textId="77777777" w:rsidR="00324227" w:rsidRDefault="0032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486D" w14:textId="77777777" w:rsidR="001270ED" w:rsidRDefault="001270E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486E" w14:textId="77777777" w:rsidR="001270ED" w:rsidRDefault="001270E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4871" w14:textId="77777777" w:rsidR="001270ED" w:rsidRDefault="001270E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ED"/>
    <w:rsid w:val="0003737D"/>
    <w:rsid w:val="00041DCE"/>
    <w:rsid w:val="00052414"/>
    <w:rsid w:val="00065AB4"/>
    <w:rsid w:val="00097F0D"/>
    <w:rsid w:val="000A1684"/>
    <w:rsid w:val="000A7373"/>
    <w:rsid w:val="000B08AA"/>
    <w:rsid w:val="000B1EE3"/>
    <w:rsid w:val="000B70E9"/>
    <w:rsid w:val="000C7304"/>
    <w:rsid w:val="000E4BE1"/>
    <w:rsid w:val="000F6701"/>
    <w:rsid w:val="00106B65"/>
    <w:rsid w:val="001270ED"/>
    <w:rsid w:val="00157A00"/>
    <w:rsid w:val="0018347A"/>
    <w:rsid w:val="001836E5"/>
    <w:rsid w:val="001B080C"/>
    <w:rsid w:val="001E02A3"/>
    <w:rsid w:val="001F4331"/>
    <w:rsid w:val="0020381F"/>
    <w:rsid w:val="0020476B"/>
    <w:rsid w:val="00233E99"/>
    <w:rsid w:val="00236ACC"/>
    <w:rsid w:val="00237DC9"/>
    <w:rsid w:val="0024785C"/>
    <w:rsid w:val="00265D09"/>
    <w:rsid w:val="00266F39"/>
    <w:rsid w:val="0027346F"/>
    <w:rsid w:val="00274C65"/>
    <w:rsid w:val="0027685C"/>
    <w:rsid w:val="002E25DF"/>
    <w:rsid w:val="002E69A8"/>
    <w:rsid w:val="002F3CCE"/>
    <w:rsid w:val="003136C1"/>
    <w:rsid w:val="00324227"/>
    <w:rsid w:val="00346B0F"/>
    <w:rsid w:val="003536EA"/>
    <w:rsid w:val="003669C5"/>
    <w:rsid w:val="003674A0"/>
    <w:rsid w:val="003744A8"/>
    <w:rsid w:val="00376CFF"/>
    <w:rsid w:val="00381E3A"/>
    <w:rsid w:val="003B7F5F"/>
    <w:rsid w:val="003C60ED"/>
    <w:rsid w:val="003E68FF"/>
    <w:rsid w:val="004078DF"/>
    <w:rsid w:val="00422844"/>
    <w:rsid w:val="00431C69"/>
    <w:rsid w:val="004700B4"/>
    <w:rsid w:val="0047172A"/>
    <w:rsid w:val="004C04F5"/>
    <w:rsid w:val="004C2EA9"/>
    <w:rsid w:val="004D6019"/>
    <w:rsid w:val="004E78B5"/>
    <w:rsid w:val="005171BE"/>
    <w:rsid w:val="005542C2"/>
    <w:rsid w:val="005550DB"/>
    <w:rsid w:val="005A1012"/>
    <w:rsid w:val="005B58BB"/>
    <w:rsid w:val="005C1C37"/>
    <w:rsid w:val="006259E0"/>
    <w:rsid w:val="00644826"/>
    <w:rsid w:val="0066105C"/>
    <w:rsid w:val="00685908"/>
    <w:rsid w:val="006C2B51"/>
    <w:rsid w:val="006F302A"/>
    <w:rsid w:val="006F6EDE"/>
    <w:rsid w:val="007049CA"/>
    <w:rsid w:val="00705947"/>
    <w:rsid w:val="00706567"/>
    <w:rsid w:val="00717111"/>
    <w:rsid w:val="007242B0"/>
    <w:rsid w:val="00753826"/>
    <w:rsid w:val="007732F4"/>
    <w:rsid w:val="00792CF7"/>
    <w:rsid w:val="007A5C37"/>
    <w:rsid w:val="007F7F2C"/>
    <w:rsid w:val="008027AB"/>
    <w:rsid w:val="00805258"/>
    <w:rsid w:val="00832DB5"/>
    <w:rsid w:val="008342D8"/>
    <w:rsid w:val="00835B49"/>
    <w:rsid w:val="00837509"/>
    <w:rsid w:val="008714F7"/>
    <w:rsid w:val="008874CF"/>
    <w:rsid w:val="00891C7A"/>
    <w:rsid w:val="008C692B"/>
    <w:rsid w:val="008D6056"/>
    <w:rsid w:val="00933373"/>
    <w:rsid w:val="009466AA"/>
    <w:rsid w:val="00984F3E"/>
    <w:rsid w:val="009A3A6D"/>
    <w:rsid w:val="009A6277"/>
    <w:rsid w:val="009E3435"/>
    <w:rsid w:val="009E6C68"/>
    <w:rsid w:val="00A11F03"/>
    <w:rsid w:val="00A16417"/>
    <w:rsid w:val="00A20EC6"/>
    <w:rsid w:val="00A20F90"/>
    <w:rsid w:val="00A2429D"/>
    <w:rsid w:val="00A309E2"/>
    <w:rsid w:val="00A4284E"/>
    <w:rsid w:val="00A6269B"/>
    <w:rsid w:val="00A63B75"/>
    <w:rsid w:val="00A72C40"/>
    <w:rsid w:val="00A74B4F"/>
    <w:rsid w:val="00AA3E69"/>
    <w:rsid w:val="00AA6B47"/>
    <w:rsid w:val="00AE2BDB"/>
    <w:rsid w:val="00B30C30"/>
    <w:rsid w:val="00B35883"/>
    <w:rsid w:val="00B4113E"/>
    <w:rsid w:val="00B41FB6"/>
    <w:rsid w:val="00B507B0"/>
    <w:rsid w:val="00B77BAA"/>
    <w:rsid w:val="00B81135"/>
    <w:rsid w:val="00BA1E81"/>
    <w:rsid w:val="00BC64C0"/>
    <w:rsid w:val="00BD2AEA"/>
    <w:rsid w:val="00C14B8F"/>
    <w:rsid w:val="00C465B1"/>
    <w:rsid w:val="00C67CBF"/>
    <w:rsid w:val="00C76825"/>
    <w:rsid w:val="00C963C9"/>
    <w:rsid w:val="00C96727"/>
    <w:rsid w:val="00CA4D3E"/>
    <w:rsid w:val="00CA5648"/>
    <w:rsid w:val="00CC17CD"/>
    <w:rsid w:val="00D022DF"/>
    <w:rsid w:val="00D304D4"/>
    <w:rsid w:val="00D30D8D"/>
    <w:rsid w:val="00D33CA2"/>
    <w:rsid w:val="00D87A44"/>
    <w:rsid w:val="00DA6021"/>
    <w:rsid w:val="00DA6EB8"/>
    <w:rsid w:val="00DC2B8F"/>
    <w:rsid w:val="00DE36D1"/>
    <w:rsid w:val="00E129C8"/>
    <w:rsid w:val="00E21565"/>
    <w:rsid w:val="00E47DF7"/>
    <w:rsid w:val="00E539A6"/>
    <w:rsid w:val="00E81E76"/>
    <w:rsid w:val="00E87B7B"/>
    <w:rsid w:val="00EA6092"/>
    <w:rsid w:val="00F05A68"/>
    <w:rsid w:val="00F124A6"/>
    <w:rsid w:val="00F22E63"/>
    <w:rsid w:val="00F2448A"/>
    <w:rsid w:val="00F2651E"/>
    <w:rsid w:val="00F503A0"/>
    <w:rsid w:val="00F716EE"/>
    <w:rsid w:val="00F92579"/>
    <w:rsid w:val="00FB1603"/>
    <w:rsid w:val="00FB329C"/>
    <w:rsid w:val="00FD2AA7"/>
    <w:rsid w:val="00FE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483B"/>
  <w15:docId w15:val="{E20A8CFE-F76D-4BC6-A75F-E4EAB7AD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Appel</dc:creator>
  <cp:lastModifiedBy>Jacki B</cp:lastModifiedBy>
  <cp:revision>2</cp:revision>
  <cp:lastPrinted>2025-01-16T00:35:00Z</cp:lastPrinted>
  <dcterms:created xsi:type="dcterms:W3CDTF">2025-01-16T22:59:00Z</dcterms:created>
  <dcterms:modified xsi:type="dcterms:W3CDTF">2025-01-16T22:59:00Z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ContentBits">
    <vt:lpwstr>0</vt:lpwstr>
  </property>
  <property fmtid="{D5CDD505-2E9C-101B-9397-08002B2CF9AE}" pid="3" name="MSIP_Label_42e67a54-274b-43d7-8098-b3ba5f50e576_SetDate">
    <vt:lpwstr>2022-12-26T16:40:28Z</vt:lpwstr>
  </property>
  <property fmtid="{D5CDD505-2E9C-101B-9397-08002B2CF9AE}" pid="4" name="Matter">
    <vt:lpwstr>MANNERDE</vt:lpwstr>
  </property>
  <property fmtid="{D5CDD505-2E9C-101B-9397-08002B2CF9AE}" pid="5" name="MSIP_Label_42e67a54-274b-43d7-8098-b3ba5f50e576_Enabled">
    <vt:lpwstr>true</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Name">
    <vt:lpwstr>42e67a54-274b-43d7-8098-b3ba5f50e576</vt:lpwstr>
  </property>
  <property fmtid="{D5CDD505-2E9C-101B-9397-08002B2CF9AE}" pid="8" name="cpDocRef">
    <vt:lpwstr>NYP1: 2004344245.1</vt:lpwstr>
  </property>
  <property fmtid="{D5CDD505-2E9C-101B-9397-08002B2CF9AE}" pid="9" name="Client">
    <vt:lpwstr>PERSONAL</vt:lpwstr>
  </property>
  <property fmtid="{D5CDD505-2E9C-101B-9397-08002B2CF9AE}" pid="10" name="MSIP_Label_42e67a54-274b-43d7-8098-b3ba5f50e576_ActionId">
    <vt:lpwstr>72f01d63-be60-4cbe-9492-ce753aea7837</vt:lpwstr>
  </property>
  <property fmtid="{D5CDD505-2E9C-101B-9397-08002B2CF9AE}" pid="11" name="cpClientMatter">
    <vt:lpwstr>PERSONAL-MANNERDE</vt:lpwstr>
  </property>
  <property fmtid="{D5CDD505-2E9C-101B-9397-08002B2CF9AE}" pid="12" name="MSIP_Label_42e67a54-274b-43d7-8098-b3ba5f50e576_Method">
    <vt:lpwstr>Standard</vt:lpwstr>
  </property>
  <property fmtid="{D5CDD505-2E9C-101B-9397-08002B2CF9AE}" pid="13" name="cpCombinedRef">
    <vt:lpwstr>PERSONAL-MANNERDE NYP1: 2004344245.1</vt:lpwstr>
  </property>
</Properties>
</file>