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F9" w:rsidRPr="004776AF" w:rsidRDefault="004776AF">
      <w:pPr>
        <w:rPr>
          <w:sz w:val="28"/>
          <w:szCs w:val="28"/>
        </w:rPr>
      </w:pPr>
      <w:r w:rsidRPr="004776AF">
        <w:rPr>
          <w:sz w:val="28"/>
          <w:szCs w:val="28"/>
        </w:rPr>
        <w:t xml:space="preserve">Chapter 1 </w:t>
      </w:r>
      <w:r>
        <w:rPr>
          <w:sz w:val="28"/>
          <w:szCs w:val="28"/>
        </w:rPr>
        <w:t xml:space="preserve">- </w:t>
      </w:r>
      <w:r w:rsidRPr="004776AF">
        <w:rPr>
          <w:sz w:val="28"/>
          <w:szCs w:val="28"/>
        </w:rPr>
        <w:t>Capital Offense</w:t>
      </w:r>
    </w:p>
    <w:p w:rsidR="004776AF" w:rsidRPr="004776AF" w:rsidRDefault="004776AF">
      <w:pPr>
        <w:rPr>
          <w:sz w:val="28"/>
          <w:szCs w:val="28"/>
        </w:rPr>
      </w:pPr>
      <w:r w:rsidRPr="004776AF">
        <w:rPr>
          <w:sz w:val="28"/>
          <w:szCs w:val="28"/>
        </w:rPr>
        <w:t xml:space="preserve">Chapter 2 </w:t>
      </w:r>
      <w:r>
        <w:rPr>
          <w:sz w:val="28"/>
          <w:szCs w:val="28"/>
        </w:rPr>
        <w:t xml:space="preserve">- </w:t>
      </w:r>
      <w:r w:rsidRPr="004776AF">
        <w:rPr>
          <w:sz w:val="28"/>
          <w:szCs w:val="28"/>
        </w:rPr>
        <w:t>All American</w:t>
      </w:r>
    </w:p>
    <w:p w:rsidR="004776AF" w:rsidRDefault="004776AF">
      <w:pPr>
        <w:rPr>
          <w:sz w:val="28"/>
          <w:szCs w:val="28"/>
        </w:rPr>
      </w:pPr>
      <w:r>
        <w:rPr>
          <w:sz w:val="28"/>
          <w:szCs w:val="28"/>
        </w:rPr>
        <w:t>c</w:t>
      </w:r>
      <w:r w:rsidRPr="004776AF">
        <w:rPr>
          <w:sz w:val="28"/>
          <w:szCs w:val="28"/>
        </w:rPr>
        <w:t>hangeup – a slow pitch in baseball thrown with the same motion as a fastball in order to deceive the batter.</w:t>
      </w:r>
    </w:p>
    <w:p w:rsidR="004776AF" w:rsidRDefault="004776AF">
      <w:pPr>
        <w:rPr>
          <w:sz w:val="28"/>
          <w:szCs w:val="28"/>
        </w:rPr>
      </w:pPr>
      <w:r>
        <w:rPr>
          <w:sz w:val="28"/>
          <w:szCs w:val="28"/>
        </w:rPr>
        <w:t>Chapter 3 - A Two Year Test Drive</w:t>
      </w:r>
    </w:p>
    <w:p w:rsidR="004776AF" w:rsidRDefault="004776AF">
      <w:pPr>
        <w:rPr>
          <w:sz w:val="28"/>
          <w:szCs w:val="28"/>
        </w:rPr>
      </w:pPr>
      <w:r>
        <w:rPr>
          <w:sz w:val="28"/>
          <w:szCs w:val="28"/>
        </w:rPr>
        <w:t>Chapter 4 – The Cooler Killer</w:t>
      </w:r>
    </w:p>
    <w:p w:rsidR="004776AF" w:rsidRDefault="004776AF">
      <w:pPr>
        <w:rPr>
          <w:sz w:val="28"/>
          <w:szCs w:val="28"/>
        </w:rPr>
      </w:pPr>
      <w:r>
        <w:rPr>
          <w:sz w:val="28"/>
          <w:szCs w:val="28"/>
        </w:rPr>
        <w:t>Chapter 5 – Premeditated</w:t>
      </w:r>
    </w:p>
    <w:p w:rsidR="004776AF" w:rsidRDefault="004776AF">
      <w:pPr>
        <w:rPr>
          <w:sz w:val="28"/>
          <w:szCs w:val="28"/>
        </w:rPr>
      </w:pPr>
      <w:r>
        <w:rPr>
          <w:sz w:val="28"/>
          <w:szCs w:val="28"/>
        </w:rPr>
        <w:t>Chapter 6 – The Whole Truth</w:t>
      </w:r>
    </w:p>
    <w:p w:rsidR="004776AF" w:rsidRDefault="004776AF">
      <w:pPr>
        <w:rPr>
          <w:sz w:val="28"/>
          <w:szCs w:val="28"/>
        </w:rPr>
      </w:pPr>
      <w:r>
        <w:rPr>
          <w:sz w:val="28"/>
          <w:szCs w:val="28"/>
        </w:rPr>
        <w:t>Chapter 7 – Conviction, Conviction, Conviction</w:t>
      </w:r>
    </w:p>
    <w:p w:rsidR="004776AF" w:rsidRDefault="004776AF">
      <w:pPr>
        <w:rPr>
          <w:sz w:val="28"/>
          <w:szCs w:val="28"/>
        </w:rPr>
      </w:pPr>
      <w:r>
        <w:rPr>
          <w:sz w:val="28"/>
          <w:szCs w:val="28"/>
        </w:rPr>
        <w:t>depredations</w:t>
      </w:r>
      <w:r w:rsidR="00F433D9">
        <w:rPr>
          <w:sz w:val="28"/>
          <w:szCs w:val="28"/>
        </w:rPr>
        <w:t xml:space="preserve"> - plunder</w:t>
      </w:r>
    </w:p>
    <w:p w:rsidR="004776AF" w:rsidRDefault="00DE6EA5">
      <w:pPr>
        <w:rPr>
          <w:sz w:val="28"/>
          <w:szCs w:val="28"/>
        </w:rPr>
      </w:pPr>
      <w:r>
        <w:rPr>
          <w:sz w:val="28"/>
          <w:szCs w:val="28"/>
        </w:rPr>
        <w:t>Chapter 8 – Keep Your Mouth Shut</w:t>
      </w:r>
    </w:p>
    <w:p w:rsidR="00DE6EA5" w:rsidRDefault="00F433D9">
      <w:pPr>
        <w:rPr>
          <w:sz w:val="28"/>
          <w:szCs w:val="28"/>
        </w:rPr>
      </w:pPr>
      <w:r>
        <w:rPr>
          <w:sz w:val="28"/>
          <w:szCs w:val="28"/>
        </w:rPr>
        <w:t>c</w:t>
      </w:r>
      <w:r w:rsidR="00DE6EA5">
        <w:rPr>
          <w:sz w:val="28"/>
          <w:szCs w:val="28"/>
        </w:rPr>
        <w:t>ommissary</w:t>
      </w:r>
      <w:r>
        <w:rPr>
          <w:sz w:val="28"/>
          <w:szCs w:val="28"/>
        </w:rPr>
        <w:t xml:space="preserve"> – food supplies</w:t>
      </w:r>
    </w:p>
    <w:p w:rsidR="00DE6EA5" w:rsidRDefault="00DE6EA5">
      <w:pPr>
        <w:rPr>
          <w:sz w:val="28"/>
          <w:szCs w:val="28"/>
        </w:rPr>
      </w:pPr>
      <w:r>
        <w:rPr>
          <w:sz w:val="28"/>
          <w:szCs w:val="28"/>
        </w:rPr>
        <w:t>Chapter 9 – On Appeal</w:t>
      </w:r>
    </w:p>
    <w:p w:rsidR="00F433D9" w:rsidRPr="00B80A00" w:rsidRDefault="00B80A00">
      <w:pPr>
        <w:rPr>
          <w:rFonts w:cstheme="minorHAnsi"/>
          <w:sz w:val="28"/>
          <w:szCs w:val="28"/>
        </w:rPr>
      </w:pPr>
      <w:r w:rsidRPr="00B80A00">
        <w:rPr>
          <w:rFonts w:cstheme="minorHAnsi"/>
          <w:b/>
          <w:bCs/>
          <w:color w:val="222222"/>
          <w:sz w:val="28"/>
          <w:szCs w:val="28"/>
        </w:rPr>
        <w:t>Spackle</w:t>
      </w:r>
      <w:r w:rsidRPr="00B80A00">
        <w:rPr>
          <w:rFonts w:cstheme="minorHAnsi"/>
          <w:color w:val="222222"/>
          <w:sz w:val="28"/>
          <w:szCs w:val="28"/>
        </w:rPr>
        <w:t xml:space="preserve"> is a</w:t>
      </w:r>
      <w:bookmarkStart w:id="0" w:name="_GoBack"/>
      <w:bookmarkEnd w:id="0"/>
      <w:r w:rsidRPr="00B80A00">
        <w:rPr>
          <w:rFonts w:cstheme="minorHAnsi"/>
          <w:color w:val="222222"/>
          <w:sz w:val="28"/>
          <w:szCs w:val="28"/>
        </w:rPr>
        <w:t xml:space="preserve"> registered trademark </w:t>
      </w:r>
      <w:r w:rsidRPr="00B80A00">
        <w:rPr>
          <w:rFonts w:cstheme="minorHAnsi"/>
          <w:b/>
          <w:bCs/>
          <w:color w:val="222222"/>
          <w:sz w:val="28"/>
          <w:szCs w:val="28"/>
        </w:rPr>
        <w:t>of</w:t>
      </w:r>
      <w:r w:rsidRPr="00B80A00">
        <w:rPr>
          <w:rFonts w:cstheme="minorHAnsi"/>
          <w:color w:val="222222"/>
          <w:sz w:val="28"/>
          <w:szCs w:val="28"/>
        </w:rPr>
        <w:t xml:space="preserve"> the Muralo </w:t>
      </w:r>
      <w:r w:rsidRPr="00B80A00">
        <w:rPr>
          <w:rFonts w:cstheme="minorHAnsi"/>
          <w:b/>
          <w:bCs/>
          <w:color w:val="222222"/>
          <w:sz w:val="28"/>
          <w:szCs w:val="28"/>
        </w:rPr>
        <w:t>Company</w:t>
      </w:r>
      <w:r w:rsidRPr="00B80A00">
        <w:rPr>
          <w:rFonts w:cstheme="minorHAnsi"/>
          <w:color w:val="222222"/>
          <w:sz w:val="28"/>
          <w:szCs w:val="28"/>
        </w:rPr>
        <w:t>, located in Bayonne, New Jersey. Muralo's product is dry powder, to be mixed with water by the user to form putty or paste. ... The term "</w:t>
      </w:r>
      <w:r w:rsidRPr="00B80A00">
        <w:rPr>
          <w:rFonts w:cstheme="minorHAnsi"/>
          <w:b/>
          <w:bCs/>
          <w:color w:val="222222"/>
          <w:sz w:val="28"/>
          <w:szCs w:val="28"/>
        </w:rPr>
        <w:t>spackle</w:t>
      </w:r>
      <w:r w:rsidRPr="00B80A00">
        <w:rPr>
          <w:rFonts w:cstheme="minorHAnsi"/>
          <w:color w:val="222222"/>
          <w:sz w:val="28"/>
          <w:szCs w:val="28"/>
        </w:rPr>
        <w:t xml:space="preserve">" has since become a genericized trademark applied in the United States to a variety </w:t>
      </w:r>
      <w:r w:rsidRPr="00B80A00">
        <w:rPr>
          <w:rFonts w:cstheme="minorHAnsi"/>
          <w:b/>
          <w:bCs/>
          <w:color w:val="222222"/>
          <w:sz w:val="28"/>
          <w:szCs w:val="28"/>
        </w:rPr>
        <w:t>of</w:t>
      </w:r>
      <w:r w:rsidRPr="00B80A00">
        <w:rPr>
          <w:rFonts w:cstheme="minorHAnsi"/>
          <w:color w:val="222222"/>
          <w:sz w:val="28"/>
          <w:szCs w:val="28"/>
        </w:rPr>
        <w:t xml:space="preserve"> household hole-filling products.</w:t>
      </w:r>
    </w:p>
    <w:p w:rsidR="00DE6EA5" w:rsidRDefault="00F433D9">
      <w:pPr>
        <w:rPr>
          <w:sz w:val="28"/>
          <w:szCs w:val="28"/>
        </w:rPr>
      </w:pPr>
      <w:r>
        <w:rPr>
          <w:sz w:val="28"/>
          <w:szCs w:val="28"/>
        </w:rPr>
        <w:t>Ch</w:t>
      </w:r>
      <w:r w:rsidR="00DE6EA5">
        <w:rPr>
          <w:sz w:val="28"/>
          <w:szCs w:val="28"/>
        </w:rPr>
        <w:t>apter 10 – The Death Squad</w:t>
      </w:r>
    </w:p>
    <w:p w:rsidR="00DE6EA5" w:rsidRDefault="00DE6EA5">
      <w:pPr>
        <w:rPr>
          <w:sz w:val="28"/>
          <w:szCs w:val="28"/>
        </w:rPr>
      </w:pPr>
      <w:r>
        <w:rPr>
          <w:sz w:val="28"/>
          <w:szCs w:val="28"/>
        </w:rPr>
        <w:t>Santha Sonnenberg – new attorney</w:t>
      </w:r>
    </w:p>
    <w:p w:rsidR="00DE6EA5" w:rsidRDefault="00DE6EA5">
      <w:pPr>
        <w:rPr>
          <w:sz w:val="28"/>
          <w:szCs w:val="28"/>
        </w:rPr>
      </w:pPr>
      <w:r>
        <w:rPr>
          <w:sz w:val="28"/>
          <w:szCs w:val="28"/>
        </w:rPr>
        <w:t>Chapter 11 – Waiting to Die</w:t>
      </w:r>
    </w:p>
    <w:p w:rsidR="00DE6EA5" w:rsidRDefault="00DE6EA5">
      <w:pPr>
        <w:rPr>
          <w:sz w:val="28"/>
          <w:szCs w:val="28"/>
        </w:rPr>
      </w:pPr>
      <w:r>
        <w:rPr>
          <w:sz w:val="28"/>
          <w:szCs w:val="28"/>
        </w:rPr>
        <w:t>My breath caught – another way of saying ‘I caught my breath’</w:t>
      </w:r>
    </w:p>
    <w:p w:rsidR="00DE6EA5" w:rsidRDefault="00DE6EA5">
      <w:pPr>
        <w:rPr>
          <w:sz w:val="28"/>
          <w:szCs w:val="28"/>
        </w:rPr>
      </w:pPr>
      <w:r>
        <w:rPr>
          <w:sz w:val="28"/>
          <w:szCs w:val="28"/>
        </w:rPr>
        <w:t>Chapter 12 - The Queen of England</w:t>
      </w:r>
    </w:p>
    <w:p w:rsidR="00DE6EA5" w:rsidRDefault="00DE6EA5">
      <w:pPr>
        <w:rPr>
          <w:sz w:val="28"/>
          <w:szCs w:val="28"/>
        </w:rPr>
      </w:pPr>
      <w:r>
        <w:rPr>
          <w:sz w:val="28"/>
          <w:szCs w:val="28"/>
        </w:rPr>
        <w:lastRenderedPageBreak/>
        <w:t xml:space="preserve">Judicial override </w:t>
      </w:r>
      <w:r w:rsidR="00A2704E">
        <w:rPr>
          <w:sz w:val="28"/>
          <w:szCs w:val="28"/>
        </w:rPr>
        <w:t>–</w:t>
      </w:r>
    </w:p>
    <w:p w:rsidR="00A2704E" w:rsidRPr="00A2704E" w:rsidRDefault="00A2704E" w:rsidP="00A2704E">
      <w:pPr>
        <w:pStyle w:val="NormalWeb"/>
        <w:spacing w:before="0" w:beforeAutospacing="0" w:after="300" w:afterAutospacing="0"/>
        <w:rPr>
          <w:rFonts w:asciiTheme="minorHAnsi" w:hAnsiTheme="minorHAnsi" w:cstheme="minorHAnsi"/>
          <w:color w:val="333333"/>
          <w:sz w:val="28"/>
          <w:szCs w:val="28"/>
        </w:rPr>
      </w:pPr>
      <w:r w:rsidRPr="00A2704E">
        <w:rPr>
          <w:rFonts w:asciiTheme="minorHAnsi" w:hAnsiTheme="minorHAnsi" w:cstheme="minorHAnsi"/>
          <w:color w:val="333333"/>
          <w:sz w:val="28"/>
          <w:szCs w:val="28"/>
        </w:rPr>
        <w:t xml:space="preserve">April 4, 2017 - </w:t>
      </w:r>
      <w:r w:rsidRPr="00A2704E">
        <w:rPr>
          <w:rFonts w:asciiTheme="minorHAnsi" w:hAnsiTheme="minorHAnsi" w:cstheme="minorHAnsi"/>
          <w:color w:val="333333"/>
          <w:sz w:val="28"/>
          <w:szCs w:val="28"/>
        </w:rPr>
        <w:t>The Alabama legislature today passed a bill that ends the practice of judicial override in death penalty cases.</w:t>
      </w:r>
    </w:p>
    <w:p w:rsidR="00A2704E" w:rsidRPr="00A2704E" w:rsidRDefault="00A2704E" w:rsidP="00A2704E">
      <w:pPr>
        <w:pStyle w:val="NormalWeb"/>
        <w:spacing w:before="0" w:beforeAutospacing="0" w:after="300" w:afterAutospacing="0"/>
        <w:rPr>
          <w:rFonts w:asciiTheme="minorHAnsi" w:hAnsiTheme="minorHAnsi" w:cstheme="minorHAnsi"/>
          <w:color w:val="333333"/>
          <w:sz w:val="28"/>
          <w:szCs w:val="28"/>
        </w:rPr>
      </w:pPr>
      <w:r w:rsidRPr="00A2704E">
        <w:rPr>
          <w:rFonts w:asciiTheme="minorHAnsi" w:hAnsiTheme="minorHAnsi" w:cstheme="minorHAnsi"/>
          <w:color w:val="333333"/>
          <w:sz w:val="28"/>
          <w:szCs w:val="28"/>
        </w:rPr>
        <w:t>No capital sentencing procedure in the United States has come under more criticism as unreliable, unpredictable, and arbitrary than the unique Alabama practice of permitting elected trial judges to override jury verdicts of life and impose death sentences.</w:t>
      </w:r>
    </w:p>
    <w:p w:rsidR="00A2704E" w:rsidRPr="00A2704E" w:rsidRDefault="00A2704E" w:rsidP="00A2704E">
      <w:pPr>
        <w:pStyle w:val="NormalWeb"/>
        <w:spacing w:before="0" w:beforeAutospacing="0" w:after="300" w:afterAutospacing="0"/>
        <w:rPr>
          <w:rFonts w:asciiTheme="minorHAnsi" w:hAnsiTheme="minorHAnsi" w:cstheme="minorHAnsi"/>
          <w:color w:val="333333"/>
          <w:sz w:val="28"/>
          <w:szCs w:val="28"/>
        </w:rPr>
      </w:pPr>
      <w:r w:rsidRPr="00A2704E">
        <w:rPr>
          <w:rFonts w:asciiTheme="minorHAnsi" w:hAnsiTheme="minorHAnsi" w:cstheme="minorHAnsi"/>
          <w:color w:val="333333"/>
          <w:sz w:val="28"/>
          <w:szCs w:val="28"/>
        </w:rPr>
        <w:t>Alabama is the only state where judges have routinely overridden jury verdicts of life to impose death sentences. Since 1976, Alabama judges have overridden jury life verdicts over one hundred times.</w:t>
      </w:r>
    </w:p>
    <w:p w:rsidR="00DE6EA5" w:rsidRDefault="00DE6EA5">
      <w:pPr>
        <w:rPr>
          <w:sz w:val="28"/>
          <w:szCs w:val="28"/>
        </w:rPr>
      </w:pPr>
      <w:r>
        <w:rPr>
          <w:sz w:val="28"/>
          <w:szCs w:val="28"/>
        </w:rPr>
        <w:t>Chapter 13 – No Monsters</w:t>
      </w:r>
    </w:p>
    <w:p w:rsidR="00DE6EA5" w:rsidRDefault="00DE6EA5">
      <w:pPr>
        <w:rPr>
          <w:sz w:val="28"/>
          <w:szCs w:val="28"/>
        </w:rPr>
      </w:pPr>
      <w:r>
        <w:rPr>
          <w:sz w:val="28"/>
          <w:szCs w:val="28"/>
        </w:rPr>
        <w:t xml:space="preserve">voir dire – </w:t>
      </w:r>
      <w:r w:rsidRPr="00DE6EA5">
        <w:rPr>
          <w:sz w:val="28"/>
          <w:szCs w:val="28"/>
        </w:rPr>
        <w:t>a preliminary examination to determine the competency of a witness or juror</w:t>
      </w:r>
    </w:p>
    <w:p w:rsidR="00DE6EA5" w:rsidRDefault="00DE6EA5">
      <w:pPr>
        <w:rPr>
          <w:sz w:val="28"/>
          <w:szCs w:val="28"/>
        </w:rPr>
      </w:pPr>
      <w:r>
        <w:rPr>
          <w:sz w:val="28"/>
          <w:szCs w:val="28"/>
        </w:rPr>
        <w:t>abrogate – to abolish by authoritative action, annul</w:t>
      </w:r>
    </w:p>
    <w:p w:rsidR="00DE6EA5" w:rsidRDefault="00DE6EA5">
      <w:pPr>
        <w:rPr>
          <w:sz w:val="28"/>
          <w:szCs w:val="28"/>
        </w:rPr>
      </w:pPr>
      <w:r>
        <w:rPr>
          <w:sz w:val="28"/>
          <w:szCs w:val="28"/>
        </w:rPr>
        <w:t>Chapter 14 – Love is a Foreign Language</w:t>
      </w:r>
    </w:p>
    <w:p w:rsidR="00DE6EA5" w:rsidRDefault="00DE6EA5">
      <w:pPr>
        <w:rPr>
          <w:sz w:val="28"/>
          <w:szCs w:val="28"/>
        </w:rPr>
      </w:pPr>
      <w:r>
        <w:rPr>
          <w:sz w:val="28"/>
          <w:szCs w:val="28"/>
        </w:rPr>
        <w:t>Chapter 15 – Go Tell It on the Mountain</w:t>
      </w:r>
    </w:p>
    <w:p w:rsidR="00DE6EA5" w:rsidRDefault="00633A6C">
      <w:pPr>
        <w:rPr>
          <w:sz w:val="28"/>
          <w:szCs w:val="28"/>
        </w:rPr>
      </w:pPr>
      <w:r>
        <w:rPr>
          <w:sz w:val="28"/>
          <w:szCs w:val="28"/>
        </w:rPr>
        <w:t>Sisyphus is the man who repeatedly pushed a boulder up the hill.</w:t>
      </w:r>
    </w:p>
    <w:p w:rsidR="00633A6C" w:rsidRDefault="00633A6C">
      <w:pPr>
        <w:rPr>
          <w:sz w:val="28"/>
          <w:szCs w:val="28"/>
        </w:rPr>
      </w:pPr>
      <w:r>
        <w:rPr>
          <w:sz w:val="28"/>
          <w:szCs w:val="28"/>
        </w:rPr>
        <w:t>Chapter 16 – Shakedown</w:t>
      </w:r>
    </w:p>
    <w:p w:rsidR="00633A6C" w:rsidRDefault="00633A6C">
      <w:pPr>
        <w:rPr>
          <w:sz w:val="28"/>
          <w:szCs w:val="28"/>
        </w:rPr>
      </w:pPr>
      <w:r>
        <w:rPr>
          <w:sz w:val="28"/>
          <w:szCs w:val="28"/>
        </w:rPr>
        <w:t>Chapter 17 – God’s Best Lawyer</w:t>
      </w:r>
    </w:p>
    <w:p w:rsidR="00633A6C" w:rsidRDefault="00633A6C">
      <w:pPr>
        <w:rPr>
          <w:sz w:val="28"/>
          <w:szCs w:val="28"/>
        </w:rPr>
      </w:pPr>
      <w:r>
        <w:rPr>
          <w:sz w:val="28"/>
          <w:szCs w:val="28"/>
        </w:rPr>
        <w:t>EJI – Equal Justice Initiative</w:t>
      </w:r>
    </w:p>
    <w:p w:rsidR="00633A6C" w:rsidRDefault="00633A6C">
      <w:pPr>
        <w:rPr>
          <w:sz w:val="28"/>
          <w:szCs w:val="28"/>
        </w:rPr>
      </w:pPr>
      <w:r>
        <w:rPr>
          <w:sz w:val="28"/>
          <w:szCs w:val="28"/>
        </w:rPr>
        <w:t>Chapter 18 – Testing the Bullets</w:t>
      </w:r>
    </w:p>
    <w:p w:rsidR="00633A6C" w:rsidRDefault="00633A6C">
      <w:pPr>
        <w:rPr>
          <w:sz w:val="28"/>
          <w:szCs w:val="28"/>
        </w:rPr>
      </w:pPr>
      <w:r>
        <w:rPr>
          <w:sz w:val="28"/>
          <w:szCs w:val="28"/>
        </w:rPr>
        <w:t>Chapter 19 - Empty Chairs</w:t>
      </w:r>
    </w:p>
    <w:p w:rsidR="00633A6C" w:rsidRDefault="00633A6C">
      <w:pPr>
        <w:rPr>
          <w:sz w:val="28"/>
          <w:szCs w:val="28"/>
        </w:rPr>
      </w:pPr>
      <w:r>
        <w:rPr>
          <w:sz w:val="28"/>
          <w:szCs w:val="28"/>
        </w:rPr>
        <w:t>writ of mandamus</w:t>
      </w:r>
      <w:r w:rsidR="00B80A00">
        <w:rPr>
          <w:sz w:val="28"/>
          <w:szCs w:val="28"/>
        </w:rPr>
        <w:t xml:space="preserve"> -</w:t>
      </w:r>
      <w:r w:rsidRPr="00633A6C">
        <w:rPr>
          <w:sz w:val="28"/>
          <w:szCs w:val="28"/>
        </w:rPr>
        <w:t xml:space="preserve"> a writ issued by a superior court commanding the performance of a specified official act or duty</w:t>
      </w:r>
    </w:p>
    <w:p w:rsidR="00633A6C" w:rsidRDefault="00633A6C">
      <w:pPr>
        <w:rPr>
          <w:sz w:val="28"/>
          <w:szCs w:val="28"/>
        </w:rPr>
      </w:pPr>
      <w:r>
        <w:rPr>
          <w:sz w:val="28"/>
          <w:szCs w:val="28"/>
        </w:rPr>
        <w:t xml:space="preserve">cognizable - </w:t>
      </w:r>
      <w:r w:rsidRPr="00633A6C">
        <w:rPr>
          <w:sz w:val="28"/>
          <w:szCs w:val="28"/>
        </w:rPr>
        <w:t>capable of being judicially heard and determined</w:t>
      </w:r>
    </w:p>
    <w:p w:rsidR="00DE6EA5" w:rsidRDefault="00633A6C">
      <w:pPr>
        <w:rPr>
          <w:sz w:val="28"/>
          <w:szCs w:val="28"/>
        </w:rPr>
      </w:pPr>
      <w:r>
        <w:rPr>
          <w:sz w:val="28"/>
          <w:szCs w:val="28"/>
        </w:rPr>
        <w:lastRenderedPageBreak/>
        <w:t xml:space="preserve">habeus corpus - </w:t>
      </w:r>
      <w:r w:rsidRPr="00633A6C">
        <w:rPr>
          <w:sz w:val="28"/>
          <w:szCs w:val="28"/>
        </w:rPr>
        <w:t>any of several common-law writs issued to bring a party before a court or judge</w:t>
      </w:r>
    </w:p>
    <w:p w:rsidR="00633A6C" w:rsidRDefault="00633A6C">
      <w:pPr>
        <w:rPr>
          <w:sz w:val="28"/>
          <w:szCs w:val="28"/>
        </w:rPr>
      </w:pPr>
      <w:r>
        <w:rPr>
          <w:sz w:val="28"/>
          <w:szCs w:val="28"/>
        </w:rPr>
        <w:t>Chapter 20 – Dissent</w:t>
      </w:r>
    </w:p>
    <w:p w:rsidR="00633A6C" w:rsidRDefault="00633A6C">
      <w:pPr>
        <w:rPr>
          <w:sz w:val="28"/>
          <w:szCs w:val="28"/>
        </w:rPr>
      </w:pPr>
      <w:r>
        <w:rPr>
          <w:sz w:val="28"/>
          <w:szCs w:val="28"/>
        </w:rPr>
        <w:t>Chapter 21 – They Kill You on Thursday</w:t>
      </w:r>
    </w:p>
    <w:p w:rsidR="00633A6C" w:rsidRDefault="00633A6C">
      <w:pPr>
        <w:rPr>
          <w:sz w:val="28"/>
          <w:szCs w:val="28"/>
        </w:rPr>
      </w:pPr>
      <w:r>
        <w:rPr>
          <w:sz w:val="28"/>
          <w:szCs w:val="28"/>
        </w:rPr>
        <w:t>Chapter 22 – Justice for All</w:t>
      </w:r>
    </w:p>
    <w:p w:rsidR="00633A6C" w:rsidRDefault="00633A6C">
      <w:pPr>
        <w:rPr>
          <w:rFonts w:cstheme="minorHAnsi"/>
          <w:color w:val="222222"/>
          <w:sz w:val="28"/>
          <w:szCs w:val="28"/>
        </w:rPr>
      </w:pPr>
      <w:r w:rsidRPr="00633A6C">
        <w:rPr>
          <w:rFonts w:cstheme="minorHAnsi"/>
          <w:sz w:val="28"/>
          <w:szCs w:val="28"/>
        </w:rPr>
        <w:t xml:space="preserve">Forma pauperis - </w:t>
      </w:r>
      <w:r w:rsidRPr="00633A6C">
        <w:rPr>
          <w:rFonts w:cstheme="minorHAnsi"/>
          <w:color w:val="222222"/>
          <w:sz w:val="28"/>
          <w:szCs w:val="28"/>
        </w:rPr>
        <w:t>a Latin term meaning "in the form of a pauper," referring to a party to a lawsuit who gets filing fees waived by filing a statement, often in the form of an affidavit, declaring the inability to pay</w:t>
      </w:r>
    </w:p>
    <w:p w:rsidR="005A1753" w:rsidRDefault="005A1753">
      <w:pPr>
        <w:rPr>
          <w:rFonts w:cstheme="minorHAnsi"/>
          <w:color w:val="222222"/>
          <w:sz w:val="28"/>
          <w:szCs w:val="28"/>
        </w:rPr>
      </w:pPr>
      <w:r>
        <w:rPr>
          <w:rFonts w:cstheme="minorHAnsi"/>
          <w:color w:val="222222"/>
          <w:sz w:val="28"/>
          <w:szCs w:val="28"/>
        </w:rPr>
        <w:t xml:space="preserve">remand - </w:t>
      </w:r>
      <w:r w:rsidRPr="005A1753">
        <w:rPr>
          <w:rFonts w:cstheme="minorHAnsi"/>
          <w:color w:val="222222"/>
          <w:sz w:val="28"/>
          <w:szCs w:val="28"/>
        </w:rPr>
        <w:t>to send back (a case) to another court or agency for further action</w:t>
      </w:r>
    </w:p>
    <w:p w:rsidR="005A1753" w:rsidRDefault="005A1753">
      <w:pPr>
        <w:rPr>
          <w:rFonts w:cstheme="minorHAnsi"/>
          <w:color w:val="222222"/>
          <w:sz w:val="28"/>
          <w:szCs w:val="28"/>
        </w:rPr>
      </w:pPr>
      <w:r>
        <w:rPr>
          <w:rFonts w:cstheme="minorHAnsi"/>
          <w:color w:val="222222"/>
          <w:sz w:val="28"/>
          <w:szCs w:val="28"/>
        </w:rPr>
        <w:t>Chapter 23 – The Sun Does Shine</w:t>
      </w:r>
    </w:p>
    <w:p w:rsidR="005A1753" w:rsidRDefault="005A1753">
      <w:pPr>
        <w:rPr>
          <w:rFonts w:cstheme="minorHAnsi"/>
          <w:color w:val="222222"/>
          <w:sz w:val="28"/>
          <w:szCs w:val="28"/>
        </w:rPr>
      </w:pPr>
      <w:r>
        <w:rPr>
          <w:rFonts w:cstheme="minorHAnsi"/>
          <w:color w:val="222222"/>
          <w:sz w:val="28"/>
          <w:szCs w:val="28"/>
        </w:rPr>
        <w:t>Chapter 24 – Bang on the Bars</w:t>
      </w:r>
    </w:p>
    <w:p w:rsidR="005A1753" w:rsidRDefault="005A1753">
      <w:pPr>
        <w:rPr>
          <w:rFonts w:cstheme="minorHAnsi"/>
          <w:color w:val="222222"/>
          <w:sz w:val="28"/>
          <w:szCs w:val="28"/>
        </w:rPr>
      </w:pPr>
      <w:r>
        <w:rPr>
          <w:rFonts w:cstheme="minorHAnsi"/>
          <w:color w:val="222222"/>
          <w:sz w:val="28"/>
          <w:szCs w:val="28"/>
        </w:rPr>
        <w:t xml:space="preserve">People ask me how I can stay in Alabama. Why wouldn’t I leave? Alabama is my home. </w:t>
      </w:r>
    </w:p>
    <w:p w:rsidR="005A1753" w:rsidRDefault="005A1753">
      <w:pPr>
        <w:rPr>
          <w:rFonts w:cstheme="minorHAnsi"/>
          <w:color w:val="222222"/>
          <w:sz w:val="28"/>
          <w:szCs w:val="28"/>
        </w:rPr>
      </w:pPr>
      <w:r>
        <w:rPr>
          <w:rFonts w:cstheme="minorHAnsi"/>
          <w:color w:val="222222"/>
          <w:sz w:val="28"/>
          <w:szCs w:val="28"/>
        </w:rPr>
        <w:t>I think the question should refer to a contrary situation “Why would I leave?”</w:t>
      </w:r>
    </w:p>
    <w:p w:rsidR="00B80A00" w:rsidRDefault="00B80A00">
      <w:pPr>
        <w:rPr>
          <w:rFonts w:cstheme="minorHAnsi"/>
          <w:color w:val="222222"/>
          <w:sz w:val="28"/>
          <w:szCs w:val="28"/>
        </w:rPr>
      </w:pPr>
      <w:r>
        <w:rPr>
          <w:rFonts w:cstheme="minorHAnsi"/>
          <w:color w:val="222222"/>
          <w:sz w:val="28"/>
          <w:szCs w:val="28"/>
        </w:rPr>
        <w:t>Afterword – Pray for Them by Name</w:t>
      </w:r>
    </w:p>
    <w:p w:rsidR="00B80A00" w:rsidRPr="00633A6C" w:rsidRDefault="00B80A00">
      <w:pPr>
        <w:rPr>
          <w:rFonts w:cstheme="minorHAnsi"/>
          <w:sz w:val="28"/>
          <w:szCs w:val="28"/>
        </w:rPr>
      </w:pPr>
      <w:r>
        <w:rPr>
          <w:rFonts w:cstheme="minorHAnsi"/>
          <w:color w:val="222222"/>
          <w:sz w:val="28"/>
          <w:szCs w:val="28"/>
        </w:rPr>
        <w:t>Note that the most frequent name is Williams – not Smith or Jones</w:t>
      </w:r>
    </w:p>
    <w:sectPr w:rsidR="00B80A00" w:rsidRPr="00633A6C" w:rsidSect="00744139">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53" w:rsidRDefault="00537553" w:rsidP="004776AF">
      <w:pPr>
        <w:spacing w:after="0" w:line="240" w:lineRule="auto"/>
      </w:pPr>
      <w:r>
        <w:separator/>
      </w:r>
    </w:p>
  </w:endnote>
  <w:endnote w:type="continuationSeparator" w:id="0">
    <w:p w:rsidR="00537553" w:rsidRDefault="00537553" w:rsidP="004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39" w:rsidRDefault="00744139">
    <w:pPr>
      <w:pStyle w:val="Footer"/>
      <w:jc w:val="center"/>
    </w:pPr>
    <w:r>
      <w:t xml:space="preserve">Page </w:t>
    </w:r>
    <w:sdt>
      <w:sdtPr>
        <w:id w:val="-18086230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4E94">
          <w:rPr>
            <w:noProof/>
          </w:rPr>
          <w:t>1</w:t>
        </w:r>
        <w:r>
          <w:rPr>
            <w:noProof/>
          </w:rPr>
          <w:fldChar w:fldCharType="end"/>
        </w:r>
      </w:sdtContent>
    </w:sdt>
  </w:p>
  <w:p w:rsidR="00B80A00" w:rsidRDefault="00B80A00" w:rsidP="00744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53" w:rsidRDefault="00537553" w:rsidP="004776AF">
      <w:pPr>
        <w:spacing w:after="0" w:line="240" w:lineRule="auto"/>
      </w:pPr>
      <w:r>
        <w:separator/>
      </w:r>
    </w:p>
  </w:footnote>
  <w:footnote w:type="continuationSeparator" w:id="0">
    <w:p w:rsidR="00537553" w:rsidRDefault="00537553" w:rsidP="00477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6AF" w:rsidRPr="004776AF" w:rsidRDefault="004776AF">
    <w:pPr>
      <w:pStyle w:val="Header"/>
      <w:rPr>
        <w:sz w:val="28"/>
        <w:szCs w:val="28"/>
      </w:rPr>
    </w:pPr>
    <w:r w:rsidRPr="004776AF">
      <w:rPr>
        <w:sz w:val="28"/>
        <w:szCs w:val="28"/>
      </w:rPr>
      <w:t>Vocabulary for The Sun Still Shines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AF"/>
    <w:rsid w:val="00414E94"/>
    <w:rsid w:val="004776AF"/>
    <w:rsid w:val="00537553"/>
    <w:rsid w:val="005A1753"/>
    <w:rsid w:val="005C0E3F"/>
    <w:rsid w:val="00633A6C"/>
    <w:rsid w:val="00744139"/>
    <w:rsid w:val="00A2704E"/>
    <w:rsid w:val="00B80A00"/>
    <w:rsid w:val="00CA4675"/>
    <w:rsid w:val="00CE1CF9"/>
    <w:rsid w:val="00DE0D04"/>
    <w:rsid w:val="00DE6EA5"/>
    <w:rsid w:val="00E707AA"/>
    <w:rsid w:val="00F4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AF"/>
  </w:style>
  <w:style w:type="paragraph" w:styleId="Footer">
    <w:name w:val="footer"/>
    <w:basedOn w:val="Normal"/>
    <w:link w:val="FooterChar"/>
    <w:uiPriority w:val="99"/>
    <w:unhideWhenUsed/>
    <w:rsid w:val="004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AF"/>
  </w:style>
  <w:style w:type="paragraph" w:styleId="NormalWeb">
    <w:name w:val="Normal (Web)"/>
    <w:basedOn w:val="Normal"/>
    <w:uiPriority w:val="99"/>
    <w:unhideWhenUsed/>
    <w:rsid w:val="00A270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41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3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AF"/>
  </w:style>
  <w:style w:type="paragraph" w:styleId="Footer">
    <w:name w:val="footer"/>
    <w:basedOn w:val="Normal"/>
    <w:link w:val="FooterChar"/>
    <w:uiPriority w:val="99"/>
    <w:unhideWhenUsed/>
    <w:rsid w:val="004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AF"/>
  </w:style>
  <w:style w:type="paragraph" w:styleId="NormalWeb">
    <w:name w:val="Normal (Web)"/>
    <w:basedOn w:val="Normal"/>
    <w:uiPriority w:val="99"/>
    <w:unhideWhenUsed/>
    <w:rsid w:val="00A270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41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13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7</cp:revision>
  <dcterms:created xsi:type="dcterms:W3CDTF">2019-01-05T12:24:00Z</dcterms:created>
  <dcterms:modified xsi:type="dcterms:W3CDTF">2019-01-05T14:34:00Z</dcterms:modified>
</cp:coreProperties>
</file>