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24" w:rsidRPr="007F19F6" w:rsidRDefault="00205F24" w:rsidP="00205F24">
      <w:pPr>
        <w:pStyle w:val="Heading2"/>
        <w:spacing w:before="0" w:after="120"/>
        <w:rPr>
          <w:rFonts w:asciiTheme="minorHAnsi" w:eastAsia="Times New Roman" w:hAnsiTheme="minorHAnsi"/>
          <w:color w:val="auto"/>
          <w:sz w:val="24"/>
          <w:szCs w:val="24"/>
        </w:rPr>
      </w:pPr>
      <w:r w:rsidRPr="007F19F6">
        <w:rPr>
          <w:rFonts w:asciiTheme="minorHAnsi" w:eastAsia="Times New Roman" w:hAnsiTheme="minorHAnsi"/>
          <w:color w:val="auto"/>
          <w:sz w:val="24"/>
          <w:szCs w:val="24"/>
        </w:rPr>
        <w:t>Community Representatives Sought for Law-Related Boards and Council</w:t>
      </w:r>
    </w:p>
    <w:p w:rsidR="00205F24" w:rsidRPr="007F19F6" w:rsidRDefault="00205F24" w:rsidP="00205F24">
      <w:pPr>
        <w:pStyle w:val="NormalWeb"/>
        <w:spacing w:before="0" w:beforeAutospacing="0" w:after="120" w:afterAutospacing="0"/>
        <w:rPr>
          <w:rFonts w:asciiTheme="minorHAnsi" w:hAnsiTheme="minorHAnsi"/>
          <w:color w:val="auto"/>
          <w:sz w:val="24"/>
          <w:szCs w:val="24"/>
        </w:rPr>
      </w:pPr>
      <w:r w:rsidRPr="007F19F6">
        <w:rPr>
          <w:rFonts w:asciiTheme="minorHAnsi" w:hAnsiTheme="minorHAnsi"/>
          <w:color w:val="auto"/>
          <w:sz w:val="24"/>
          <w:szCs w:val="24"/>
        </w:rPr>
        <w:t>The Washington State Bar Association seeks members of the public to serve on boards and one council for terms beginning October 1, 201</w:t>
      </w:r>
      <w:r w:rsidR="00254014" w:rsidRPr="007F19F6">
        <w:rPr>
          <w:rFonts w:asciiTheme="minorHAnsi" w:hAnsiTheme="minorHAnsi"/>
          <w:color w:val="auto"/>
          <w:sz w:val="24"/>
          <w:szCs w:val="24"/>
        </w:rPr>
        <w:t>4</w:t>
      </w:r>
      <w:r w:rsidRPr="007F19F6">
        <w:rPr>
          <w:rFonts w:asciiTheme="minorHAnsi" w:hAnsiTheme="minorHAnsi"/>
          <w:color w:val="auto"/>
          <w:sz w:val="24"/>
          <w:szCs w:val="24"/>
        </w:rPr>
        <w:t xml:space="preserve">. Serving on a WSBA board or council is an excellent opportunity to get an insider’s view on how the practice of law is regulated in Washington </w:t>
      </w:r>
      <w:r w:rsidR="00E0178F" w:rsidRPr="007F19F6">
        <w:rPr>
          <w:rFonts w:asciiTheme="minorHAnsi" w:hAnsiTheme="minorHAnsi"/>
          <w:color w:val="auto"/>
          <w:sz w:val="24"/>
          <w:szCs w:val="24"/>
        </w:rPr>
        <w:t>State</w:t>
      </w:r>
      <w:r w:rsidRPr="007F19F6">
        <w:rPr>
          <w:rFonts w:asciiTheme="minorHAnsi" w:hAnsiTheme="minorHAnsi"/>
          <w:color w:val="auto"/>
          <w:sz w:val="24"/>
          <w:szCs w:val="24"/>
        </w:rPr>
        <w:t>.</w:t>
      </w:r>
    </w:p>
    <w:p w:rsidR="003A3A6B" w:rsidRPr="007F19F6" w:rsidRDefault="00ED311D">
      <w:pPr>
        <w:pStyle w:val="ListParagraph"/>
        <w:numPr>
          <w:ilvl w:val="0"/>
          <w:numId w:val="2"/>
        </w:numPr>
        <w:spacing w:after="120"/>
        <w:ind w:left="360"/>
        <w:rPr>
          <w:rFonts w:asciiTheme="minorHAnsi" w:hAnsiTheme="minorHAnsi"/>
        </w:rPr>
      </w:pPr>
      <w:hyperlink r:id="rId5" w:history="1">
        <w:r w:rsidR="005A766B" w:rsidRPr="007F19F6">
          <w:rPr>
            <w:rStyle w:val="Hyperlink"/>
            <w:rFonts w:asciiTheme="minorHAnsi" w:hAnsiTheme="minorHAnsi"/>
          </w:rPr>
          <w:t>The Chara</w:t>
        </w:r>
        <w:r w:rsidR="005A766B" w:rsidRPr="007F19F6">
          <w:rPr>
            <w:rStyle w:val="Hyperlink"/>
            <w:rFonts w:asciiTheme="minorHAnsi" w:hAnsiTheme="minorHAnsi"/>
          </w:rPr>
          <w:t>c</w:t>
        </w:r>
        <w:r w:rsidR="005A766B" w:rsidRPr="007F19F6">
          <w:rPr>
            <w:rStyle w:val="Hyperlink"/>
            <w:rFonts w:asciiTheme="minorHAnsi" w:hAnsiTheme="minorHAnsi"/>
          </w:rPr>
          <w:t>ter and Fitness Bo</w:t>
        </w:r>
        <w:r w:rsidR="00205F24" w:rsidRPr="007F19F6">
          <w:rPr>
            <w:rStyle w:val="Hyperlink"/>
            <w:rFonts w:asciiTheme="minorHAnsi" w:hAnsiTheme="minorHAnsi"/>
          </w:rPr>
          <w:t>a</w:t>
        </w:r>
        <w:r w:rsidR="005A766B" w:rsidRPr="007F19F6">
          <w:rPr>
            <w:rStyle w:val="Hyperlink"/>
            <w:rFonts w:asciiTheme="minorHAnsi" w:hAnsiTheme="minorHAnsi"/>
          </w:rPr>
          <w:t>rd</w:t>
        </w:r>
      </w:hyperlink>
      <w:r w:rsidR="005A766B" w:rsidRPr="007F19F6">
        <w:rPr>
          <w:rFonts w:asciiTheme="minorHAnsi" w:hAnsiTheme="minorHAnsi"/>
          <w:i/>
          <w:iCs/>
        </w:rPr>
        <w:t xml:space="preserve"> </w:t>
      </w:r>
      <w:r w:rsidR="005A766B" w:rsidRPr="007F19F6">
        <w:rPr>
          <w:rFonts w:asciiTheme="minorHAnsi" w:hAnsiTheme="minorHAnsi"/>
        </w:rPr>
        <w:t>deals with matters of character and fitness bearing on qualifications of applicant</w:t>
      </w:r>
      <w:r w:rsidR="005A766B" w:rsidRPr="007F19F6">
        <w:rPr>
          <w:rFonts w:asciiTheme="minorHAnsi" w:hAnsiTheme="minorHAnsi"/>
          <w:i/>
          <w:iCs/>
        </w:rPr>
        <w:t xml:space="preserve">s </w:t>
      </w:r>
      <w:r w:rsidR="005A766B" w:rsidRPr="007F19F6">
        <w:rPr>
          <w:rFonts w:asciiTheme="minorHAnsi" w:hAnsiTheme="minorHAnsi"/>
        </w:rPr>
        <w:t>for admission to practice law in Was</w:t>
      </w:r>
      <w:r w:rsidR="00205F24" w:rsidRPr="007F19F6">
        <w:rPr>
          <w:rFonts w:asciiTheme="minorHAnsi" w:hAnsiTheme="minorHAnsi"/>
        </w:rPr>
        <w:t>hington. The Board conducts hearings on the admission of any applicant referred to it for hearing, considers pet</w:t>
      </w:r>
      <w:r w:rsidR="005A766B" w:rsidRPr="007F19F6">
        <w:rPr>
          <w:rFonts w:asciiTheme="minorHAnsi" w:hAnsiTheme="minorHAnsi"/>
        </w:rPr>
        <w:t xml:space="preserve">itions for reinstatement after </w:t>
      </w:r>
      <w:r w:rsidR="00205F24" w:rsidRPr="007F19F6">
        <w:rPr>
          <w:rFonts w:asciiTheme="minorHAnsi" w:hAnsiTheme="minorHAnsi"/>
        </w:rPr>
        <w:t>d</w:t>
      </w:r>
      <w:r w:rsidR="005A766B" w:rsidRPr="007F19F6">
        <w:rPr>
          <w:rFonts w:asciiTheme="minorHAnsi" w:hAnsiTheme="minorHAnsi"/>
          <w:i/>
          <w:iCs/>
        </w:rPr>
        <w:t>i</w:t>
      </w:r>
      <w:r w:rsidR="005A766B" w:rsidRPr="007F19F6">
        <w:rPr>
          <w:rFonts w:asciiTheme="minorHAnsi" w:hAnsiTheme="minorHAnsi"/>
        </w:rPr>
        <w:t xml:space="preserve">sbarment, and makes recommendations to the Board of Governors and Supreme Court regarding admission and reinstatement.  </w:t>
      </w:r>
      <w:r w:rsidR="007F19F6" w:rsidRPr="007F19F6">
        <w:rPr>
          <w:rFonts w:asciiTheme="minorHAnsi" w:hAnsiTheme="minorHAnsi"/>
        </w:rPr>
        <w:t xml:space="preserve">Hearings generally are held every month.  </w:t>
      </w:r>
      <w:r w:rsidR="005A766B" w:rsidRPr="007F19F6">
        <w:rPr>
          <w:rFonts w:asciiTheme="minorHAnsi" w:hAnsiTheme="minorHAnsi"/>
        </w:rPr>
        <w:t xml:space="preserve">Three of the 14-16 members of the Board are not lawyers. </w:t>
      </w:r>
      <w:r w:rsidR="007F19F6">
        <w:rPr>
          <w:rFonts w:asciiTheme="minorHAnsi" w:hAnsiTheme="minorHAnsi"/>
        </w:rPr>
        <w:t xml:space="preserve"> </w:t>
      </w:r>
      <w:r w:rsidR="007F19F6" w:rsidRPr="007F19F6">
        <w:rPr>
          <w:rFonts w:asciiTheme="minorHAnsi" w:hAnsiTheme="minorHAnsi"/>
        </w:rPr>
        <w:t>Appointment is for a three-year term.</w:t>
      </w:r>
    </w:p>
    <w:p w:rsidR="00254014" w:rsidRPr="007F19F6" w:rsidRDefault="00ED311D" w:rsidP="00254014">
      <w:pPr>
        <w:pStyle w:val="ListParagraph"/>
        <w:numPr>
          <w:ilvl w:val="0"/>
          <w:numId w:val="2"/>
        </w:numPr>
        <w:spacing w:after="120"/>
        <w:ind w:left="360"/>
        <w:rPr>
          <w:rFonts w:asciiTheme="minorHAnsi" w:hAnsiTheme="minorHAnsi"/>
        </w:rPr>
      </w:pPr>
      <w:hyperlink r:id="rId6" w:history="1">
        <w:r w:rsidR="00254014" w:rsidRPr="007F19F6">
          <w:rPr>
            <w:rStyle w:val="Hyperlink"/>
            <w:rFonts w:asciiTheme="minorHAnsi" w:hAnsiTheme="minorHAnsi"/>
          </w:rPr>
          <w:t>The Council on Public De</w:t>
        </w:r>
        <w:r w:rsidR="00254014" w:rsidRPr="007F19F6">
          <w:rPr>
            <w:rStyle w:val="Hyperlink"/>
            <w:rFonts w:asciiTheme="minorHAnsi" w:hAnsiTheme="minorHAnsi"/>
          </w:rPr>
          <w:t>f</w:t>
        </w:r>
        <w:r w:rsidR="00254014" w:rsidRPr="007F19F6">
          <w:rPr>
            <w:rStyle w:val="Hyperlink"/>
            <w:rFonts w:asciiTheme="minorHAnsi" w:hAnsiTheme="minorHAnsi"/>
          </w:rPr>
          <w:t>ense </w:t>
        </w:r>
      </w:hyperlink>
      <w:r w:rsidR="00254014" w:rsidRPr="007F19F6">
        <w:rPr>
          <w:rFonts w:asciiTheme="minorHAnsi" w:hAnsiTheme="minorHAnsi"/>
        </w:rPr>
        <w:t>addresses concerns about the quality of indigent defense services in Washington State.</w:t>
      </w:r>
      <w:r w:rsidR="00254014" w:rsidRPr="007F19F6">
        <w:rPr>
          <w:rFonts w:asciiTheme="minorHAnsi" w:hAnsiTheme="minorHAnsi"/>
          <w:i/>
          <w:iCs/>
        </w:rPr>
        <w:t xml:space="preserve">  </w:t>
      </w:r>
      <w:r w:rsidR="00254014" w:rsidRPr="007F19F6">
        <w:rPr>
          <w:rFonts w:asciiTheme="minorHAnsi" w:hAnsiTheme="minorHAnsi"/>
        </w:rPr>
        <w:t xml:space="preserve">Appointment is for a one-year term. </w:t>
      </w:r>
    </w:p>
    <w:p w:rsidR="00205F24" w:rsidRPr="007F19F6" w:rsidRDefault="00ED311D" w:rsidP="00205F24">
      <w:pPr>
        <w:pStyle w:val="ListParagraph"/>
        <w:numPr>
          <w:ilvl w:val="0"/>
          <w:numId w:val="2"/>
        </w:numPr>
        <w:spacing w:after="120"/>
        <w:ind w:left="360"/>
        <w:rPr>
          <w:rFonts w:asciiTheme="minorHAnsi" w:hAnsiTheme="minorHAnsi"/>
        </w:rPr>
      </w:pPr>
      <w:hyperlink r:id="rId7" w:history="1">
        <w:r w:rsidR="005A766B" w:rsidRPr="007F19F6">
          <w:rPr>
            <w:rStyle w:val="Hyperlink"/>
            <w:rFonts w:asciiTheme="minorHAnsi" w:hAnsiTheme="minorHAnsi"/>
          </w:rPr>
          <w:t>The Disciplinar</w:t>
        </w:r>
        <w:r w:rsidR="005A766B" w:rsidRPr="007F19F6">
          <w:rPr>
            <w:rStyle w:val="Hyperlink"/>
            <w:rFonts w:asciiTheme="minorHAnsi" w:hAnsiTheme="minorHAnsi"/>
          </w:rPr>
          <w:t>y</w:t>
        </w:r>
        <w:r w:rsidR="005A766B" w:rsidRPr="007F19F6">
          <w:rPr>
            <w:rStyle w:val="Hyperlink"/>
            <w:rFonts w:asciiTheme="minorHAnsi" w:hAnsiTheme="minorHAnsi"/>
          </w:rPr>
          <w:t xml:space="preserve"> Board</w:t>
        </w:r>
      </w:hyperlink>
      <w:r w:rsidR="005A766B" w:rsidRPr="007F19F6">
        <w:rPr>
          <w:rFonts w:asciiTheme="minorHAnsi" w:hAnsiTheme="minorHAnsi"/>
        </w:rPr>
        <w:t xml:space="preserve"> reviews lawyer discipline decisions. It is made up of four review committees; each committee has two lawyer members and one non-lawyer member. One co</w:t>
      </w:r>
      <w:r w:rsidR="00072C65" w:rsidRPr="007F19F6">
        <w:rPr>
          <w:rFonts w:asciiTheme="minorHAnsi" w:hAnsiTheme="minorHAnsi"/>
        </w:rPr>
        <w:t>mmittee meets each month to review requests for public hearing, admonitions</w:t>
      </w:r>
      <w:r w:rsidR="00581848" w:rsidRPr="007F19F6">
        <w:rPr>
          <w:rFonts w:asciiTheme="minorHAnsi" w:hAnsiTheme="minorHAnsi"/>
        </w:rPr>
        <w:t xml:space="preserve">, </w:t>
      </w:r>
      <w:r w:rsidR="00072C65" w:rsidRPr="007F19F6">
        <w:rPr>
          <w:rFonts w:asciiTheme="minorHAnsi" w:hAnsiTheme="minorHAnsi"/>
        </w:rPr>
        <w:t>interim suspensions</w:t>
      </w:r>
      <w:r w:rsidR="00581848" w:rsidRPr="007F19F6">
        <w:rPr>
          <w:rFonts w:asciiTheme="minorHAnsi" w:hAnsiTheme="minorHAnsi"/>
        </w:rPr>
        <w:t xml:space="preserve"> and other matters</w:t>
      </w:r>
      <w:r w:rsidR="00072C65" w:rsidRPr="007F19F6">
        <w:rPr>
          <w:rFonts w:asciiTheme="minorHAnsi" w:hAnsiTheme="minorHAnsi"/>
        </w:rPr>
        <w:t xml:space="preserve">. </w:t>
      </w:r>
      <w:r w:rsidR="00D636DB" w:rsidRPr="007F19F6">
        <w:rPr>
          <w:rFonts w:asciiTheme="minorHAnsi" w:hAnsiTheme="minorHAnsi"/>
        </w:rPr>
        <w:t>The board meets six times a year as a full board.</w:t>
      </w:r>
      <w:r w:rsidR="007F19F6">
        <w:rPr>
          <w:rFonts w:asciiTheme="minorHAnsi" w:hAnsiTheme="minorHAnsi"/>
        </w:rPr>
        <w:t xml:space="preserve">  </w:t>
      </w:r>
      <w:r w:rsidR="007B13BF">
        <w:rPr>
          <w:rFonts w:asciiTheme="minorHAnsi" w:hAnsiTheme="minorHAnsi"/>
        </w:rPr>
        <w:t>Two positions are available; a</w:t>
      </w:r>
      <w:r w:rsidR="007F19F6">
        <w:rPr>
          <w:rFonts w:asciiTheme="minorHAnsi" w:hAnsiTheme="minorHAnsi"/>
        </w:rPr>
        <w:t>ppointment is for a three-year term.</w:t>
      </w:r>
    </w:p>
    <w:p w:rsidR="00205F24" w:rsidRDefault="00ED311D" w:rsidP="00205F24">
      <w:pPr>
        <w:pStyle w:val="ListParagraph"/>
        <w:numPr>
          <w:ilvl w:val="0"/>
          <w:numId w:val="2"/>
        </w:numPr>
        <w:spacing w:after="120"/>
        <w:ind w:left="360"/>
        <w:rPr>
          <w:rFonts w:asciiTheme="minorHAnsi" w:hAnsiTheme="minorHAnsi"/>
        </w:rPr>
      </w:pPr>
      <w:hyperlink r:id="rId8" w:history="1">
        <w:r w:rsidR="00D636DB" w:rsidRPr="007F19F6">
          <w:rPr>
            <w:rStyle w:val="Hyperlink"/>
            <w:rFonts w:asciiTheme="minorHAnsi" w:hAnsiTheme="minorHAnsi"/>
          </w:rPr>
          <w:t xml:space="preserve">The </w:t>
        </w:r>
        <w:r w:rsidR="00205F24" w:rsidRPr="007F19F6">
          <w:rPr>
            <w:rStyle w:val="Hyperlink"/>
            <w:rFonts w:asciiTheme="minorHAnsi" w:hAnsiTheme="minorHAnsi"/>
          </w:rPr>
          <w:t>Lawyers’ Fund fo</w:t>
        </w:r>
        <w:r w:rsidR="00205F24" w:rsidRPr="007F19F6">
          <w:rPr>
            <w:rStyle w:val="Hyperlink"/>
            <w:rFonts w:asciiTheme="minorHAnsi" w:hAnsiTheme="minorHAnsi"/>
          </w:rPr>
          <w:t>r</w:t>
        </w:r>
        <w:r w:rsidR="00205F24" w:rsidRPr="007F19F6">
          <w:rPr>
            <w:rStyle w:val="Hyperlink"/>
            <w:rFonts w:asciiTheme="minorHAnsi" w:hAnsiTheme="minorHAnsi"/>
          </w:rPr>
          <w:t xml:space="preserve"> Client Protection Board</w:t>
        </w:r>
      </w:hyperlink>
      <w:r w:rsidR="00D636DB" w:rsidRPr="007F19F6">
        <w:rPr>
          <w:rFonts w:asciiTheme="minorHAnsi" w:hAnsiTheme="minorHAnsi"/>
        </w:rPr>
        <w:t xml:space="preserve"> </w:t>
      </w:r>
      <w:r w:rsidR="00581848" w:rsidRPr="007F19F6">
        <w:rPr>
          <w:rFonts w:asciiTheme="minorHAnsi" w:hAnsiTheme="minorHAnsi"/>
        </w:rPr>
        <w:t xml:space="preserve">compensates clients who have suffered a direct financial loss caused by the dishonest conduct of a lawyer in connection with the practice of law. </w:t>
      </w:r>
      <w:r w:rsidR="00D636DB" w:rsidRPr="007F19F6">
        <w:rPr>
          <w:rFonts w:asciiTheme="minorHAnsi" w:hAnsiTheme="minorHAnsi"/>
        </w:rPr>
        <w:t>The Fund is funded by an annual assessment of members of the WSBA by order of the Washington State Supreme Court.</w:t>
      </w:r>
      <w:r w:rsidR="007B13BF">
        <w:rPr>
          <w:rFonts w:asciiTheme="minorHAnsi" w:hAnsiTheme="minorHAnsi"/>
        </w:rPr>
        <w:t xml:space="preserve">  Appointment is for a three-year term.</w:t>
      </w:r>
    </w:p>
    <w:p w:rsidR="00254014" w:rsidRDefault="000D2B15" w:rsidP="000D2B15">
      <w:pPr>
        <w:pStyle w:val="ListParagraph"/>
        <w:numPr>
          <w:ilvl w:val="0"/>
          <w:numId w:val="2"/>
        </w:numPr>
        <w:spacing w:before="100" w:beforeAutospacing="1" w:after="100" w:afterAutospacing="1"/>
        <w:ind w:left="360"/>
        <w:rPr>
          <w:rFonts w:asciiTheme="minorHAnsi" w:hAnsiTheme="minorHAnsi"/>
        </w:rPr>
      </w:pPr>
      <w:hyperlink r:id="rId9" w:history="1">
        <w:r w:rsidRPr="000D2B15">
          <w:rPr>
            <w:rStyle w:val="Hyperlink"/>
            <w:rFonts w:eastAsia="Times New Roman"/>
          </w:rPr>
          <w:t>Limited License Legal Te</w:t>
        </w:r>
        <w:r w:rsidRPr="000D2B15">
          <w:rPr>
            <w:rStyle w:val="Hyperlink"/>
            <w:rFonts w:eastAsia="Times New Roman"/>
          </w:rPr>
          <w:t>c</w:t>
        </w:r>
        <w:r w:rsidRPr="000D2B15">
          <w:rPr>
            <w:rStyle w:val="Hyperlink"/>
            <w:rFonts w:eastAsia="Times New Roman"/>
          </w:rPr>
          <w:t>hnician Board</w:t>
        </w:r>
      </w:hyperlink>
      <w:r w:rsidRPr="000D2B15">
        <w:rPr>
          <w:rFonts w:eastAsia="Times New Roman"/>
        </w:rPr>
        <w:t> </w:t>
      </w:r>
      <w:r w:rsidR="00254014" w:rsidRPr="007F19F6">
        <w:rPr>
          <w:rFonts w:asciiTheme="minorHAnsi" w:hAnsiTheme="minorHAnsi"/>
        </w:rPr>
        <w:t>authorizes non-attorneys who meet certa</w:t>
      </w:r>
      <w:r w:rsidR="007F19F6" w:rsidRPr="007F19F6">
        <w:rPr>
          <w:rFonts w:asciiTheme="minorHAnsi" w:hAnsiTheme="minorHAnsi"/>
        </w:rPr>
        <w:t>i</w:t>
      </w:r>
      <w:r w:rsidR="00254014" w:rsidRPr="007F19F6">
        <w:rPr>
          <w:rFonts w:asciiTheme="minorHAnsi" w:hAnsiTheme="minorHAnsi"/>
        </w:rPr>
        <w:t>n educational</w:t>
      </w:r>
      <w:r w:rsidR="007F19F6" w:rsidRPr="007F19F6">
        <w:rPr>
          <w:rFonts w:asciiTheme="minorHAnsi" w:hAnsiTheme="minorHAnsi"/>
        </w:rPr>
        <w:t xml:space="preserve"> requirements to advise and assist clients on specific areas of law. Licensing of LLLTs will begin in early 2015.</w:t>
      </w:r>
      <w:r w:rsidR="007B13BF">
        <w:rPr>
          <w:rFonts w:asciiTheme="minorHAnsi" w:hAnsiTheme="minorHAnsi"/>
        </w:rPr>
        <w:t xml:space="preserve">  Appointment is for a three-year term.</w:t>
      </w:r>
    </w:p>
    <w:p w:rsidR="00205F24" w:rsidRPr="007F19F6" w:rsidRDefault="00ED311D" w:rsidP="000D2B15">
      <w:pPr>
        <w:pStyle w:val="ListParagraph"/>
        <w:spacing w:after="120"/>
        <w:ind w:left="360"/>
        <w:rPr>
          <w:rFonts w:asciiTheme="minorHAnsi" w:hAnsiTheme="minorHAnsi"/>
        </w:rPr>
      </w:pPr>
      <w:hyperlink r:id="rId10" w:history="1">
        <w:r w:rsidR="00D67EF5" w:rsidRPr="007F19F6">
          <w:rPr>
            <w:rStyle w:val="Hyperlink"/>
            <w:rFonts w:asciiTheme="minorHAnsi" w:hAnsiTheme="minorHAnsi"/>
          </w:rPr>
          <w:t xml:space="preserve">The </w:t>
        </w:r>
        <w:r w:rsidR="00205F24" w:rsidRPr="007F19F6">
          <w:rPr>
            <w:rStyle w:val="Hyperlink"/>
            <w:rFonts w:asciiTheme="minorHAnsi" w:hAnsiTheme="minorHAnsi"/>
          </w:rPr>
          <w:t>Limit</w:t>
        </w:r>
        <w:r w:rsidR="00205F24" w:rsidRPr="007F19F6">
          <w:rPr>
            <w:rStyle w:val="Hyperlink"/>
            <w:rFonts w:asciiTheme="minorHAnsi" w:hAnsiTheme="minorHAnsi"/>
          </w:rPr>
          <w:t>e</w:t>
        </w:r>
        <w:r w:rsidR="00205F24" w:rsidRPr="007F19F6">
          <w:rPr>
            <w:rStyle w:val="Hyperlink"/>
            <w:rFonts w:asciiTheme="minorHAnsi" w:hAnsiTheme="minorHAnsi"/>
          </w:rPr>
          <w:t>d Practice Board</w:t>
        </w:r>
      </w:hyperlink>
      <w:r w:rsidR="00D67EF5" w:rsidRPr="007F19F6">
        <w:rPr>
          <w:rFonts w:asciiTheme="minorHAnsi" w:hAnsiTheme="minorHAnsi"/>
        </w:rPr>
        <w:t xml:space="preserve"> oversees administration of, and compliance with, the Limited Practice Rule (APR 12) authorizing certain lay persons to select, prepare, and complete legal documents pertaining to the closing of real-estate and personal property transactions. The Board is responsible for the certification and regulation of limited practice officers (LPOs).</w:t>
      </w:r>
      <w:r w:rsidR="007B13BF">
        <w:rPr>
          <w:rFonts w:asciiTheme="minorHAnsi" w:hAnsiTheme="minorHAnsi"/>
        </w:rPr>
        <w:t xml:space="preserve">  Term begins January 1, 2015.  Appointment is for a four-year term.</w:t>
      </w:r>
    </w:p>
    <w:p w:rsidR="00254014" w:rsidRPr="007F19F6" w:rsidRDefault="000D2B15" w:rsidP="00205F24">
      <w:pPr>
        <w:pStyle w:val="ListParagraph"/>
        <w:numPr>
          <w:ilvl w:val="0"/>
          <w:numId w:val="2"/>
        </w:numPr>
        <w:spacing w:after="120"/>
        <w:ind w:left="360"/>
        <w:rPr>
          <w:rFonts w:asciiTheme="minorHAnsi" w:hAnsiTheme="minorHAnsi"/>
        </w:rPr>
      </w:pPr>
      <w:hyperlink r:id="rId11" w:history="1">
        <w:r>
          <w:rPr>
            <w:rStyle w:val="Hyperlink"/>
            <w:rFonts w:eastAsia="Times New Roman"/>
          </w:rPr>
          <w:t>Practice</w:t>
        </w:r>
        <w:r>
          <w:rPr>
            <w:rStyle w:val="Hyperlink"/>
            <w:rFonts w:eastAsia="Times New Roman"/>
          </w:rPr>
          <w:t xml:space="preserve"> </w:t>
        </w:r>
        <w:r>
          <w:rPr>
            <w:rStyle w:val="Hyperlink"/>
            <w:rFonts w:eastAsia="Times New Roman"/>
          </w:rPr>
          <w:t>of Law Board</w:t>
        </w:r>
      </w:hyperlink>
      <w:r>
        <w:rPr>
          <w:rFonts w:asciiTheme="minorHAnsi" w:hAnsiTheme="minorHAnsi"/>
        </w:rPr>
        <w:t xml:space="preserve"> </w:t>
      </w:r>
      <w:r w:rsidR="007F19F6" w:rsidRPr="007F19F6">
        <w:rPr>
          <w:rFonts w:asciiTheme="minorHAnsi" w:hAnsiTheme="minorHAnsi"/>
        </w:rPr>
        <w:t xml:space="preserve">investigates complaints about the unauthorized practice of law including nonlawyers advertising legal services, nonlawyers pretending to be lawyers, unsupervised paralegals offering legal services, and out-of-state lawyers representing Washington residents when not authorized.  </w:t>
      </w:r>
      <w:r w:rsidR="007B13BF">
        <w:rPr>
          <w:rFonts w:asciiTheme="minorHAnsi" w:hAnsiTheme="minorHAnsi"/>
        </w:rPr>
        <w:t>Appointment is for a three-year term.</w:t>
      </w:r>
    </w:p>
    <w:p w:rsidR="00205F24" w:rsidRPr="007F19F6" w:rsidRDefault="00205F24" w:rsidP="00205F24">
      <w:pPr>
        <w:pStyle w:val="NormalWeb"/>
        <w:spacing w:before="0" w:beforeAutospacing="0" w:after="120" w:afterAutospacing="0"/>
        <w:rPr>
          <w:rFonts w:asciiTheme="minorHAnsi" w:hAnsiTheme="minorHAnsi"/>
          <w:color w:val="auto"/>
          <w:sz w:val="24"/>
          <w:szCs w:val="24"/>
        </w:rPr>
      </w:pPr>
      <w:r w:rsidRPr="007F19F6">
        <w:rPr>
          <w:rFonts w:asciiTheme="minorHAnsi" w:hAnsiTheme="minorHAnsi"/>
          <w:color w:val="auto"/>
          <w:sz w:val="24"/>
          <w:szCs w:val="24"/>
        </w:rPr>
        <w:t>Applications are also being accepted for </w:t>
      </w:r>
      <w:r w:rsidR="005A766B" w:rsidRPr="007F19F6">
        <w:rPr>
          <w:rFonts w:asciiTheme="minorHAnsi" w:hAnsiTheme="minorHAnsi"/>
          <w:sz w:val="24"/>
          <w:szCs w:val="24"/>
        </w:rPr>
        <w:t>other boards </w:t>
      </w:r>
      <w:r w:rsidRPr="007F19F6">
        <w:rPr>
          <w:rFonts w:asciiTheme="minorHAnsi" w:hAnsiTheme="minorHAnsi"/>
          <w:color w:val="auto"/>
          <w:sz w:val="24"/>
          <w:szCs w:val="24"/>
        </w:rPr>
        <w:t xml:space="preserve">which may have openings during the coming year. </w:t>
      </w:r>
    </w:p>
    <w:p w:rsidR="00E232FD" w:rsidRPr="007F19F6" w:rsidRDefault="00205F24" w:rsidP="007F19F6">
      <w:pPr>
        <w:pStyle w:val="NormalWeb"/>
        <w:spacing w:before="0" w:beforeAutospacing="0" w:after="120" w:afterAutospacing="0"/>
        <w:rPr>
          <w:rFonts w:asciiTheme="minorHAnsi" w:hAnsiTheme="minorHAnsi"/>
          <w:sz w:val="24"/>
          <w:szCs w:val="24"/>
        </w:rPr>
      </w:pPr>
      <w:r w:rsidRPr="007F19F6">
        <w:rPr>
          <w:rFonts w:asciiTheme="minorHAnsi" w:hAnsiTheme="minorHAnsi"/>
          <w:color w:val="auto"/>
          <w:sz w:val="24"/>
          <w:szCs w:val="24"/>
        </w:rPr>
        <w:t xml:space="preserve">Applications must be received at the WSBA offices by Friday, </w:t>
      </w:r>
      <w:r w:rsidR="00254014" w:rsidRPr="007F19F6">
        <w:rPr>
          <w:rFonts w:asciiTheme="minorHAnsi" w:hAnsiTheme="minorHAnsi"/>
          <w:color w:val="auto"/>
          <w:sz w:val="24"/>
          <w:szCs w:val="24"/>
        </w:rPr>
        <w:t xml:space="preserve">March 21, </w:t>
      </w:r>
      <w:r w:rsidRPr="007F19F6">
        <w:rPr>
          <w:rFonts w:asciiTheme="minorHAnsi" w:hAnsiTheme="minorHAnsi"/>
          <w:color w:val="auto"/>
          <w:sz w:val="24"/>
          <w:szCs w:val="24"/>
        </w:rPr>
        <w:t>201</w:t>
      </w:r>
      <w:r w:rsidR="00254014" w:rsidRPr="007F19F6">
        <w:rPr>
          <w:rFonts w:asciiTheme="minorHAnsi" w:hAnsiTheme="minorHAnsi"/>
          <w:color w:val="auto"/>
          <w:sz w:val="24"/>
          <w:szCs w:val="24"/>
        </w:rPr>
        <w:t>4</w:t>
      </w:r>
      <w:r w:rsidRPr="007F19F6">
        <w:rPr>
          <w:rFonts w:asciiTheme="minorHAnsi" w:hAnsiTheme="minorHAnsi"/>
          <w:color w:val="auto"/>
          <w:sz w:val="24"/>
          <w:szCs w:val="24"/>
        </w:rPr>
        <w:t>. To apply, complete the application posted at</w:t>
      </w:r>
      <w:r w:rsidR="007F19F6" w:rsidRPr="007F19F6">
        <w:rPr>
          <w:rFonts w:asciiTheme="minorHAnsi" w:hAnsiTheme="minorHAnsi"/>
          <w:color w:val="auto"/>
          <w:sz w:val="24"/>
          <w:szCs w:val="24"/>
        </w:rPr>
        <w:t xml:space="preserve">: </w:t>
      </w:r>
      <w:hyperlink r:id="rId12" w:history="1">
        <w:r w:rsidRPr="007F19F6">
          <w:rPr>
            <w:rStyle w:val="Hyperlink"/>
            <w:rFonts w:asciiTheme="minorHAnsi" w:hAnsiTheme="minorHAnsi"/>
            <w:color w:val="auto"/>
            <w:sz w:val="24"/>
            <w:szCs w:val="24"/>
          </w:rPr>
          <w:t>http://bit.ly/rnvXKY</w:t>
        </w:r>
      </w:hyperlink>
      <w:r w:rsidR="007F19F6" w:rsidRPr="007F19F6">
        <w:rPr>
          <w:rFonts w:asciiTheme="minorHAnsi" w:hAnsiTheme="minorHAnsi"/>
          <w:sz w:val="24"/>
          <w:szCs w:val="24"/>
        </w:rPr>
        <w:t xml:space="preserve"> </w:t>
      </w:r>
      <w:r w:rsidRPr="007F19F6">
        <w:rPr>
          <w:rFonts w:asciiTheme="minorHAnsi" w:hAnsiTheme="minorHAnsi"/>
          <w:color w:val="auto"/>
          <w:sz w:val="24"/>
          <w:szCs w:val="24"/>
        </w:rPr>
        <w:t xml:space="preserve">and return it with your resume as directed on the form. Previous applicants should re-apply as applications expire after one </w:t>
      </w:r>
      <w:r w:rsidR="007F19F6" w:rsidRPr="007F19F6">
        <w:rPr>
          <w:rFonts w:asciiTheme="minorHAnsi" w:hAnsiTheme="minorHAnsi"/>
          <w:color w:val="auto"/>
          <w:sz w:val="24"/>
          <w:szCs w:val="24"/>
        </w:rPr>
        <w:t>y</w:t>
      </w:r>
      <w:r w:rsidRPr="007F19F6">
        <w:rPr>
          <w:rFonts w:asciiTheme="minorHAnsi" w:hAnsiTheme="minorHAnsi"/>
          <w:color w:val="auto"/>
          <w:sz w:val="24"/>
          <w:szCs w:val="24"/>
        </w:rPr>
        <w:t xml:space="preserve">ear. Appointment letters for current openings will be sent in late summer. If you have questions, please email </w:t>
      </w:r>
      <w:hyperlink r:id="rId13" w:history="1">
        <w:r w:rsidRPr="007F19F6">
          <w:rPr>
            <w:rStyle w:val="Hyperlink"/>
            <w:rFonts w:asciiTheme="minorHAnsi" w:hAnsiTheme="minorHAnsi"/>
            <w:color w:val="auto"/>
            <w:sz w:val="24"/>
            <w:szCs w:val="24"/>
          </w:rPr>
          <w:t>barleaders@wsba.org</w:t>
        </w:r>
      </w:hyperlink>
      <w:r w:rsidRPr="007F19F6">
        <w:rPr>
          <w:rFonts w:asciiTheme="minorHAnsi" w:hAnsiTheme="minorHAnsi"/>
          <w:color w:val="auto"/>
          <w:sz w:val="24"/>
          <w:szCs w:val="24"/>
        </w:rPr>
        <w:t>.</w:t>
      </w:r>
    </w:p>
    <w:sectPr w:rsidR="00E232FD" w:rsidRPr="007F19F6" w:rsidSect="00E23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0A74"/>
    <w:multiLevelType w:val="hybridMultilevel"/>
    <w:tmpl w:val="62B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23343"/>
    <w:multiLevelType w:val="hybridMultilevel"/>
    <w:tmpl w:val="7C0C6A4C"/>
    <w:lvl w:ilvl="0" w:tplc="AC80465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D272E"/>
    <w:multiLevelType w:val="multilevel"/>
    <w:tmpl w:val="7BE6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6A22E9"/>
    <w:multiLevelType w:val="hybridMultilevel"/>
    <w:tmpl w:val="089EE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F24"/>
    <w:rsid w:val="00072C65"/>
    <w:rsid w:val="000D2B15"/>
    <w:rsid w:val="00156C83"/>
    <w:rsid w:val="00165786"/>
    <w:rsid w:val="001D681C"/>
    <w:rsid w:val="00205F24"/>
    <w:rsid w:val="00254014"/>
    <w:rsid w:val="003A3A6B"/>
    <w:rsid w:val="00531E9C"/>
    <w:rsid w:val="00581848"/>
    <w:rsid w:val="005A766B"/>
    <w:rsid w:val="0073585F"/>
    <w:rsid w:val="007B13BF"/>
    <w:rsid w:val="007C3F5A"/>
    <w:rsid w:val="007D668D"/>
    <w:rsid w:val="007F19F6"/>
    <w:rsid w:val="00836AFF"/>
    <w:rsid w:val="009F086E"/>
    <w:rsid w:val="00D636DB"/>
    <w:rsid w:val="00D67EF5"/>
    <w:rsid w:val="00DF6784"/>
    <w:rsid w:val="00E0178F"/>
    <w:rsid w:val="00E232FD"/>
    <w:rsid w:val="00ED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2FD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205F24"/>
    <w:pPr>
      <w:keepNext/>
      <w:spacing w:before="200" w:after="0" w:line="240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5F24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05F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5F24"/>
    <w:pPr>
      <w:spacing w:before="100" w:beforeAutospacing="1" w:after="100" w:afterAutospacing="1" w:line="240" w:lineRule="auto"/>
    </w:pPr>
    <w:rPr>
      <w:rFonts w:ascii="Verdana" w:hAnsi="Verdana" w:cs="Times New Roman"/>
      <w:color w:val="333333"/>
    </w:rPr>
  </w:style>
  <w:style w:type="paragraph" w:styleId="ListParagraph">
    <w:name w:val="List Paragraph"/>
    <w:basedOn w:val="Normal"/>
    <w:uiPriority w:val="34"/>
    <w:qFormat/>
    <w:rsid w:val="00205F24"/>
    <w:pPr>
      <w:spacing w:after="0" w:line="240" w:lineRule="auto"/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67E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ba.org/Legal-Community/Committees-Boards-and-Other-Groups/Lawyers-Fund-for-Client-Protection-Board" TargetMode="External"/><Relationship Id="rId13" Type="http://schemas.openxmlformats.org/officeDocument/2006/relationships/hyperlink" Target="mailto:barleaders@wsb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ba.org/Licensing-and-Lawyer-Conduct/Discipline/Disciplinary-Board" TargetMode="External"/><Relationship Id="rId12" Type="http://schemas.openxmlformats.org/officeDocument/2006/relationships/hyperlink" Target="http://bit.ly/rnvX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ba.org/Legal-Community/Committees-Boards-and-Other-Groups/Council-on-Public-Defense" TargetMode="External"/><Relationship Id="rId11" Type="http://schemas.openxmlformats.org/officeDocument/2006/relationships/hyperlink" Target="http://www.wsba.org/Legal-Community/Committees-Boards-and-Other-Groups/Practice-of-Law-Board" TargetMode="External"/><Relationship Id="rId5" Type="http://schemas.openxmlformats.org/officeDocument/2006/relationships/hyperlink" Target="http://www.wsba.org/Legal-Community/Committees-Boards-and-Other-Groups/Character-and-Fitness-Boar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sba.org/Legal-Community/Committees-Boards-and-Other-Groups/Limited-Practice-Bo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sba.org/Legal-Community/Committees-Boards-and-Other-Groups/Limited-License-Legal-Technician-Boa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Bar Association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 Purrington</dc:creator>
  <cp:keywords/>
  <dc:description/>
  <cp:lastModifiedBy>susanst</cp:lastModifiedBy>
  <cp:revision>5</cp:revision>
  <dcterms:created xsi:type="dcterms:W3CDTF">2014-02-05T00:55:00Z</dcterms:created>
  <dcterms:modified xsi:type="dcterms:W3CDTF">2014-02-07T20:48:00Z</dcterms:modified>
</cp:coreProperties>
</file>