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D" w:rsidRPr="005E6F0D" w:rsidRDefault="005E6F0D" w:rsidP="005E6F0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5E6F0D" w:rsidRPr="005E6F0D" w:rsidRDefault="005E6F0D" w:rsidP="005E6F0D">
      <w:pPr>
        <w:widowControl w:val="0"/>
        <w:tabs>
          <w:tab w:val="left" w:pos="5488"/>
        </w:tabs>
        <w:spacing w:after="0" w:line="200" w:lineRule="atLeast"/>
        <w:ind w:left="2143"/>
        <w:rPr>
          <w:rFonts w:ascii="Times New Roman" w:eastAsia="Times New Roman" w:hAnsi="Times New Roman" w:cs="Times New Roman"/>
          <w:sz w:val="20"/>
          <w:szCs w:val="20"/>
        </w:rPr>
      </w:pPr>
      <w:r w:rsidRPr="005E6F0D">
        <w:rPr>
          <w:rFonts w:ascii="Times New Roman" w:eastAsia="Calibri" w:hAnsi="Calibri" w:cs="Times New Roman"/>
          <w:sz w:val="20"/>
        </w:rPr>
        <w:tab/>
      </w:r>
    </w:p>
    <w:p w:rsidR="005E6F0D" w:rsidRPr="005E6F0D" w:rsidRDefault="005E6F0D" w:rsidP="005E6F0D">
      <w:pPr>
        <w:widowControl w:val="0"/>
        <w:tabs>
          <w:tab w:val="left" w:pos="9014"/>
        </w:tabs>
        <w:spacing w:before="93" w:after="0" w:line="541" w:lineRule="exact"/>
        <w:ind w:left="1077"/>
        <w:jc w:val="center"/>
        <w:outlineLvl w:val="0"/>
        <w:rPr>
          <w:rFonts w:ascii="Arial Rounded MT Bold" w:eastAsia="Arial Rounded MT Bold" w:hAnsi="Arial Rounded MT Bold" w:cs="Arial Rounded MT Bold"/>
          <w:sz w:val="48"/>
          <w:szCs w:val="48"/>
        </w:rPr>
      </w:pP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State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25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Plan for Independent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1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Living (SPIL)</w:t>
      </w:r>
      <w:r w:rsidRPr="005E6F0D">
        <w:rPr>
          <w:rFonts w:ascii="Arial Rounded MT Bold" w:eastAsia="Arial Rounded MT Bold" w:hAnsi="Arial Rounded MT Bold" w:cs="Arial Rounded MT Bold"/>
          <w:sz w:val="48"/>
          <w:szCs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Public</w:t>
      </w:r>
      <w:r w:rsidRPr="005E6F0D">
        <w:rPr>
          <w:rFonts w:ascii="Arial Rounded MT Bold" w:eastAsia="Calibri" w:hAnsi="Calibri" w:cs="Times New Roman"/>
          <w:color w:val="1F487C"/>
          <w:spacing w:val="-1"/>
          <w:sz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Hearing</w:t>
      </w:r>
    </w:p>
    <w:p w:rsidR="005E6F0D" w:rsidRPr="005E6F0D" w:rsidRDefault="005E6F0D" w:rsidP="005E6F0D">
      <w:pPr>
        <w:widowControl w:val="0"/>
        <w:tabs>
          <w:tab w:val="left" w:pos="1148"/>
          <w:tab w:val="left" w:pos="3115"/>
          <w:tab w:val="left" w:pos="4102"/>
          <w:tab w:val="left" w:pos="6136"/>
          <w:tab w:val="left" w:pos="7271"/>
          <w:tab w:val="left" w:pos="8622"/>
          <w:tab w:val="left" w:pos="10257"/>
        </w:tabs>
        <w:spacing w:before="190" w:after="0" w:line="293" w:lineRule="auto"/>
        <w:ind w:left="357" w:right="470" w:firstLine="5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Washington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State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Independent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Living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Council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(WASILC) is partnering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with</w:t>
      </w:r>
      <w:r w:rsidRPr="005E6F0D">
        <w:rPr>
          <w:rFonts w:ascii="Arial" w:eastAsia="Arial" w:hAnsi="Arial" w:cs="Times New Roman"/>
          <w:bCs/>
          <w:spacing w:val="75"/>
          <w:sz w:val="30"/>
          <w:szCs w:val="30"/>
        </w:rPr>
        <w:t xml:space="preserve"> </w:t>
      </w:r>
      <w:r w:rsidR="00313641">
        <w:rPr>
          <w:rFonts w:ascii="Arial" w:eastAsia="Arial" w:hAnsi="Arial" w:cs="Times New Roman"/>
          <w:bCs/>
          <w:sz w:val="30"/>
          <w:szCs w:val="30"/>
        </w:rPr>
        <w:t xml:space="preserve">the </w:t>
      </w:r>
      <w:r w:rsidR="004369D4">
        <w:rPr>
          <w:rFonts w:ascii="Arial" w:eastAsia="Arial" w:hAnsi="Arial" w:cs="Times New Roman"/>
          <w:bCs/>
          <w:sz w:val="30"/>
          <w:szCs w:val="30"/>
        </w:rPr>
        <w:t>Alliance of People with Disabilities</w:t>
      </w:r>
      <w:r w:rsidR="00313641">
        <w:rPr>
          <w:rFonts w:ascii="Arial" w:eastAsia="Arial" w:hAnsi="Arial" w:cs="Times New Roman"/>
          <w:bCs/>
          <w:sz w:val="30"/>
          <w:szCs w:val="30"/>
        </w:rPr>
        <w:t xml:space="preserve"> </w:t>
      </w:r>
      <w:r w:rsidR="00313641"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host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hearing.</w:t>
      </w:r>
      <w:r w:rsidRPr="005E6F0D">
        <w:rPr>
          <w:rFonts w:ascii="Arial" w:eastAsia="Arial" w:hAnsi="Arial" w:cs="Times New Roman"/>
          <w:bCs/>
          <w:spacing w:val="8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public hearing will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gather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information to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develop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three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year 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>(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2017-2019)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State</w:t>
      </w:r>
      <w:r w:rsidRPr="005E6F0D">
        <w:rPr>
          <w:rFonts w:ascii="Arial" w:eastAsia="Arial" w:hAnsi="Arial" w:cs="Times New Roman"/>
          <w:bCs/>
          <w:spacing w:val="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Plan for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 Living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(SPIL)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that addresses</w:t>
      </w:r>
      <w:r w:rsidRPr="005E6F0D">
        <w:rPr>
          <w:rFonts w:ascii="Arial" w:eastAsia="Arial" w:hAnsi="Arial" w:cs="Times New Roman"/>
          <w:bCs/>
          <w:spacing w:val="2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needs in your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community.</w:t>
      </w:r>
      <w:r w:rsidRPr="005E6F0D">
        <w:rPr>
          <w:rFonts w:ascii="Arial" w:eastAsia="Arial" w:hAnsi="Arial" w:cs="Times New Roman"/>
          <w:bCs/>
          <w:spacing w:val="82"/>
          <w:sz w:val="30"/>
          <w:szCs w:val="30"/>
        </w:rPr>
        <w:t xml:space="preserve"> </w:t>
      </w:r>
      <w:r w:rsidR="004425BA">
        <w:rPr>
          <w:rFonts w:ascii="Arial" w:eastAsia="Arial" w:hAnsi="Arial" w:cs="Times New Roman"/>
          <w:bCs/>
          <w:sz w:val="30"/>
          <w:szCs w:val="30"/>
        </w:rPr>
        <w:t>Bellevue</w:t>
      </w:r>
      <w:bookmarkStart w:id="0" w:name="_GoBack"/>
      <w:bookmarkEnd w:id="0"/>
      <w:r w:rsidRPr="005E6F0D">
        <w:rPr>
          <w:rFonts w:ascii="Arial" w:eastAsia="Arial" w:hAnsi="Arial" w:cs="Times New Roman"/>
          <w:bCs/>
          <w:sz w:val="30"/>
          <w:szCs w:val="30"/>
        </w:rPr>
        <w:t xml:space="preserve"> is one of fourteen cities designated for public hearings from</w:t>
      </w:r>
      <w:r w:rsidRPr="005E6F0D">
        <w:rPr>
          <w:rFonts w:ascii="Arial" w:eastAsia="Arial" w:hAnsi="Arial" w:cs="Arial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August until December.</w:t>
      </w:r>
      <w:r w:rsidRPr="005E6F0D">
        <w:rPr>
          <w:rFonts w:ascii="Arial" w:eastAsia="Arial" w:hAnsi="Arial" w:cs="Times New Roman"/>
          <w:bCs/>
          <w:spacing w:val="-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purpose of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meeting is to:</w:t>
      </w:r>
    </w:p>
    <w:p w:rsidR="005E6F0D" w:rsidRPr="005E6F0D" w:rsidRDefault="005E6F0D" w:rsidP="005E6F0D">
      <w:pPr>
        <w:widowControl w:val="0"/>
        <w:spacing w:before="7" w:after="0" w:line="240" w:lineRule="auto"/>
        <w:rPr>
          <w:rFonts w:ascii="Arial" w:eastAsia="Arial" w:hAnsi="Arial" w:cs="Arial"/>
          <w:bCs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9"/>
        </w:tabs>
        <w:spacing w:after="0" w:line="195" w:lineRule="auto"/>
        <w:ind w:right="109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Inform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about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responsibilities of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WASILC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</w:t>
      </w:r>
      <w:r w:rsidRPr="005E6F0D">
        <w:rPr>
          <w:rFonts w:ascii="Arial" w:eastAsia="Arial" w:hAnsi="Arial" w:cs="Times New Roman"/>
          <w:bCs/>
          <w:position w:val="2"/>
          <w:sz w:val="30"/>
          <w:szCs w:val="30"/>
        </w:rPr>
        <w:t xml:space="preserve">Centers </w:t>
      </w:r>
      <w:r w:rsidRPr="005E6F0D">
        <w:rPr>
          <w:rFonts w:ascii="Arial" w:eastAsia="Arial" w:hAnsi="Arial" w:cs="Times New Roman"/>
          <w:bCs/>
          <w:sz w:val="30"/>
          <w:szCs w:val="30"/>
        </w:rPr>
        <w:t>for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-5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 (CILs)</w:t>
      </w:r>
      <w:r w:rsidRPr="005E6F0D">
        <w:rPr>
          <w:rFonts w:ascii="Arial" w:eastAsia="Arial" w:hAnsi="Arial" w:cs="Times New Roman"/>
          <w:bCs/>
          <w:spacing w:val="-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42"/>
          <w:tab w:val="left" w:pos="2249"/>
          <w:tab w:val="left" w:pos="2808"/>
          <w:tab w:val="left" w:pos="4307"/>
          <w:tab w:val="left" w:pos="4797"/>
          <w:tab w:val="left" w:pos="5454"/>
          <w:tab w:val="left" w:pos="6544"/>
          <w:tab w:val="left" w:pos="7284"/>
          <w:tab w:val="left" w:pos="9690"/>
        </w:tabs>
        <w:spacing w:before="30" w:after="0" w:line="240" w:lineRule="auto"/>
        <w:ind w:left="941" w:hanging="610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Provide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an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overview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of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duties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and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 xml:space="preserve">responsibilities </w:t>
      </w:r>
      <w:r w:rsidRPr="005E6F0D">
        <w:rPr>
          <w:rFonts w:ascii="Arial" w:eastAsia="Arial" w:hAnsi="Arial" w:cs="Times New Roman"/>
          <w:bCs/>
          <w:sz w:val="30"/>
          <w:szCs w:val="30"/>
        </w:rPr>
        <w:t>of</w:t>
      </w:r>
    </w:p>
    <w:p w:rsidR="005E6F0D" w:rsidRPr="005E6F0D" w:rsidRDefault="005E6F0D" w:rsidP="005E6F0D">
      <w:pPr>
        <w:widowControl w:val="0"/>
        <w:spacing w:before="15" w:after="0" w:line="240" w:lineRule="auto"/>
        <w:ind w:left="921" w:right="136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WASILC, as they relate to systemic advocacy and education.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24"/>
        </w:tabs>
        <w:spacing w:before="96" w:after="0" w:line="251" w:lineRule="auto"/>
        <w:ind w:left="923" w:right="751" w:hanging="592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 xml:space="preserve">Provide an overview of the duties and responsibilities of the CILs and the core services they provide 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4"/>
        </w:tabs>
        <w:spacing w:before="68" w:after="0" w:line="249" w:lineRule="auto"/>
        <w:ind w:left="933" w:right="333" w:hanging="592"/>
        <w:jc w:val="both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Understand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how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local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community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serving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individuals</w:t>
      </w:r>
      <w:r w:rsidRPr="005E6F0D">
        <w:rPr>
          <w:rFonts w:ascii="Arial" w:eastAsia="Arial" w:hAnsi="Arial" w:cs="Times New Roman"/>
          <w:bCs/>
          <w:spacing w:val="27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 regards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housing,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transportation,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all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issues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pertaining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 people with disabilities living independently in our community.</w:t>
      </w:r>
    </w:p>
    <w:p w:rsidR="005E6F0D" w:rsidRPr="005E6F0D" w:rsidRDefault="005E6F0D" w:rsidP="005E6F0D">
      <w:pPr>
        <w:widowControl w:val="0"/>
        <w:tabs>
          <w:tab w:val="left" w:pos="934"/>
        </w:tabs>
        <w:spacing w:before="68" w:after="0" w:line="249" w:lineRule="auto"/>
        <w:ind w:left="933" w:right="333"/>
        <w:jc w:val="both"/>
        <w:rPr>
          <w:rFonts w:ascii="Arial" w:eastAsia="Arial" w:hAnsi="Arial" w:cs="Arial"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1"/>
          <w:numId w:val="1"/>
        </w:numPr>
        <w:tabs>
          <w:tab w:val="left" w:pos="1988"/>
        </w:tabs>
        <w:spacing w:before="31" w:after="0" w:line="240" w:lineRule="auto"/>
        <w:ind w:hanging="274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Light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snacks and beverages will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be provided.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4425BA">
      <w:pPr>
        <w:pStyle w:val="NoSpacing"/>
        <w:rPr>
          <w:sz w:val="36"/>
          <w:szCs w:val="36"/>
        </w:rPr>
      </w:pPr>
      <w:r>
        <w:rPr>
          <w:rFonts w:ascii="Arial"/>
          <w:position w:val="2"/>
          <w:sz w:val="29"/>
        </w:rPr>
        <w:t xml:space="preserve">Where: </w:t>
      </w:r>
      <w:r w:rsidR="004425BA" w:rsidRPr="00EA2DD5">
        <w:rPr>
          <w:sz w:val="36"/>
          <w:szCs w:val="36"/>
        </w:rPr>
        <w:t xml:space="preserve">City of Bellevue Council Office 450 110th Ave. NE </w:t>
      </w:r>
    </w:p>
    <w:p w:rsidR="004425BA" w:rsidRPr="004425BA" w:rsidRDefault="004425BA" w:rsidP="004425BA">
      <w:pPr>
        <w:pStyle w:val="NoSpacing"/>
        <w:rPr>
          <w:sz w:val="36"/>
          <w:szCs w:val="36"/>
        </w:rPr>
      </w:pPr>
    </w:p>
    <w:p w:rsidR="005E6F0D" w:rsidRPr="004369D4" w:rsidRDefault="005E6F0D" w:rsidP="004369D4">
      <w:pPr>
        <w:pStyle w:val="NoSpacing"/>
        <w:rPr>
          <w:sz w:val="36"/>
          <w:szCs w:val="36"/>
        </w:rPr>
      </w:pPr>
      <w:r>
        <w:rPr>
          <w:rFonts w:ascii="Arial"/>
          <w:position w:val="2"/>
          <w:sz w:val="29"/>
        </w:rPr>
        <w:t xml:space="preserve">When: </w:t>
      </w:r>
      <w:r w:rsidR="004369D4">
        <w:rPr>
          <w:rFonts w:ascii="Arial"/>
          <w:position w:val="2"/>
          <w:sz w:val="29"/>
        </w:rPr>
        <w:t>Tuesday</w:t>
      </w:r>
      <w:r w:rsidR="00313641">
        <w:rPr>
          <w:rFonts w:ascii="Arial"/>
          <w:position w:val="2"/>
          <w:sz w:val="29"/>
        </w:rPr>
        <w:t xml:space="preserve">, December </w:t>
      </w:r>
      <w:r w:rsidR="004369D4">
        <w:rPr>
          <w:rFonts w:ascii="Arial"/>
          <w:position w:val="2"/>
          <w:sz w:val="29"/>
        </w:rPr>
        <w:t>8</w:t>
      </w:r>
      <w:r w:rsidR="00313641">
        <w:rPr>
          <w:rFonts w:ascii="Arial"/>
          <w:position w:val="2"/>
          <w:sz w:val="29"/>
        </w:rPr>
        <w:t xml:space="preserve">, 2015 from </w:t>
      </w:r>
      <w:r w:rsidR="004425BA">
        <w:rPr>
          <w:sz w:val="36"/>
          <w:szCs w:val="36"/>
        </w:rPr>
        <w:t>5:00 pm to 7:00 pm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Call to RSVP and request accommodations for this event at (800) 624-4105. Accommodations must be made two weeks in advance.</w:t>
      </w:r>
    </w:p>
    <w:p w:rsidR="003346A7" w:rsidRDefault="003346A7" w:rsidP="005E6F0D">
      <w:pPr>
        <w:pStyle w:val="ListParagraph"/>
        <w:ind w:left="1987"/>
      </w:pPr>
    </w:p>
    <w:sectPr w:rsidR="003346A7" w:rsidSect="005E6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FCD"/>
    <w:multiLevelType w:val="hybridMultilevel"/>
    <w:tmpl w:val="652E0A7C"/>
    <w:lvl w:ilvl="0" w:tplc="52088174">
      <w:start w:val="1"/>
      <w:numFmt w:val="bullet"/>
      <w:lvlText w:val=""/>
      <w:lvlJc w:val="left"/>
      <w:pPr>
        <w:ind w:left="938" w:hanging="580"/>
      </w:pPr>
      <w:rPr>
        <w:rFonts w:ascii="Symbol" w:eastAsia="Symbol" w:hAnsi="Symbol" w:hint="default"/>
        <w:w w:val="99"/>
        <w:position w:val="5"/>
        <w:sz w:val="32"/>
        <w:szCs w:val="32"/>
      </w:rPr>
    </w:lvl>
    <w:lvl w:ilvl="1" w:tplc="D9564F8E">
      <w:start w:val="1"/>
      <w:numFmt w:val="bullet"/>
      <w:lvlText w:val=""/>
      <w:lvlJc w:val="left"/>
      <w:pPr>
        <w:ind w:left="1987" w:hanging="275"/>
      </w:pPr>
      <w:rPr>
        <w:rFonts w:ascii="Symbol" w:eastAsia="Symbol" w:hAnsi="Symbol" w:hint="default"/>
        <w:w w:val="99"/>
        <w:sz w:val="32"/>
        <w:szCs w:val="32"/>
      </w:rPr>
    </w:lvl>
    <w:lvl w:ilvl="2" w:tplc="683A0998">
      <w:start w:val="1"/>
      <w:numFmt w:val="bullet"/>
      <w:lvlText w:val="•"/>
      <w:lvlJc w:val="left"/>
      <w:pPr>
        <w:ind w:left="2986" w:hanging="275"/>
      </w:pPr>
      <w:rPr>
        <w:rFonts w:hint="default"/>
      </w:rPr>
    </w:lvl>
    <w:lvl w:ilvl="3" w:tplc="8D5808F6">
      <w:start w:val="1"/>
      <w:numFmt w:val="bullet"/>
      <w:lvlText w:val="•"/>
      <w:lvlJc w:val="left"/>
      <w:pPr>
        <w:ind w:left="3986" w:hanging="275"/>
      </w:pPr>
      <w:rPr>
        <w:rFonts w:hint="default"/>
      </w:rPr>
    </w:lvl>
    <w:lvl w:ilvl="4" w:tplc="34D43034">
      <w:start w:val="1"/>
      <w:numFmt w:val="bullet"/>
      <w:lvlText w:val="•"/>
      <w:lvlJc w:val="left"/>
      <w:pPr>
        <w:ind w:left="4985" w:hanging="275"/>
      </w:pPr>
      <w:rPr>
        <w:rFonts w:hint="default"/>
      </w:rPr>
    </w:lvl>
    <w:lvl w:ilvl="5" w:tplc="99BC54AC">
      <w:start w:val="1"/>
      <w:numFmt w:val="bullet"/>
      <w:lvlText w:val="•"/>
      <w:lvlJc w:val="left"/>
      <w:pPr>
        <w:ind w:left="5984" w:hanging="275"/>
      </w:pPr>
      <w:rPr>
        <w:rFonts w:hint="default"/>
      </w:rPr>
    </w:lvl>
    <w:lvl w:ilvl="6" w:tplc="DC901720">
      <w:start w:val="1"/>
      <w:numFmt w:val="bullet"/>
      <w:lvlText w:val="•"/>
      <w:lvlJc w:val="left"/>
      <w:pPr>
        <w:ind w:left="6983" w:hanging="275"/>
      </w:pPr>
      <w:rPr>
        <w:rFonts w:hint="default"/>
      </w:rPr>
    </w:lvl>
    <w:lvl w:ilvl="7" w:tplc="99AAA65C">
      <w:start w:val="1"/>
      <w:numFmt w:val="bullet"/>
      <w:lvlText w:val="•"/>
      <w:lvlJc w:val="left"/>
      <w:pPr>
        <w:ind w:left="7982" w:hanging="275"/>
      </w:pPr>
      <w:rPr>
        <w:rFonts w:hint="default"/>
      </w:rPr>
    </w:lvl>
    <w:lvl w:ilvl="8" w:tplc="9306F690">
      <w:start w:val="1"/>
      <w:numFmt w:val="bullet"/>
      <w:lvlText w:val="•"/>
      <w:lvlJc w:val="left"/>
      <w:pPr>
        <w:ind w:left="8981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0D"/>
    <w:rsid w:val="00313641"/>
    <w:rsid w:val="003346A7"/>
    <w:rsid w:val="004369D4"/>
    <w:rsid w:val="004425BA"/>
    <w:rsid w:val="005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  <w:style w:type="paragraph" w:styleId="NoSpacing">
    <w:name w:val="No Spacing"/>
    <w:uiPriority w:val="1"/>
    <w:qFormat/>
    <w:rsid w:val="00436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  <w:style w:type="paragraph" w:styleId="NoSpacing">
    <w:name w:val="No Spacing"/>
    <w:uiPriority w:val="1"/>
    <w:qFormat/>
    <w:rsid w:val="00436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Megan A  (WASILC)</dc:creator>
  <cp:lastModifiedBy>Holloway, Megan A  (WASILC)</cp:lastModifiedBy>
  <cp:revision>2</cp:revision>
  <dcterms:created xsi:type="dcterms:W3CDTF">2015-11-24T22:32:00Z</dcterms:created>
  <dcterms:modified xsi:type="dcterms:W3CDTF">2015-11-24T22:32:00Z</dcterms:modified>
</cp:coreProperties>
</file>