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media/image2.jpeg" ContentType="image/jpeg"/>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Text"/>
        <w:ind w:left="0" w:firstLine="0"/>
        <w:rPr>
          <w:rFonts w:ascii="Times New Roman" w:cs="Times New Roman" w:hAnsi="Times New Roman" w:eastAsia="Times New Roman"/>
          <w:sz w:val="20"/>
          <w:szCs w:val="20"/>
        </w:rPr>
      </w:pPr>
      <w:r>
        <mc:AlternateContent>
          <mc:Choice Requires="wps">
            <w:drawing>
              <wp:anchor distT="57150" distB="57150" distL="57150" distR="57150" simplePos="0" relativeHeight="251657216" behindDoc="1" locked="0" layoutInCell="1" allowOverlap="1">
                <wp:simplePos x="0" y="0"/>
                <wp:positionH relativeFrom="page">
                  <wp:posOffset>0</wp:posOffset>
                </wp:positionH>
                <wp:positionV relativeFrom="page">
                  <wp:posOffset>615950</wp:posOffset>
                </wp:positionV>
                <wp:extent cx="7761606" cy="497206"/>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761606" cy="49720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21600"/>
                              </a:moveTo>
                              <a:lnTo>
                                <a:pt x="21600" y="21600"/>
                              </a:lnTo>
                              <a:lnTo>
                                <a:pt x="21600" y="0"/>
                              </a:lnTo>
                              <a:lnTo>
                                <a:pt x="0" y="0"/>
                              </a:lnTo>
                            </a:path>
                          </a:pathLst>
                        </a:custGeom>
                        <a:noFill/>
                        <a:ln w="12700" cap="flat">
                          <a:solidFill>
                            <a:srgbClr val="2E528F"/>
                          </a:solidFill>
                          <a:prstDash val="solid"/>
                          <a:round/>
                        </a:ln>
                        <a:effectLst/>
                      </wps:spPr>
                      <wps:bodyPr/>
                    </wps:wsp>
                  </a:graphicData>
                </a:graphic>
              </wp:anchor>
            </w:drawing>
          </mc:Choice>
          <mc:Fallback>
            <w:pict>
              <v:shape id="_x0000_s1026" style="visibility:visible;position:absolute;margin-left:0.0pt;margin-top:48.5pt;width:611.2pt;height:39.2pt;z-index:-251659264;mso-position-horizontal:absolute;mso-position-horizontal-relative:page;mso-position-vertical:absolute;mso-position-vertical-relative:page;mso-wrap-distance-left:4.5pt;mso-wrap-distance-top:4.5pt;mso-wrap-distance-right:4.5pt;mso-wrap-distance-bottom:4.5pt;" coordorigin="0,0" coordsize="21600,21600" path="M 0,21600 L 21600,21600 L 21600,0 L 0,0 E">
                <v:fill on="f"/>
                <v:stroke filltype="solid" color="#2E528F" opacity="100.0%" weight="1.0pt" dashstyle="solid" endcap="flat" joinstyle="round" linestyle="single" startarrow="none" startarrowwidth="medium" startarrowlength="medium" endarrow="none" endarrowwidth="medium" endarrowlength="medium"/>
                <w10:wrap type="none" side="bothSides" anchorx="page" anchory="page"/>
              </v:shape>
            </w:pict>
          </mc:Fallback>
        </mc:AlternateContent>
      </w:r>
      <w:r>
        <w:rPr>
          <w:rFonts w:ascii="Times New Roman" w:cs="Times New Roman" w:hAnsi="Times New Roman" w:eastAsia="Times New Roman"/>
          <w:sz w:val="20"/>
          <w:szCs w:val="20"/>
        </w:rPr>
        <mc:AlternateContent>
          <mc:Choice Requires="wpg">
            <w:drawing>
              <wp:inline distT="0" distB="0" distL="0" distR="0">
                <wp:extent cx="7783265" cy="484506"/>
                <wp:effectExtent l="0" t="0" r="0" b="0"/>
                <wp:docPr id="1073741828" name="officeArt object"/>
                <wp:cNvGraphicFramePr/>
                <a:graphic xmlns:a="http://schemas.openxmlformats.org/drawingml/2006/main">
                  <a:graphicData uri="http://schemas.microsoft.com/office/word/2010/wordprocessingGroup">
                    <wpg:wgp>
                      <wpg:cNvGrpSpPr/>
                      <wpg:grpSpPr>
                        <a:xfrm>
                          <a:off x="0" y="0"/>
                          <a:ext cx="7783265" cy="484506"/>
                          <a:chOff x="0" y="0"/>
                          <a:chExt cx="7783264" cy="484505"/>
                        </a:xfrm>
                      </wpg:grpSpPr>
                      <wps:wsp>
                        <wps:cNvPr id="1073741826" name="Shape 1073741826"/>
                        <wps:cNvSpPr/>
                        <wps:spPr>
                          <a:xfrm>
                            <a:off x="0" y="0"/>
                            <a:ext cx="7755256" cy="484506"/>
                          </a:xfrm>
                          <a:prstGeom prst="rect">
                            <a:avLst/>
                          </a:prstGeom>
                          <a:solidFill>
                            <a:srgbClr val="FFF1CC"/>
                          </a:solidFill>
                          <a:ln w="12700" cap="flat">
                            <a:noFill/>
                            <a:miter lim="400000"/>
                          </a:ln>
                          <a:effectLst/>
                        </wps:spPr>
                        <wps:bodyPr/>
                      </wps:wsp>
                      <wps:wsp>
                        <wps:cNvPr id="1073741827" name="Shape 1073741827"/>
                        <wps:cNvSpPr/>
                        <wps:spPr>
                          <a:xfrm>
                            <a:off x="0" y="0"/>
                            <a:ext cx="7783265" cy="484506"/>
                          </a:xfrm>
                          <a:prstGeom prst="rect">
                            <a:avLst/>
                          </a:prstGeom>
                          <a:noFill/>
                          <a:ln w="12700" cap="flat">
                            <a:noFill/>
                            <a:miter lim="400000"/>
                          </a:ln>
                          <a:effectLst/>
                        </wps:spPr>
                        <wps:txbx>
                          <w:txbxContent>
                            <w:p>
                              <w:pPr>
                                <w:pStyle w:val="Body"/>
                                <w:spacing w:before="101"/>
                                <w:ind w:left="1080" w:firstLine="0"/>
                              </w:pPr>
                              <w:r>
                                <w:rPr>
                                  <w:b w:val="1"/>
                                  <w:bCs w:val="1"/>
                                  <w:sz w:val="44"/>
                                  <w:szCs w:val="44"/>
                                  <w:rtl w:val="0"/>
                                  <w:lang w:val="en-US"/>
                                </w:rPr>
                                <w:t>Ending subminimum wages for people with disabilities</w:t>
                              </w:r>
                            </w:p>
                          </w:txbxContent>
                        </wps:txbx>
                        <wps:bodyPr wrap="square" lIns="0" tIns="0" rIns="0" bIns="0" numCol="1" anchor="t">
                          <a:noAutofit/>
                        </wps:bodyPr>
                      </wps:wsp>
                    </wpg:wgp>
                  </a:graphicData>
                </a:graphic>
              </wp:inline>
            </w:drawing>
          </mc:Choice>
          <mc:Fallback>
            <w:pict>
              <v:group id="_x0000_s1027" style="visibility:visible;width:612.9pt;height:38.2pt;" coordorigin="0,0" coordsize="7783264,484505">
                <v:rect id="_x0000_s1028" style="position:absolute;left:0;top:0;width:7755255;height:484505;">
                  <v:fill color="#FFF1CC" opacity="100.0%" type="solid"/>
                  <v:stroke on="f" weight="1.0pt" dashstyle="solid" endcap="flat" miterlimit="400.0%" joinstyle="miter" linestyle="single" startarrow="none" startarrowwidth="medium" startarrowlength="medium" endarrow="none" endarrowwidth="medium" endarrowlength="medium"/>
                </v:rect>
                <v:rect id="_x0000_s1029" style="position:absolute;left:0;top:0;width:7783264;height:484505;">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01"/>
                          <w:ind w:left="1080" w:firstLine="0"/>
                        </w:pPr>
                        <w:r>
                          <w:rPr>
                            <w:b w:val="1"/>
                            <w:bCs w:val="1"/>
                            <w:sz w:val="44"/>
                            <w:szCs w:val="44"/>
                            <w:rtl w:val="0"/>
                            <w:lang w:val="en-US"/>
                          </w:rPr>
                          <w:t>Ending subminimum wages for people with disabilities</w:t>
                        </w:r>
                      </w:p>
                    </w:txbxContent>
                  </v:textbox>
                </v:rect>
              </v:group>
            </w:pict>
          </mc:Fallback>
        </mc:AlternateContent>
      </w:r>
    </w:p>
    <w:p>
      <w:pPr>
        <w:pStyle w:val="Body"/>
        <w:spacing w:before="79" w:line="259" w:lineRule="auto"/>
        <w:ind w:left="1080" w:right="1096" w:firstLine="0"/>
        <w:rPr>
          <w:rStyle w:val="None"/>
          <w:sz w:val="24"/>
          <w:szCs w:val="24"/>
        </w:rPr>
      </w:pPr>
      <w:r>
        <w:rPr>
          <w:rStyle w:val="Hyperlink.0"/>
        </w:rPr>
        <w:fldChar w:fldCharType="begin" w:fldLock="0"/>
      </w:r>
      <w:r>
        <w:rPr>
          <w:rStyle w:val="Hyperlink.0"/>
        </w:rPr>
        <w:instrText xml:space="preserve"> HYPERLINK "https://app.leg.wa.gov/billsummary?BillNumber=1706&amp;amp;Year=2019&amp;amp;Initiative=false"</w:instrText>
      </w:r>
      <w:r>
        <w:rPr>
          <w:rStyle w:val="Hyperlink.0"/>
        </w:rPr>
        <w:fldChar w:fldCharType="separate" w:fldLock="0"/>
      </w:r>
      <w:r>
        <w:rPr>
          <w:rStyle w:val="Hyperlink.0"/>
          <w:rtl w:val="0"/>
        </w:rPr>
        <w:t>HB 1706</w:t>
      </w:r>
      <w:r>
        <w:rPr/>
        <w:fldChar w:fldCharType="end" w:fldLock="0"/>
      </w:r>
      <w:r>
        <w:rPr>
          <w:rStyle w:val="None"/>
          <w:b w:val="1"/>
          <w:bCs w:val="1"/>
          <w:sz w:val="24"/>
          <w:szCs w:val="24"/>
          <w:rtl w:val="0"/>
          <w:lang w:val="en-US"/>
        </w:rPr>
        <w:t xml:space="preserve">. Sponsored by Representatives </w:t>
      </w:r>
      <w:r>
        <w:rPr>
          <w:rStyle w:val="Hyperlink.1"/>
        </w:rPr>
        <w:fldChar w:fldCharType="begin" w:fldLock="0"/>
      </w:r>
      <w:r>
        <w:rPr>
          <w:rStyle w:val="Hyperlink.1"/>
        </w:rPr>
        <w:instrText xml:space="preserve"> HYPERLINK "http://leg.wa.gov/house/representatives/pages/default.aspx%23frame"</w:instrText>
      </w:r>
      <w:r>
        <w:rPr>
          <w:rStyle w:val="Hyperlink.1"/>
        </w:rPr>
        <w:fldChar w:fldCharType="separate" w:fldLock="0"/>
      </w:r>
      <w:r>
        <w:rPr>
          <w:rStyle w:val="Hyperlink.1"/>
          <w:rtl w:val="0"/>
        </w:rPr>
        <w:t>Frame</w:t>
      </w:r>
      <w:r>
        <w:rPr/>
        <w:fldChar w:fldCharType="end" w:fldLock="0"/>
      </w:r>
      <w:r>
        <w:rPr>
          <w:rStyle w:val="None"/>
          <w:sz w:val="24"/>
          <w:szCs w:val="24"/>
          <w:rtl w:val="0"/>
        </w:rPr>
        <w:t xml:space="preserve">, </w:t>
      </w:r>
      <w:r>
        <w:rPr>
          <w:rStyle w:val="Hyperlink.1"/>
        </w:rPr>
        <w:fldChar w:fldCharType="begin" w:fldLock="0"/>
      </w:r>
      <w:r>
        <w:rPr>
          <w:rStyle w:val="Hyperlink.1"/>
        </w:rPr>
        <w:instrText xml:space="preserve"> HYPERLINK "http://leg.wa.gov/house/representatives/pages/default.aspx%23sells"</w:instrText>
      </w:r>
      <w:r>
        <w:rPr>
          <w:rStyle w:val="Hyperlink.1"/>
        </w:rPr>
        <w:fldChar w:fldCharType="separate" w:fldLock="0"/>
      </w:r>
      <w:r>
        <w:rPr>
          <w:rStyle w:val="Hyperlink.1"/>
          <w:rtl w:val="0"/>
          <w:lang w:val="de-DE"/>
        </w:rPr>
        <w:t>Sells</w:t>
      </w:r>
      <w:r>
        <w:rPr/>
        <w:fldChar w:fldCharType="end" w:fldLock="0"/>
      </w:r>
      <w:r>
        <w:rPr>
          <w:rStyle w:val="None"/>
          <w:sz w:val="24"/>
          <w:szCs w:val="24"/>
          <w:rtl w:val="0"/>
        </w:rPr>
        <w:t xml:space="preserve">, </w:t>
      </w:r>
      <w:r>
        <w:rPr>
          <w:rStyle w:val="Hyperlink.1"/>
        </w:rPr>
        <w:fldChar w:fldCharType="begin" w:fldLock="0"/>
      </w:r>
      <w:r>
        <w:rPr>
          <w:rStyle w:val="Hyperlink.1"/>
        </w:rPr>
        <w:instrText xml:space="preserve"> HYPERLINK "http://leg.wa.gov/house/representatives/pages/default.aspx%23macri"</w:instrText>
      </w:r>
      <w:r>
        <w:rPr>
          <w:rStyle w:val="Hyperlink.1"/>
        </w:rPr>
        <w:fldChar w:fldCharType="separate" w:fldLock="0"/>
      </w:r>
      <w:r>
        <w:rPr>
          <w:rStyle w:val="Hyperlink.1"/>
          <w:rtl w:val="0"/>
          <w:lang w:val="fr-FR"/>
        </w:rPr>
        <w:t>Macri</w:t>
      </w:r>
      <w:r>
        <w:rPr/>
        <w:fldChar w:fldCharType="end" w:fldLock="0"/>
      </w:r>
      <w:r>
        <w:rPr>
          <w:rStyle w:val="None"/>
          <w:sz w:val="24"/>
          <w:szCs w:val="24"/>
          <w:rtl w:val="0"/>
        </w:rPr>
        <w:t xml:space="preserve">, </w:t>
      </w:r>
      <w:r>
        <w:rPr>
          <w:rStyle w:val="Hyperlink.1"/>
        </w:rPr>
        <w:fldChar w:fldCharType="begin" w:fldLock="0"/>
      </w:r>
      <w:r>
        <w:rPr>
          <w:rStyle w:val="Hyperlink.1"/>
        </w:rPr>
        <w:instrText xml:space="preserve"> HYPERLINK "http://leg.wa.gov/house/representatives/pages/default.aspx%23doglio"</w:instrText>
      </w:r>
      <w:r>
        <w:rPr>
          <w:rStyle w:val="Hyperlink.1"/>
        </w:rPr>
        <w:fldChar w:fldCharType="separate" w:fldLock="0"/>
      </w:r>
      <w:r>
        <w:rPr>
          <w:rStyle w:val="Hyperlink.1"/>
          <w:rtl w:val="0"/>
          <w:lang w:val="it-IT"/>
        </w:rPr>
        <w:t>Doglio</w:t>
      </w:r>
      <w:r>
        <w:rPr/>
        <w:fldChar w:fldCharType="end" w:fldLock="0"/>
      </w:r>
      <w:r>
        <w:rPr>
          <w:rStyle w:val="None"/>
          <w:sz w:val="24"/>
          <w:szCs w:val="24"/>
          <w:rtl w:val="0"/>
        </w:rPr>
        <w:t xml:space="preserve">, </w:t>
      </w:r>
      <w:r>
        <w:rPr>
          <w:rStyle w:val="Hyperlink.1"/>
        </w:rPr>
        <w:fldChar w:fldCharType="begin" w:fldLock="0"/>
      </w:r>
      <w:r>
        <w:rPr>
          <w:rStyle w:val="Hyperlink.1"/>
        </w:rPr>
        <w:instrText xml:space="preserve"> HYPERLINK "http://leg.wa.gov/house/representatives/pages/default.aspx%23gregerson"</w:instrText>
      </w:r>
      <w:r>
        <w:rPr>
          <w:rStyle w:val="Hyperlink.1"/>
        </w:rPr>
        <w:fldChar w:fldCharType="separate" w:fldLock="0"/>
      </w:r>
      <w:r>
        <w:rPr>
          <w:rStyle w:val="Hyperlink.1"/>
          <w:rtl w:val="0"/>
          <w:lang w:val="nl-NL"/>
        </w:rPr>
        <w:t>Gregerson</w:t>
      </w:r>
      <w:r>
        <w:rPr/>
        <w:fldChar w:fldCharType="end" w:fldLock="0"/>
      </w:r>
      <w:r>
        <w:rPr>
          <w:rStyle w:val="None"/>
          <w:sz w:val="24"/>
          <w:szCs w:val="24"/>
          <w:rtl w:val="0"/>
        </w:rPr>
        <w:t xml:space="preserve">, </w:t>
      </w:r>
      <w:r>
        <w:rPr>
          <w:rStyle w:val="Hyperlink.1"/>
        </w:rPr>
        <w:fldChar w:fldCharType="begin" w:fldLock="0"/>
      </w:r>
      <w:r>
        <w:rPr>
          <w:rStyle w:val="Hyperlink.1"/>
        </w:rPr>
        <w:instrText xml:space="preserve"> HYPERLINK "http://leg.wa.gov/house/representatives/pages/default.aspx%23riccelli"</w:instrText>
      </w:r>
      <w:r>
        <w:rPr>
          <w:rStyle w:val="Hyperlink.1"/>
        </w:rPr>
        <w:fldChar w:fldCharType="separate" w:fldLock="0"/>
      </w:r>
      <w:r>
        <w:rPr>
          <w:rStyle w:val="Hyperlink.1"/>
          <w:rtl w:val="0"/>
          <w:lang w:val="it-IT"/>
        </w:rPr>
        <w:t>Riccelli</w:t>
      </w:r>
      <w:r>
        <w:rPr/>
        <w:fldChar w:fldCharType="end" w:fldLock="0"/>
      </w:r>
      <w:r>
        <w:rPr>
          <w:rStyle w:val="None"/>
          <w:sz w:val="24"/>
          <w:szCs w:val="24"/>
          <w:rtl w:val="0"/>
        </w:rPr>
        <w:t xml:space="preserve">, </w:t>
      </w:r>
      <w:r>
        <w:rPr>
          <w:rStyle w:val="Hyperlink.1"/>
        </w:rPr>
        <w:fldChar w:fldCharType="begin" w:fldLock="0"/>
      </w:r>
      <w:r>
        <w:rPr>
          <w:rStyle w:val="Hyperlink.1"/>
        </w:rPr>
        <w:instrText xml:space="preserve"> HYPERLINK "http://leg.wa.gov/house/representatives/pages/default.aspx%23callan"</w:instrText>
      </w:r>
      <w:r>
        <w:rPr>
          <w:rStyle w:val="Hyperlink.1"/>
        </w:rPr>
        <w:fldChar w:fldCharType="separate" w:fldLock="0"/>
      </w:r>
      <w:r>
        <w:rPr>
          <w:rStyle w:val="Hyperlink.1"/>
          <w:rtl w:val="0"/>
          <w:lang w:val="it-IT"/>
        </w:rPr>
        <w:t>Callan</w:t>
      </w:r>
      <w:r>
        <w:rPr/>
        <w:fldChar w:fldCharType="end" w:fldLock="0"/>
      </w:r>
      <w:r>
        <w:rPr>
          <w:rStyle w:val="None"/>
          <w:sz w:val="24"/>
          <w:szCs w:val="24"/>
          <w:rtl w:val="0"/>
        </w:rPr>
        <w:t xml:space="preserve">, </w:t>
      </w:r>
      <w:r>
        <w:rPr>
          <w:rStyle w:val="Hyperlink.1"/>
        </w:rPr>
        <w:fldChar w:fldCharType="begin" w:fldLock="0"/>
      </w:r>
      <w:r>
        <w:rPr>
          <w:rStyle w:val="Hyperlink.1"/>
        </w:rPr>
        <w:instrText xml:space="preserve"> HYPERLINK "http://leg.wa.gov/house/representatives/pages/default.aspx%23jinkins"</w:instrText>
      </w:r>
      <w:r>
        <w:rPr>
          <w:rStyle w:val="Hyperlink.1"/>
        </w:rPr>
        <w:fldChar w:fldCharType="separate" w:fldLock="0"/>
      </w:r>
      <w:r>
        <w:rPr>
          <w:rStyle w:val="Hyperlink.1"/>
          <w:rtl w:val="0"/>
        </w:rPr>
        <w:t>Jinkins</w:t>
      </w:r>
      <w:r>
        <w:rPr/>
        <w:fldChar w:fldCharType="end" w:fldLock="0"/>
      </w:r>
      <w:r>
        <w:rPr>
          <w:rStyle w:val="None"/>
          <w:sz w:val="24"/>
          <w:szCs w:val="24"/>
          <w:rtl w:val="0"/>
        </w:rPr>
        <w:t xml:space="preserve">, </w:t>
      </w:r>
      <w:r>
        <w:rPr>
          <w:rStyle w:val="Hyperlink.1"/>
        </w:rPr>
        <w:fldChar w:fldCharType="begin" w:fldLock="0"/>
      </w:r>
      <w:r>
        <w:rPr>
          <w:rStyle w:val="Hyperlink.1"/>
        </w:rPr>
        <w:instrText xml:space="preserve"> HYPERLINK "http://leg.wa.gov/house/representatives/pages/default.aspx%23goodman"</w:instrText>
      </w:r>
      <w:r>
        <w:rPr>
          <w:rStyle w:val="Hyperlink.1"/>
        </w:rPr>
        <w:fldChar w:fldCharType="separate" w:fldLock="0"/>
      </w:r>
      <w:r>
        <w:rPr>
          <w:rStyle w:val="Hyperlink.1"/>
          <w:rtl w:val="0"/>
          <w:lang w:val="en-US"/>
        </w:rPr>
        <w:t>Goodman</w:t>
      </w:r>
      <w:r>
        <w:rPr/>
        <w:fldChar w:fldCharType="end" w:fldLock="0"/>
      </w:r>
      <w:r>
        <w:rPr>
          <w:rStyle w:val="None"/>
          <w:sz w:val="24"/>
          <w:szCs w:val="24"/>
          <w:rtl w:val="0"/>
        </w:rPr>
        <w:t xml:space="preserve">, </w:t>
      </w:r>
      <w:r>
        <w:rPr>
          <w:rStyle w:val="Hyperlink.1"/>
        </w:rPr>
        <w:fldChar w:fldCharType="begin" w:fldLock="0"/>
      </w:r>
      <w:r>
        <w:rPr>
          <w:rStyle w:val="Hyperlink.1"/>
        </w:rPr>
        <w:instrText xml:space="preserve"> HYPERLINK "http://leg.wa.gov/house/representatives/pages/default.aspx%23valdez"</w:instrText>
      </w:r>
      <w:r>
        <w:rPr>
          <w:rStyle w:val="Hyperlink.1"/>
        </w:rPr>
        <w:fldChar w:fldCharType="separate" w:fldLock="0"/>
      </w:r>
      <w:r>
        <w:rPr>
          <w:rStyle w:val="Hyperlink.1"/>
          <w:rtl w:val="0"/>
          <w:lang w:val="es-ES_tradnl"/>
        </w:rPr>
        <w:t>Valdez</w:t>
      </w:r>
      <w:r>
        <w:rPr/>
        <w:fldChar w:fldCharType="end" w:fldLock="0"/>
      </w:r>
      <w:r>
        <w:rPr>
          <w:rStyle w:val="None"/>
          <w:sz w:val="24"/>
          <w:szCs w:val="24"/>
          <w:rtl w:val="0"/>
        </w:rPr>
        <w:t xml:space="preserve">, </w:t>
      </w:r>
      <w:r>
        <w:rPr>
          <w:rStyle w:val="Hyperlink.1"/>
        </w:rPr>
        <w:fldChar w:fldCharType="begin" w:fldLock="0"/>
      </w:r>
      <w:r>
        <w:rPr>
          <w:rStyle w:val="Hyperlink.1"/>
        </w:rPr>
        <w:instrText xml:space="preserve"> HYPERLINK "http://leg.wa.gov/house/representatives/pages/default.aspx%23bergquist"</w:instrText>
      </w:r>
      <w:r>
        <w:rPr>
          <w:rStyle w:val="Hyperlink.1"/>
        </w:rPr>
        <w:fldChar w:fldCharType="separate" w:fldLock="0"/>
      </w:r>
      <w:r>
        <w:rPr>
          <w:rStyle w:val="Hyperlink.1"/>
          <w:rtl w:val="0"/>
          <w:lang w:val="it-IT"/>
        </w:rPr>
        <w:t>Bergquist</w:t>
      </w:r>
      <w:r>
        <w:rPr/>
        <w:fldChar w:fldCharType="end" w:fldLock="0"/>
      </w:r>
      <w:r>
        <w:rPr>
          <w:rStyle w:val="None"/>
          <w:sz w:val="24"/>
          <w:szCs w:val="24"/>
          <w:rtl w:val="0"/>
        </w:rPr>
        <w:t xml:space="preserve">, </w:t>
      </w:r>
      <w:r>
        <w:rPr>
          <w:rStyle w:val="Hyperlink.1"/>
        </w:rPr>
        <w:fldChar w:fldCharType="begin" w:fldLock="0"/>
      </w:r>
      <w:r>
        <w:rPr>
          <w:rStyle w:val="Hyperlink.1"/>
        </w:rPr>
        <w:instrText xml:space="preserve"> HYPERLINK "http://leg.wa.gov/house/representatives/pages/default.aspx%23kloba"</w:instrText>
      </w:r>
      <w:r>
        <w:rPr>
          <w:rStyle w:val="Hyperlink.1"/>
        </w:rPr>
        <w:fldChar w:fldCharType="separate" w:fldLock="0"/>
      </w:r>
      <w:r>
        <w:rPr>
          <w:rStyle w:val="Hyperlink.1"/>
          <w:rtl w:val="0"/>
        </w:rPr>
        <w:t>Kloba</w:t>
      </w:r>
      <w:r>
        <w:rPr/>
        <w:fldChar w:fldCharType="end" w:fldLock="0"/>
      </w:r>
      <w:r>
        <w:rPr>
          <w:rStyle w:val="None"/>
          <w:sz w:val="24"/>
          <w:szCs w:val="24"/>
          <w:rtl w:val="0"/>
        </w:rPr>
        <w:t xml:space="preserve">, </w:t>
      </w:r>
      <w:r>
        <w:rPr>
          <w:rStyle w:val="Hyperlink.1"/>
        </w:rPr>
        <w:fldChar w:fldCharType="begin" w:fldLock="0"/>
      </w:r>
      <w:r>
        <w:rPr>
          <w:rStyle w:val="Hyperlink.1"/>
        </w:rPr>
        <w:instrText xml:space="preserve"> HYPERLINK "http://leg.wa.gov/house/representatives/pages/default.aspx%23pollet"</w:instrText>
      </w:r>
      <w:r>
        <w:rPr>
          <w:rStyle w:val="Hyperlink.1"/>
        </w:rPr>
        <w:fldChar w:fldCharType="separate" w:fldLock="0"/>
      </w:r>
      <w:r>
        <w:rPr>
          <w:rStyle w:val="Hyperlink.1"/>
          <w:rtl w:val="0"/>
          <w:lang w:val="it-IT"/>
        </w:rPr>
        <w:t>Pollet</w:t>
      </w:r>
      <w:r>
        <w:rPr/>
        <w:fldChar w:fldCharType="end" w:fldLock="0"/>
      </w:r>
    </w:p>
    <w:p>
      <w:pPr>
        <w:pStyle w:val="Body Text"/>
        <w:ind w:left="0" w:firstLine="0"/>
        <w:rPr>
          <w:sz w:val="20"/>
          <w:szCs w:val="20"/>
        </w:rPr>
      </w:pPr>
    </w:p>
    <w:p>
      <w:pPr>
        <w:pStyle w:val="Body Text"/>
        <w:spacing w:before="183"/>
        <w:ind w:right="5973"/>
      </w:pPr>
      <w:r>
        <w:drawing>
          <wp:anchor distT="0" distB="0" distL="0" distR="0" simplePos="0" relativeHeight="251659264" behindDoc="0" locked="0" layoutInCell="1" allowOverlap="1">
            <wp:simplePos x="0" y="0"/>
            <wp:positionH relativeFrom="page">
              <wp:posOffset>4114800</wp:posOffset>
            </wp:positionH>
            <wp:positionV relativeFrom="line">
              <wp:posOffset>128823</wp:posOffset>
            </wp:positionV>
            <wp:extent cx="2971800" cy="1733550"/>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1.jpg"/>
                    <pic:cNvPicPr>
                      <a:picLocks noChangeAspect="1"/>
                    </pic:cNvPicPr>
                  </pic:nvPicPr>
                  <pic:blipFill>
                    <a:blip r:embed="rId4">
                      <a:extLst/>
                    </a:blip>
                    <a:stretch>
                      <a:fillRect/>
                    </a:stretch>
                  </pic:blipFill>
                  <pic:spPr>
                    <a:xfrm>
                      <a:off x="0" y="0"/>
                      <a:ext cx="2971800" cy="1733550"/>
                    </a:xfrm>
                    <a:prstGeom prst="rect">
                      <a:avLst/>
                    </a:prstGeom>
                    <a:ln w="12700" cap="flat">
                      <a:noFill/>
                      <a:miter lim="400000"/>
                    </a:ln>
                    <a:effectLst/>
                  </pic:spPr>
                </pic:pic>
              </a:graphicData>
            </a:graphic>
          </wp:anchor>
        </w:drawing>
      </w:r>
      <w:r>
        <w:rPr>
          <w:rStyle w:val="None"/>
          <w:b w:val="1"/>
          <w:bCs w:val="1"/>
          <w:color w:val="c00000"/>
          <w:u w:color="c00000"/>
          <w:rtl w:val="0"/>
          <w:lang w:val="en-US"/>
        </w:rPr>
        <w:t>SUBMINIMUM WAGES DON</w:t>
      </w:r>
      <w:r>
        <w:rPr>
          <w:rStyle w:val="None"/>
          <w:b w:val="1"/>
          <w:bCs w:val="1"/>
          <w:color w:val="c00000"/>
          <w:u w:color="c00000"/>
          <w:rtl w:val="0"/>
          <w:lang w:val="en-US"/>
        </w:rPr>
        <w:t>’</w:t>
      </w:r>
      <w:r>
        <w:rPr>
          <w:rStyle w:val="None"/>
          <w:b w:val="1"/>
          <w:bCs w:val="1"/>
          <w:color w:val="c00000"/>
          <w:u w:color="c00000"/>
          <w:rtl w:val="0"/>
          <w:lang w:val="en-US"/>
        </w:rPr>
        <w:t xml:space="preserve">T PAY. </w:t>
      </w:r>
      <w:r>
        <w:rPr>
          <w:rtl w:val="0"/>
          <w:lang w:val="en-US"/>
        </w:rPr>
        <w:t>As public policy, subminimum wages cost tax payers more and marginalize people with disabilities. The laws allowing them date to the 1930s and led to sheltered workshops where people with disabilities were not only segregated, they were paid pennies on the dollar, often at taxpayer expense. In</w:t>
      </w:r>
    </w:p>
    <w:p>
      <w:pPr>
        <w:pStyle w:val="Body Text"/>
        <w:ind w:right="5980"/>
      </w:pPr>
      <w:r>
        <w:rPr>
          <w:rtl w:val="0"/>
          <w:lang w:val="en-US"/>
        </w:rPr>
        <w:t>today</w:t>
      </w:r>
      <w:r>
        <w:rPr>
          <w:rtl w:val="0"/>
          <w:lang w:val="en-US"/>
        </w:rPr>
        <w:t>’</w:t>
      </w:r>
      <w:r>
        <w:rPr>
          <w:rtl w:val="0"/>
          <w:lang w:val="en-US"/>
        </w:rPr>
        <w:t xml:space="preserve">s Washington </w:t>
      </w:r>
      <w:r>
        <w:rPr>
          <w:rtl w:val="0"/>
          <w:lang w:val="en-US"/>
        </w:rPr>
        <w:t xml:space="preserve">– </w:t>
      </w:r>
      <w:r>
        <w:rPr>
          <w:rtl w:val="0"/>
          <w:lang w:val="en-US"/>
        </w:rPr>
        <w:t xml:space="preserve">where sheltered workshops have been mostly phased out </w:t>
      </w:r>
      <w:r>
        <w:rPr>
          <w:rtl w:val="0"/>
          <w:lang w:val="en-US"/>
        </w:rPr>
        <w:t xml:space="preserve">– </w:t>
      </w:r>
      <w:r>
        <w:rPr>
          <w:rtl w:val="0"/>
          <w:lang w:val="en-US"/>
        </w:rPr>
        <w:t>subminimum wages subject people with disabilities to discrimination in the workplace and undercut their earning potential.</w:t>
      </w:r>
    </w:p>
    <w:p>
      <w:pPr>
        <w:pStyle w:val="Body Text"/>
        <w:spacing w:before="6"/>
        <w:ind w:left="0" w:firstLine="0"/>
        <w:rPr>
          <w:sz w:val="17"/>
          <w:szCs w:val="17"/>
        </w:rPr>
      </w:pPr>
    </w:p>
    <w:p>
      <w:pPr>
        <w:pStyle w:val="Body Text"/>
        <w:spacing w:before="56"/>
        <w:ind w:right="1294"/>
      </w:pPr>
      <w:r>
        <w:rPr>
          <w:rStyle w:val="None"/>
          <w:b w:val="1"/>
          <w:bCs w:val="1"/>
          <w:color w:val="c00000"/>
          <w:u w:color="c00000"/>
          <w:rtl w:val="0"/>
          <w:lang w:val="en-US"/>
        </w:rPr>
        <w:t xml:space="preserve">WHICH IS BETTER? 87% SUCCESS, OR 1%? </w:t>
      </w:r>
      <w:r>
        <w:rPr>
          <w:rtl w:val="0"/>
          <w:lang w:val="en-US"/>
        </w:rPr>
        <w:t xml:space="preserve">Research and real-world experience both tell us that with the right job match and tailored supports, even people with the most significant support needs can work successfully in competitive, integrated employment at minimum wage or higher. </w:t>
      </w:r>
      <w:r>
        <w:rPr>
          <w:rtl w:val="0"/>
          <w:lang w:val="en-US"/>
        </w:rPr>
        <w:t>“</w:t>
      </w:r>
      <w:r>
        <w:rPr>
          <w:rtl w:val="0"/>
          <w:lang w:val="en-US"/>
        </w:rPr>
        <w:t>Competitive and integrated</w:t>
      </w:r>
      <w:r>
        <w:rPr>
          <w:rtl w:val="0"/>
          <w:lang w:val="en-US"/>
        </w:rPr>
        <w:t xml:space="preserve">” </w:t>
      </w:r>
      <w:r>
        <w:rPr>
          <w:rtl w:val="0"/>
          <w:lang w:val="en-US"/>
        </w:rPr>
        <w:t>just means a normal job in a normal workplace, alongside co-workers who do not have disabilities.</w:t>
      </w:r>
    </w:p>
    <w:p>
      <w:pPr>
        <w:pStyle w:val="Body Text"/>
        <w:spacing w:before="12"/>
        <w:ind w:left="0" w:firstLine="0"/>
        <w:rPr>
          <w:sz w:val="21"/>
          <w:szCs w:val="21"/>
        </w:rPr>
      </w:pPr>
    </w:p>
    <w:p>
      <w:pPr>
        <w:pStyle w:val="Body Text"/>
        <w:ind w:right="1127"/>
      </w:pPr>
      <w:r>
        <w:rPr>
          <w:rtl w:val="0"/>
          <w:lang w:val="en-US"/>
        </w:rPr>
        <w:t>In Washington, we lead the nation with an 87 percent employment rate of people with developmental disabilities who receive employment services. We do this by helping people find the right job and follow up with training specific to that job. In states that rely on subminimum wages to spur employment, as few as 1 percent of people with developmental disabilities who are receiving employment supports are competitively employed in integrated settings.</w:t>
      </w:r>
    </w:p>
    <w:p>
      <w:pPr>
        <w:pStyle w:val="Body Text"/>
        <w:spacing w:before="1"/>
        <w:ind w:left="0" w:firstLine="0"/>
      </w:pPr>
    </w:p>
    <w:p>
      <w:pPr>
        <w:pStyle w:val="Body Text"/>
        <w:ind w:right="1212"/>
      </w:pPr>
      <w:r>
        <w:rPr>
          <w:rStyle w:val="None"/>
          <w:b w:val="1"/>
          <w:bCs w:val="1"/>
          <w:color w:val="c00000"/>
          <w:u w:color="c00000"/>
          <w:rtl w:val="0"/>
          <w:lang w:val="en-US"/>
        </w:rPr>
        <w:t xml:space="preserve">THE REAL ISSUE? BAD JOB MATCHES. </w:t>
      </w:r>
      <w:r>
        <w:rPr>
          <w:rtl w:val="0"/>
          <w:lang w:val="en-US"/>
        </w:rPr>
        <w:t xml:space="preserve">Subminimum wages are set by productivity tests. People with disabilities are paid based on a percentage of what a </w:t>
      </w:r>
      <w:r>
        <w:rPr>
          <w:rtl w:val="0"/>
          <w:lang w:val="en-US"/>
        </w:rPr>
        <w:t>“</w:t>
      </w:r>
      <w:r>
        <w:rPr>
          <w:rtl w:val="0"/>
          <w:lang w:val="en-US"/>
        </w:rPr>
        <w:t>normal</w:t>
      </w:r>
      <w:r>
        <w:rPr>
          <w:rtl w:val="0"/>
          <w:lang w:val="en-US"/>
        </w:rPr>
        <w:t xml:space="preserve">” </w:t>
      </w:r>
      <w:r>
        <w:rPr>
          <w:rtl w:val="0"/>
          <w:lang w:val="en-US"/>
        </w:rPr>
        <w:t xml:space="preserve">person would produce. No other employees are subject to this test; the presence of disabilities is presumed to hinder job performance. The real issue with job performance, though, job </w:t>
      </w:r>
      <w:r>
        <w:rPr>
          <w:rStyle w:val="None"/>
          <w:i w:val="1"/>
          <w:iCs w:val="1"/>
          <w:rtl w:val="0"/>
          <w:lang w:val="en-US"/>
        </w:rPr>
        <w:t>suitability</w:t>
      </w:r>
      <w:r>
        <w:rPr>
          <w:rtl w:val="0"/>
          <w:lang w:val="en-US"/>
        </w:rPr>
        <w:t>. This is true for everyone. If someone is in the wrong job, they aren</w:t>
      </w:r>
      <w:r>
        <w:rPr>
          <w:rtl w:val="0"/>
          <w:lang w:val="en-US"/>
        </w:rPr>
        <w:t>’</w:t>
      </w:r>
      <w:r>
        <w:rPr>
          <w:rtl w:val="0"/>
          <w:lang w:val="en-US"/>
        </w:rPr>
        <w:t>t going to thrive. Rather than place people in jobs they aren</w:t>
      </w:r>
      <w:r>
        <w:rPr>
          <w:rtl w:val="0"/>
          <w:lang w:val="en-US"/>
        </w:rPr>
        <w:t>’</w:t>
      </w:r>
      <w:r>
        <w:rPr>
          <w:rtl w:val="0"/>
          <w:lang w:val="en-US"/>
        </w:rPr>
        <w:t>t suited to, we should help them find a good match.</w:t>
      </w:r>
    </w:p>
    <w:p>
      <w:pPr>
        <w:pStyle w:val="Body Text"/>
        <w:ind w:left="0" w:firstLine="0"/>
      </w:pPr>
    </w:p>
    <w:p>
      <w:pPr>
        <w:pStyle w:val="Body Text"/>
        <w:ind w:right="1061"/>
      </w:pPr>
      <w:r>
        <w:rPr>
          <w:rStyle w:val="None"/>
          <w:b w:val="1"/>
          <w:bCs w:val="1"/>
          <w:color w:val="c00000"/>
          <w:u w:color="c00000"/>
          <w:rtl w:val="0"/>
          <w:lang w:val="en-US"/>
        </w:rPr>
        <w:t xml:space="preserve">TAXPAYERS PAY MORE TO SEGREGATE: </w:t>
      </w:r>
      <w:r>
        <w:rPr>
          <w:rtl w:val="0"/>
          <w:lang w:val="en-US"/>
        </w:rPr>
        <w:t>Subminimum wages are most often used in sheltered workshops. Studies show these are not environments that people with disabilities seek out or prefer, regardless of the level of disability. And yet, tax payer money is often used to subsidize these settings. Instead of investing in job matches and training for jobs in the community, employment support funds are used to operate sheltered workshops. The same money, when invested in community options, RETURNS MORE to the taxpayers. A study of rehabilitation cases from 2002 to 2007 found that or every $1 invested into supported employment, $1.46 was returned to taxpayers.</w:t>
      </w:r>
    </w:p>
    <w:p>
      <w:pPr>
        <w:pStyle w:val="Body Text"/>
        <w:spacing w:before="12"/>
        <w:ind w:left="0" w:firstLine="0"/>
        <w:rPr>
          <w:sz w:val="21"/>
          <w:szCs w:val="21"/>
        </w:rPr>
      </w:pPr>
    </w:p>
    <w:p>
      <w:pPr>
        <w:pStyle w:val="Body Text"/>
        <w:ind w:right="1168"/>
      </w:pPr>
      <w:r>
        <w:rPr>
          <w:rStyle w:val="None"/>
          <w:b w:val="1"/>
          <w:bCs w:val="1"/>
          <w:color w:val="c00000"/>
          <w:u w:color="c00000"/>
          <w:rtl w:val="0"/>
          <w:lang w:val="en-US"/>
        </w:rPr>
        <w:t>CIVIL RIGHTS</w:t>
      </w:r>
      <w:r>
        <w:rPr>
          <w:rStyle w:val="None"/>
          <w:color w:val="c00000"/>
          <w:u w:color="c00000"/>
          <w:rtl w:val="0"/>
          <w:lang w:val="en-US"/>
        </w:rPr>
        <w:t xml:space="preserve">. </w:t>
      </w:r>
      <w:r>
        <w:rPr>
          <w:rtl w:val="0"/>
          <w:lang w:val="en-US"/>
        </w:rPr>
        <w:t>Subminimum wages don</w:t>
      </w:r>
      <w:r>
        <w:rPr>
          <w:rtl w:val="0"/>
          <w:lang w:val="en-US"/>
        </w:rPr>
        <w:t>’</w:t>
      </w:r>
      <w:r>
        <w:rPr>
          <w:rtl w:val="0"/>
          <w:lang w:val="en-US"/>
        </w:rPr>
        <w:t>t pay. And they don</w:t>
      </w:r>
      <w:r>
        <w:rPr>
          <w:rtl w:val="0"/>
          <w:lang w:val="en-US"/>
        </w:rPr>
        <w:t>’</w:t>
      </w:r>
      <w:r>
        <w:rPr>
          <w:rtl w:val="0"/>
          <w:lang w:val="en-US"/>
        </w:rPr>
        <w:t>t align with civil rights advancements. Washington</w:t>
      </w:r>
      <w:r>
        <w:rPr>
          <w:rtl w:val="0"/>
          <w:lang w:val="en-US"/>
        </w:rPr>
        <w:t>’</w:t>
      </w:r>
      <w:r>
        <w:rPr>
          <w:rtl w:val="0"/>
          <w:lang w:val="en-US"/>
        </w:rPr>
        <w:t>s law allowing subminimum wages dates to 1959. It predates the Americans with Disabilities Act and other civil rights law. When it passed, schools could refuse to educate people with disabilities. Allowing subminimum wages allows employers to treat people with disabilities differently. No class of employees should be marginalized, and minimum wage protections should be just that. Protections. For everyone.</w:t>
      </w:r>
    </w:p>
    <w:p>
      <w:pPr>
        <w:pStyle w:val="Body Text"/>
        <w:spacing w:before="1"/>
        <w:ind w:left="0" w:firstLine="0"/>
      </w:pPr>
    </w:p>
    <w:p>
      <w:pPr>
        <w:pStyle w:val="Body"/>
        <w:spacing w:before="1" w:line="259" w:lineRule="auto"/>
        <w:ind w:left="1080" w:right="1470" w:firstLine="0"/>
        <w:rPr>
          <w:rStyle w:val="None"/>
          <w:b w:val="1"/>
          <w:bCs w:val="1"/>
        </w:rPr>
      </w:pPr>
      <w:r>
        <w:rPr>
          <w:rStyle w:val="None"/>
          <w:b w:val="1"/>
          <w:bCs w:val="1"/>
          <w:rtl w:val="0"/>
          <w:lang w:val="en-US"/>
        </w:rPr>
        <w:t>Supporting organizations for ending subminimum wages for people with disabilities include self-advocacy groups, employment providers for people with disabilities, and community organizations across the state:</w:t>
      </w:r>
    </w:p>
    <w:p>
      <w:pPr>
        <w:pStyle w:val="Body"/>
        <w:spacing w:line="259" w:lineRule="auto"/>
        <w:sectPr>
          <w:headerReference w:type="default" r:id="rId5"/>
          <w:footerReference w:type="default" r:id="rId6"/>
          <w:pgSz w:w="12240" w:h="15840" w:orient="portrait"/>
          <w:pgMar w:top="960" w:right="0" w:bottom="280" w:left="0" w:header="720" w:footer="720"/>
          <w:bidi w:val="0"/>
        </w:sectPr>
      </w:pPr>
    </w:p>
    <w:p>
      <w:pPr>
        <w:pStyle w:val="Body Text"/>
        <w:spacing w:before="39"/>
        <w:ind w:right="2421"/>
      </w:pPr>
      <w:r>
        <w:rPr>
          <w:rtl w:val="0"/>
          <w:lang w:val="en-US"/>
        </w:rPr>
        <w:t>Able Opportunities, Inc. Allies in Advocacy</w:t>
      </w:r>
    </w:p>
    <w:p>
      <w:pPr>
        <w:pStyle w:val="Body Text"/>
        <w:spacing w:before="1"/>
      </w:pPr>
      <w:r>
        <w:rPr>
          <w:rtl w:val="0"/>
          <w:lang w:val="en-US"/>
        </w:rPr>
        <w:t>Alpha Supported Living Services</w:t>
      </w:r>
    </w:p>
    <w:p>
      <w:pPr>
        <w:pStyle w:val="Body Text"/>
        <w:spacing w:before="2" w:line="237" w:lineRule="auto"/>
        <w:ind w:right="261"/>
      </w:pPr>
      <w:r>
        <w:rPr>
          <w:rtl w:val="0"/>
          <w:lang w:val="en-US"/>
        </w:rPr>
        <w:t xml:space="preserve">American Association of People with Disabilities </w:t>
      </w:r>
    </w:p>
    <w:p>
      <w:pPr>
        <w:pStyle w:val="Body Text"/>
        <w:spacing w:before="2" w:line="237" w:lineRule="auto"/>
        <w:ind w:right="261"/>
      </w:pPr>
      <w:r>
        <w:rPr>
          <w:rtl w:val="0"/>
          <w:lang w:val="en-US"/>
        </w:rPr>
        <w:t>The Arc of King</w:t>
      </w:r>
      <w:r>
        <w:rPr>
          <w:rStyle w:val="None"/>
          <w:spacing w:val="0"/>
          <w:rtl w:val="0"/>
          <w:lang w:val="en-US"/>
        </w:rPr>
        <w:t xml:space="preserve"> </w:t>
      </w:r>
      <w:r>
        <w:rPr>
          <w:rtl w:val="0"/>
          <w:lang w:val="en-US"/>
        </w:rPr>
        <w:t>County</w:t>
      </w:r>
    </w:p>
    <w:p>
      <w:pPr>
        <w:pStyle w:val="Body Text"/>
        <w:spacing w:before="2"/>
        <w:ind w:right="1911"/>
      </w:pPr>
      <w:r>
        <w:rPr>
          <w:rtl w:val="0"/>
          <w:lang w:val="en-US"/>
        </w:rPr>
        <w:t>The Arc of Snohomish</w:t>
      </w:r>
      <w:r>
        <w:rPr>
          <w:rStyle w:val="None"/>
          <w:spacing w:val="0"/>
          <w:rtl w:val="0"/>
          <w:lang w:val="en-US"/>
        </w:rPr>
        <w:t xml:space="preserve"> </w:t>
      </w:r>
      <w:r>
        <w:rPr>
          <w:rtl w:val="0"/>
          <w:lang w:val="en-US"/>
        </w:rPr>
        <w:t>County</w:t>
      </w:r>
      <w:r>
        <w:rPr>
          <w:rtl w:val="0"/>
          <w:lang w:val="en-US"/>
        </w:rPr>
        <w:t xml:space="preserve"> </w:t>
      </w:r>
    </w:p>
    <w:p>
      <w:pPr>
        <w:pStyle w:val="Body Text"/>
        <w:spacing w:before="2"/>
        <w:ind w:right="1911"/>
      </w:pPr>
      <w:r>
        <w:rPr>
          <w:rtl w:val="0"/>
          <w:lang w:val="en-US"/>
        </w:rPr>
        <w:t>The Arc of</w:t>
      </w:r>
      <w:r>
        <w:rPr>
          <w:rStyle w:val="None"/>
          <w:spacing w:val="0"/>
          <w:rtl w:val="0"/>
          <w:lang w:val="en-US"/>
        </w:rPr>
        <w:t xml:space="preserve"> </w:t>
      </w:r>
      <w:r>
        <w:rPr>
          <w:rtl w:val="0"/>
          <w:lang w:val="en-US"/>
        </w:rPr>
        <w:t>Washington</w:t>
      </w:r>
    </w:p>
    <w:p>
      <w:pPr>
        <w:pStyle w:val="Body Text"/>
        <w:ind w:right="680"/>
      </w:pPr>
      <w:r>
        <w:rPr>
          <w:rtl w:val="0"/>
          <w:lang w:val="en-US"/>
        </w:rPr>
        <w:t>Artist Coalition for Equitable Development ASUW Middle Eastern Student Commission ASUW Student Disability Commission AtWork!</w:t>
      </w:r>
    </w:p>
    <w:p>
      <w:pPr>
        <w:pStyle w:val="Body Text"/>
        <w:spacing w:before="2"/>
        <w:ind w:right="1115"/>
      </w:pPr>
      <w:r>
        <w:rPr>
          <w:rtl w:val="0"/>
          <w:lang w:val="en-US"/>
        </w:rPr>
        <w:t>Autistic Self Advocacy Network Autistic Women &amp; Nonbinary</w:t>
      </w:r>
      <w:r>
        <w:rPr>
          <w:rStyle w:val="None"/>
          <w:spacing w:val="0"/>
          <w:rtl w:val="0"/>
          <w:lang w:val="en-US"/>
        </w:rPr>
        <w:t xml:space="preserve"> </w:t>
      </w:r>
      <w:r>
        <w:rPr>
          <w:rtl w:val="0"/>
          <w:lang w:val="en-US"/>
        </w:rPr>
        <w:t>Network</w:t>
      </w:r>
    </w:p>
    <w:p>
      <w:pPr>
        <w:pStyle w:val="Body Text"/>
        <w:spacing w:before="2" w:line="237" w:lineRule="auto"/>
        <w:ind w:right="258"/>
      </w:pPr>
      <w:r>
        <w:rPr>
          <w:rtl w:val="0"/>
          <w:lang w:val="en-US"/>
        </w:rPr>
        <w:t xml:space="preserve">Bellingham Deaf and Disability Justice Collective </w:t>
      </w:r>
    </w:p>
    <w:p>
      <w:pPr>
        <w:pStyle w:val="Body Text"/>
        <w:spacing w:before="2" w:line="237" w:lineRule="auto"/>
        <w:ind w:right="258"/>
      </w:pPr>
      <w:r>
        <w:rPr>
          <w:rtl w:val="0"/>
          <w:lang w:val="en-US"/>
        </w:rPr>
        <w:t>Building Changes</w:t>
      </w:r>
    </w:p>
    <w:p>
      <w:pPr>
        <w:pStyle w:val="Body Text"/>
        <w:spacing w:before="2"/>
      </w:pPr>
      <w:r>
        <w:rPr>
          <w:rtl w:val="0"/>
          <w:lang w:val="en-US"/>
        </w:rPr>
        <w:t>Cafe Red</w:t>
      </w:r>
    </w:p>
    <w:p>
      <w:pPr>
        <w:pStyle w:val="Body Text"/>
        <w:ind w:right="2658"/>
        <w:jc w:val="both"/>
      </w:pPr>
      <w:r>
        <w:rPr>
          <w:rtl w:val="0"/>
          <w:lang w:val="en-US"/>
        </w:rPr>
        <w:t xml:space="preserve">Cascade Connections Cascadia Deaf Nation </w:t>
      </w:r>
    </w:p>
    <w:p>
      <w:pPr>
        <w:pStyle w:val="Body Text"/>
        <w:ind w:right="2658"/>
        <w:jc w:val="both"/>
      </w:pPr>
      <w:r>
        <w:rPr>
          <w:rtl w:val="0"/>
          <w:lang w:val="en-US"/>
        </w:rPr>
        <w:t>Centerforce</w:t>
      </w:r>
    </w:p>
    <w:p>
      <w:pPr>
        <w:pStyle w:val="Body Text"/>
        <w:spacing w:before="1"/>
        <w:ind w:right="622"/>
      </w:pPr>
      <w:r>
        <w:rPr>
          <w:rtl w:val="0"/>
          <w:lang w:val="en-US"/>
        </w:rPr>
        <w:t>Community Employment Alliance Community Residential Services Association Community to Community Development Creative Justice</w:t>
      </w:r>
    </w:p>
    <w:p>
      <w:pPr>
        <w:pStyle w:val="Body Text"/>
        <w:spacing w:before="1"/>
        <w:ind w:right="1634"/>
        <w:jc w:val="both"/>
      </w:pPr>
      <w:r>
        <w:rPr>
          <w:rtl w:val="0"/>
          <w:lang w:val="en-US"/>
        </w:rPr>
        <w:t>D2 Neighborhood Action Council</w:t>
      </w:r>
    </w:p>
    <w:p>
      <w:pPr>
        <w:pStyle w:val="Body Text"/>
        <w:spacing w:before="1"/>
        <w:ind w:right="1634"/>
        <w:jc w:val="both"/>
      </w:pPr>
      <w:r>
        <w:rPr>
          <w:rtl w:val="0"/>
          <w:lang w:val="en-US"/>
        </w:rPr>
        <w:t>D3 Neighborhood Action Council</w:t>
      </w:r>
    </w:p>
    <w:p>
      <w:pPr>
        <w:pStyle w:val="Body Text"/>
        <w:spacing w:before="1"/>
        <w:ind w:right="1634"/>
        <w:jc w:val="both"/>
      </w:pPr>
      <w:r>
        <w:rPr>
          <w:rtl w:val="0"/>
          <w:lang w:val="en-US"/>
        </w:rPr>
        <w:t>D4 Neighborhood Action Council</w:t>
      </w:r>
    </w:p>
    <w:p>
      <w:pPr>
        <w:pStyle w:val="Body Text"/>
        <w:ind w:right="704"/>
      </w:pPr>
      <w:r>
        <w:rPr>
          <w:rtl w:val="0"/>
          <w:lang w:val="en-US"/>
        </w:rPr>
        <w:t xml:space="preserve">Disability Rights Education &amp; Defense Fund </w:t>
      </w:r>
    </w:p>
    <w:p>
      <w:pPr>
        <w:pStyle w:val="Body Text"/>
        <w:ind w:right="704"/>
      </w:pPr>
      <w:r>
        <w:rPr>
          <w:rtl w:val="0"/>
          <w:lang w:val="en-US"/>
        </w:rPr>
        <w:t>Disability Rights Washington</w:t>
      </w:r>
    </w:p>
    <w:p>
      <w:pPr>
        <w:pStyle w:val="Body Text"/>
      </w:pPr>
      <w:r>
        <w:rPr>
          <w:rtl w:val="0"/>
        </w:rPr>
        <w:t>Downtown Emergency Service Center</w:t>
      </w:r>
    </w:p>
    <w:p>
      <w:pPr>
        <w:pStyle w:val="Body Text"/>
      </w:pPr>
      <w:r>
        <w:rPr>
          <w:rtl w:val="0"/>
        </w:rPr>
        <w:t xml:space="preserve">Eleanor Elizabeth Institute for Black Empowerment </w:t>
      </w:r>
    </w:p>
    <w:p>
      <w:pPr>
        <w:pStyle w:val="Body Text"/>
      </w:pPr>
      <w:r>
        <w:rPr>
          <w:rtl w:val="0"/>
        </w:rPr>
        <w:t>Foundation for Divergent Minds</w:t>
      </w:r>
    </w:p>
    <w:p>
      <w:pPr>
        <w:pStyle w:val="Body Text"/>
        <w:ind w:right="2490"/>
      </w:pPr>
      <w:r>
        <w:rPr>
          <w:rtl w:val="0"/>
          <w:lang w:val="en-US"/>
        </w:rPr>
        <w:t xml:space="preserve">Geeks Without Bounds </w:t>
      </w:r>
    </w:p>
    <w:p>
      <w:pPr>
        <w:pStyle w:val="Body Text"/>
        <w:ind w:right="2490"/>
      </w:pPr>
      <w:r>
        <w:rPr>
          <w:rtl w:val="0"/>
          <w:lang w:val="en-US"/>
        </w:rPr>
        <w:t>Human Rights Watch</w:t>
      </w:r>
    </w:p>
    <w:p>
      <w:pPr>
        <w:pStyle w:val="Body Text"/>
        <w:spacing w:before="3" w:line="237" w:lineRule="auto"/>
        <w:ind w:right="914"/>
      </w:pPr>
      <w:r>
        <w:rPr>
          <w:rtl w:val="0"/>
          <w:lang w:val="en-US"/>
        </w:rPr>
        <w:t>Martin L</w:t>
      </w:r>
    </w:p>
    <w:p>
      <w:pPr>
        <w:pStyle w:val="Body Text"/>
        <w:spacing w:before="3" w:line="237" w:lineRule="auto"/>
        <w:ind w:right="914"/>
      </w:pPr>
      <w:r>
        <w:rPr>
          <w:rtl w:val="0"/>
          <w:lang w:val="en-US"/>
        </w:rPr>
        <w:t>uther King County Labor Council Morningside</w:t>
      </w:r>
    </w:p>
    <w:p>
      <w:pPr>
        <w:pStyle w:val="Body Text"/>
        <w:spacing w:before="1"/>
        <w:ind w:right="317"/>
      </w:pPr>
      <w:r>
        <w:rPr>
          <w:rtl w:val="0"/>
          <w:lang w:val="en-US"/>
        </w:rPr>
        <w:t xml:space="preserve">National Council on Independent Living National Federation of the Blind of Washington </w:t>
      </w:r>
    </w:p>
    <w:p>
      <w:pPr>
        <w:pStyle w:val="Body Text"/>
        <w:spacing w:before="1"/>
        <w:ind w:right="317"/>
      </w:pPr>
      <w:r>
        <w:rPr>
          <w:rtl w:val="0"/>
          <w:lang w:val="en-US"/>
        </w:rPr>
        <w:t>Northwest Access Fund</w:t>
      </w:r>
    </w:p>
    <w:p>
      <w:pPr>
        <w:pStyle w:val="Body Text"/>
        <w:spacing w:before="1"/>
      </w:pPr>
      <w:r>
        <w:rPr>
          <w:rtl w:val="0"/>
          <w:lang w:val="en-US"/>
        </w:rPr>
        <w:t>Not Dead Yet</w:t>
      </w:r>
    </w:p>
    <w:p>
      <w:pPr>
        <w:pStyle w:val="Body Text"/>
        <w:ind w:right="1179"/>
      </w:pPr>
      <w:r>
        <w:rPr>
          <w:rtl w:val="0"/>
          <w:lang w:val="en-US"/>
        </w:rPr>
        <w:t xml:space="preserve">Open Doors for Multicultural Families </w:t>
      </w:r>
    </w:p>
    <w:p>
      <w:pPr>
        <w:pStyle w:val="Body Text"/>
        <w:ind w:right="1179"/>
      </w:pPr>
      <w:r>
        <w:rPr>
          <w:rtl w:val="0"/>
          <w:lang w:val="en-US"/>
        </w:rPr>
        <w:t xml:space="preserve">People First of Bellingham/Whatcom </w:t>
      </w:r>
    </w:p>
    <w:p>
      <w:pPr>
        <w:pStyle w:val="Body Text"/>
        <w:ind w:right="1179"/>
      </w:pPr>
      <w:r>
        <w:rPr>
          <w:rtl w:val="0"/>
          <w:lang w:val="en-US"/>
        </w:rPr>
        <w:t>People First of Clarkston</w:t>
      </w:r>
    </w:p>
    <w:p>
      <w:pPr>
        <w:pStyle w:val="Body Text"/>
        <w:spacing w:before="1"/>
        <w:ind w:right="1541"/>
      </w:pPr>
      <w:r>
        <w:rPr>
          <w:rtl w:val="0"/>
          <w:lang w:val="en-US"/>
        </w:rPr>
        <w:t xml:space="preserve">People First of King County </w:t>
      </w:r>
    </w:p>
    <w:p>
      <w:pPr>
        <w:pStyle w:val="Body Text"/>
        <w:spacing w:before="1"/>
        <w:ind w:right="1541"/>
      </w:pPr>
      <w:r>
        <w:rPr>
          <w:rtl w:val="0"/>
          <w:lang w:val="en-US"/>
        </w:rPr>
        <w:t xml:space="preserve">People First of Lake Roosevelt </w:t>
      </w:r>
    </w:p>
    <w:p>
      <w:pPr>
        <w:pStyle w:val="Body Text"/>
        <w:spacing w:before="1"/>
        <w:ind w:right="1541"/>
      </w:pPr>
      <w:r>
        <w:rPr>
          <w:rtl w:val="0"/>
          <w:lang w:val="en-US"/>
        </w:rPr>
        <w:t>People First of Snohomish County People First of Washington</w:t>
      </w:r>
    </w:p>
    <w:p>
      <w:pPr>
        <w:pStyle w:val="Body Text"/>
        <w:ind w:right="1817"/>
      </w:pPr>
      <w:r>
        <w:rPr>
          <w:rtl w:val="0"/>
          <w:lang w:val="en-US"/>
        </w:rPr>
        <w:t xml:space="preserve">Public Defender Association </w:t>
      </w:r>
    </w:p>
    <w:p>
      <w:pPr>
        <w:pStyle w:val="Body Text"/>
        <w:ind w:right="1817"/>
      </w:pPr>
      <w:r>
        <w:rPr>
          <w:rtl w:val="0"/>
          <w:lang w:val="en-US"/>
        </w:rPr>
        <w:t>Puget Sound Regional Services</w:t>
      </w:r>
    </w:p>
    <w:p>
      <w:pPr>
        <w:pStyle w:val="Body Text"/>
        <w:spacing w:before="39"/>
        <w:ind w:left="798" w:firstLine="0"/>
      </w:pPr>
      <w:r>
        <w:br w:type="column"/>
      </w:r>
    </w:p>
    <w:p>
      <w:pPr>
        <w:pStyle w:val="Body Text"/>
        <w:spacing w:before="39"/>
        <w:ind w:left="798" w:firstLine="0"/>
      </w:pPr>
      <w:r>
        <w:rPr>
          <w:rtl w:val="0"/>
          <w:lang w:val="en-US"/>
        </w:rPr>
        <w:t>Queer the Land</w:t>
      </w:r>
    </w:p>
    <w:p>
      <w:pPr>
        <w:pStyle w:val="Body Text"/>
        <w:spacing w:before="1"/>
        <w:ind w:left="1000" w:right="2154" w:hanging="202"/>
      </w:pPr>
      <w:r>
        <w:rPr>
          <w:rtl w:val="0"/>
          <w:lang w:val="en-US"/>
        </w:rPr>
        <w:t>Restaurant Opportunities Center Seattle (ROC-Seattle)</w:t>
      </w:r>
    </w:p>
    <w:p>
      <w:pPr>
        <w:pStyle w:val="Body Text"/>
        <w:spacing w:before="2" w:line="237" w:lineRule="auto"/>
        <w:ind w:left="1000" w:right="2082" w:hanging="202"/>
      </w:pPr>
      <w:r>
        <w:rPr>
          <w:rtl w:val="0"/>
          <w:lang w:val="en-US"/>
        </w:rPr>
        <w:t>Restaurant Opportunities Centers United (ROC-United)</w:t>
      </w:r>
    </w:p>
    <w:p>
      <w:pPr>
        <w:pStyle w:val="Body Text"/>
        <w:spacing w:before="2"/>
        <w:ind w:left="798" w:right="2678" w:firstLine="0"/>
      </w:pPr>
      <w:r>
        <w:rPr>
          <w:rtl w:val="0"/>
          <w:lang w:val="en-US"/>
        </w:rPr>
        <w:t xml:space="preserve">Seattle Disability Commission </w:t>
      </w:r>
    </w:p>
    <w:p>
      <w:pPr>
        <w:pStyle w:val="Body Text"/>
        <w:spacing w:before="2"/>
        <w:ind w:left="798" w:right="2678" w:firstLine="0"/>
      </w:pPr>
      <w:r>
        <w:rPr>
          <w:rtl w:val="0"/>
          <w:lang w:val="en-US"/>
        </w:rPr>
        <w:t>Seattle Human Rights Commission</w:t>
      </w:r>
    </w:p>
    <w:p>
      <w:pPr>
        <w:pStyle w:val="Body Text"/>
        <w:ind w:left="798" w:right="1655" w:firstLine="0"/>
      </w:pPr>
      <w:r>
        <w:rPr>
          <w:rtl w:val="0"/>
          <w:lang w:val="en-US"/>
        </w:rPr>
        <w:t xml:space="preserve">Seattle Immigrant &amp; Refugee Commission </w:t>
      </w:r>
    </w:p>
    <w:p>
      <w:pPr>
        <w:pStyle w:val="Body Text"/>
        <w:ind w:left="798" w:right="1655" w:firstLine="0"/>
      </w:pPr>
      <w:r>
        <w:rPr>
          <w:rtl w:val="0"/>
          <w:lang w:val="en-US"/>
        </w:rPr>
        <w:t xml:space="preserve">Seattle Labor Standards Advisory Commission </w:t>
      </w:r>
    </w:p>
    <w:p>
      <w:pPr>
        <w:pStyle w:val="Body Text"/>
        <w:ind w:left="798" w:right="1655" w:firstLine="0"/>
      </w:pPr>
      <w:r>
        <w:rPr>
          <w:rtl w:val="0"/>
          <w:lang w:val="en-US"/>
        </w:rPr>
        <w:t>Seattle LGBTQ Commission</w:t>
      </w:r>
    </w:p>
    <w:p>
      <w:pPr>
        <w:pStyle w:val="Body Text"/>
        <w:spacing w:before="1"/>
        <w:ind w:left="798" w:right="3073" w:firstLine="0"/>
      </w:pPr>
      <w:r>
        <w:rPr>
          <w:rtl w:val="0"/>
          <w:lang w:val="en-US"/>
        </w:rPr>
        <w:t>Seattle Women</w:t>
      </w:r>
      <w:r>
        <w:rPr>
          <w:rtl w:val="0"/>
          <w:lang w:val="en-US"/>
        </w:rPr>
        <w:t>’</w:t>
      </w:r>
      <w:r>
        <w:rPr>
          <w:rtl w:val="0"/>
          <w:lang w:val="en-US"/>
        </w:rPr>
        <w:t xml:space="preserve">s Commission Seattle Youth Commission </w:t>
      </w:r>
    </w:p>
    <w:p>
      <w:pPr>
        <w:pStyle w:val="Body Text"/>
        <w:spacing w:before="1"/>
        <w:ind w:left="798" w:right="3073" w:firstLine="0"/>
      </w:pPr>
      <w:r>
        <w:rPr>
          <w:rtl w:val="0"/>
          <w:lang w:val="en-US"/>
        </w:rPr>
        <w:t>SEIU 925</w:t>
      </w:r>
    </w:p>
    <w:p>
      <w:pPr>
        <w:pStyle w:val="Body Text"/>
        <w:spacing w:before="1" w:line="267" w:lineRule="exact"/>
        <w:ind w:left="798" w:firstLine="0"/>
      </w:pPr>
      <w:r>
        <w:rPr>
          <w:rtl w:val="0"/>
          <w:lang w:val="en-US"/>
        </w:rPr>
        <w:t>SEIU 1199NW</w:t>
      </w:r>
    </w:p>
    <w:p>
      <w:pPr>
        <w:pStyle w:val="Body Text"/>
        <w:ind w:left="798" w:right="3175" w:firstLine="0"/>
      </w:pPr>
      <w:r>
        <w:rPr>
          <w:rtl w:val="0"/>
          <w:lang w:val="en-US"/>
        </w:rPr>
        <w:t>Self-Advocates in Leadership Service</w:t>
      </w:r>
      <w:r>
        <w:rPr>
          <w:rStyle w:val="None"/>
          <w:spacing w:val="0"/>
          <w:rtl w:val="0"/>
          <w:lang w:val="en-US"/>
        </w:rPr>
        <w:t xml:space="preserve"> </w:t>
      </w:r>
      <w:r>
        <w:rPr>
          <w:rtl w:val="0"/>
          <w:lang w:val="en-US"/>
        </w:rPr>
        <w:t>Alternatives</w:t>
      </w:r>
    </w:p>
    <w:p>
      <w:pPr>
        <w:pStyle w:val="Body Text"/>
        <w:ind w:left="798" w:right="2966" w:firstLine="0"/>
      </w:pPr>
      <w:r>
        <w:rPr>
          <w:rtl w:val="0"/>
          <w:lang w:val="en-US"/>
        </w:rPr>
        <w:t xml:space="preserve">Sherwood Community Services </w:t>
      </w:r>
    </w:p>
    <w:p>
      <w:pPr>
        <w:pStyle w:val="Body Text"/>
        <w:ind w:left="798" w:right="2966" w:firstLine="0"/>
      </w:pPr>
      <w:r>
        <w:rPr>
          <w:rtl w:val="0"/>
          <w:lang w:val="en-US"/>
        </w:rPr>
        <w:t>Socialist</w:t>
      </w:r>
      <w:r>
        <w:rPr>
          <w:rStyle w:val="None"/>
          <w:spacing w:val="0"/>
          <w:rtl w:val="0"/>
          <w:lang w:val="en-US"/>
        </w:rPr>
        <w:t xml:space="preserve"> </w:t>
      </w:r>
      <w:r>
        <w:rPr>
          <w:rtl w:val="0"/>
          <w:lang w:val="en-US"/>
        </w:rPr>
        <w:t>Alternative</w:t>
      </w:r>
    </w:p>
    <w:p>
      <w:pPr>
        <w:pStyle w:val="Body Text"/>
        <w:ind w:left="798" w:right="4011" w:firstLine="0"/>
      </w:pPr>
      <w:r>
        <w:rPr>
          <w:rtl w:val="0"/>
          <w:lang w:val="en-US"/>
        </w:rPr>
        <w:t>Suppor</w:t>
      </w:r>
      <w:r>
        <w:rPr>
          <w:rtl w:val="0"/>
          <w:lang w:val="en-US"/>
        </w:rPr>
        <w:t>te</w:t>
      </w:r>
      <w:r>
        <w:rPr>
          <w:rtl w:val="0"/>
          <w:lang w:val="en-US"/>
        </w:rPr>
        <w:t>d Solution TASH</w:t>
      </w:r>
    </w:p>
    <w:p>
      <w:pPr>
        <w:pStyle w:val="Body Text"/>
        <w:spacing w:before="1"/>
        <w:ind w:left="798" w:right="2894" w:firstLine="0"/>
      </w:pPr>
      <w:r>
        <w:rPr>
          <w:rtl w:val="0"/>
          <w:lang w:val="en-US"/>
        </w:rPr>
        <w:t>Third Place Design Co-operative Total Living Concept</w:t>
      </w:r>
    </w:p>
    <w:p>
      <w:pPr>
        <w:pStyle w:val="Body Text"/>
        <w:ind w:left="798" w:right="3097" w:firstLine="0"/>
      </w:pPr>
      <w:r>
        <w:rPr>
          <w:rtl w:val="0"/>
          <w:lang w:val="en-US"/>
        </w:rPr>
        <w:t>Trillium Employment Services UFCW 21</w:t>
      </w:r>
    </w:p>
    <w:p>
      <w:pPr>
        <w:pStyle w:val="Body Text"/>
        <w:ind w:left="798" w:right="1796" w:firstLine="0"/>
      </w:pPr>
      <w:r>
        <w:rPr>
          <w:rtl w:val="0"/>
          <w:lang w:val="en-US"/>
        </w:rPr>
        <w:t xml:space="preserve">Volunteers of America Western Washington </w:t>
      </w:r>
    </w:p>
    <w:p>
      <w:pPr>
        <w:pStyle w:val="Body Text"/>
        <w:ind w:left="798" w:right="1796" w:firstLine="0"/>
      </w:pPr>
      <w:r>
        <w:rPr>
          <w:rtl w:val="0"/>
          <w:lang w:val="en-US"/>
        </w:rPr>
        <w:t>Washington ADAPT West</w:t>
      </w:r>
    </w:p>
    <w:p>
      <w:pPr>
        <w:pStyle w:val="Body Text"/>
        <w:ind w:left="798" w:right="4162" w:firstLine="0"/>
      </w:pPr>
      <w:r>
        <w:rPr>
          <w:rtl w:val="0"/>
          <w:lang w:val="en-US"/>
        </w:rPr>
        <w:t>Washington APSE Washington CAN</w:t>
      </w:r>
    </w:p>
    <w:p>
      <w:pPr>
        <w:pStyle w:val="Body Text"/>
        <w:ind w:left="798" w:right="1523" w:firstLine="0"/>
      </w:pPr>
      <w:r>
        <w:rPr>
          <w:rtl w:val="0"/>
          <w:lang w:val="en-US"/>
        </w:rPr>
        <w:t xml:space="preserve">Washington Developmental Disabilities Council </w:t>
      </w:r>
    </w:p>
    <w:p>
      <w:pPr>
        <w:pStyle w:val="Body Text"/>
        <w:ind w:left="798" w:right="1523" w:firstLine="0"/>
      </w:pPr>
      <w:r>
        <w:rPr>
          <w:rtl w:val="0"/>
          <w:lang w:val="en-US"/>
        </w:rPr>
        <w:t xml:space="preserve">Washington Low Income Housing Alliance </w:t>
      </w:r>
    </w:p>
    <w:p>
      <w:pPr>
        <w:pStyle w:val="Body Text"/>
        <w:ind w:left="798" w:right="1523" w:firstLine="0"/>
      </w:pPr>
      <w:r>
        <w:rPr>
          <w:rtl w:val="0"/>
          <w:lang w:val="en-US"/>
        </w:rPr>
        <w:t>Washington State Labor Council, AFL-CIO</w:t>
      </w:r>
    </w:p>
    <w:p>
      <w:pPr>
        <w:pStyle w:val="Body Text"/>
        <w:ind w:left="798" w:firstLine="0"/>
      </w:pPr>
      <w:r>
        <w:rPr>
          <w:rtl w:val="0"/>
          <w:lang w:val="en-US"/>
        </w:rPr>
        <w:t>WISE</w:t>
      </w:r>
    </w:p>
    <w:p>
      <w:pPr>
        <w:pStyle w:val="Body Text"/>
        <w:spacing w:before="1"/>
        <w:ind w:left="798" w:right="3853" w:firstLine="0"/>
      </w:pPr>
      <w:r>
        <mc:AlternateContent>
          <mc:Choice Requires="wpg">
            <w:drawing>
              <wp:anchor distT="57150" distB="57150" distL="57150" distR="57150" simplePos="0" relativeHeight="251660288" behindDoc="0" locked="0" layoutInCell="1" allowOverlap="1">
                <wp:simplePos x="0" y="0"/>
                <wp:positionH relativeFrom="page">
                  <wp:posOffset>4137977</wp:posOffset>
                </wp:positionH>
                <wp:positionV relativeFrom="page">
                  <wp:posOffset>734741</wp:posOffset>
                </wp:positionV>
                <wp:extent cx="2476501" cy="2375536"/>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2476501" cy="2375536"/>
                          <a:chOff x="0" y="0"/>
                          <a:chExt cx="2476500" cy="2375535"/>
                        </a:xfrm>
                      </wpg:grpSpPr>
                      <pic:pic xmlns:pic="http://schemas.openxmlformats.org/drawingml/2006/picture">
                        <pic:nvPicPr>
                          <pic:cNvPr id="1073741830" name="image2.jpg"/>
                          <pic:cNvPicPr>
                            <a:picLocks noChangeAspect="1"/>
                          </pic:cNvPicPr>
                        </pic:nvPicPr>
                        <pic:blipFill>
                          <a:blip r:embed="rId7">
                            <a:extLst/>
                          </a:blip>
                          <a:stretch>
                            <a:fillRect/>
                          </a:stretch>
                        </pic:blipFill>
                        <pic:spPr>
                          <a:xfrm>
                            <a:off x="370205" y="1193164"/>
                            <a:ext cx="1428751" cy="989967"/>
                          </a:xfrm>
                          <a:prstGeom prst="rect">
                            <a:avLst/>
                          </a:prstGeom>
                          <a:ln w="12700" cap="flat">
                            <a:noFill/>
                            <a:miter lim="400000"/>
                          </a:ln>
                          <a:effectLst/>
                        </pic:spPr>
                      </pic:pic>
                      <wpg:grpSp>
                        <wpg:cNvPr id="1073741833" name="Group 1073741833"/>
                        <wpg:cNvGrpSpPr/>
                        <wpg:grpSpPr>
                          <a:xfrm>
                            <a:off x="0" y="0"/>
                            <a:ext cx="2476501" cy="2375536"/>
                            <a:chOff x="0" y="0"/>
                            <a:chExt cx="2476500" cy="2375535"/>
                          </a:xfrm>
                        </wpg:grpSpPr>
                        <wps:wsp>
                          <wps:cNvPr id="1073741831" name="Shape 1073741831"/>
                          <wps:cNvSpPr/>
                          <wps:spPr>
                            <a:xfrm>
                              <a:off x="-1" y="0"/>
                              <a:ext cx="2476502" cy="2375536"/>
                            </a:xfrm>
                            <a:prstGeom prst="rect">
                              <a:avLst/>
                            </a:prstGeom>
                            <a:noFill/>
                            <a:ln w="9525" cap="flat">
                              <a:solidFill>
                                <a:srgbClr val="000000"/>
                              </a:solidFill>
                              <a:prstDash val="solid"/>
                              <a:round/>
                            </a:ln>
                            <a:effectLst/>
                          </wps:spPr>
                          <wps:bodyPr/>
                        </wps:wsp>
                        <wps:wsp>
                          <wps:cNvPr id="1073741832" name="Shape 1073741832"/>
                          <wps:cNvSpPr/>
                          <wps:spPr>
                            <a:xfrm>
                              <a:off x="-1" y="0"/>
                              <a:ext cx="2476502" cy="2375536"/>
                            </a:xfrm>
                            <a:prstGeom prst="rect">
                              <a:avLst/>
                            </a:prstGeom>
                            <a:noFill/>
                            <a:ln w="12700" cap="flat">
                              <a:noFill/>
                              <a:miter lim="400000"/>
                            </a:ln>
                            <a:effectLst/>
                          </wps:spPr>
                          <wps:txbx>
                            <w:txbxContent>
                              <w:p>
                                <w:pPr>
                                  <w:pStyle w:val="Body"/>
                                  <w:spacing w:before="192"/>
                                  <w:ind w:left="288" w:firstLine="0"/>
                                </w:pPr>
                                <w:r>
                                  <w:rPr>
                                    <w:rtl w:val="0"/>
                                    <w:lang w:val="en-US"/>
                                  </w:rPr>
                                  <w:t>This handout was prepared by</w:t>
                                </w:r>
                              </w:p>
                              <w:p>
                                <w:pPr>
                                  <w:pStyle w:val="Body"/>
                                  <w:spacing w:before="21" w:line="259" w:lineRule="auto"/>
                                  <w:ind w:left="288" w:right="148" w:firstLine="0"/>
                                </w:pPr>
                                <w:r>
                                  <w:rPr>
                                    <w:rtl w:val="0"/>
                                    <w:lang w:val="en-US"/>
                                  </w:rPr>
                                  <w:t>The Arc of King County. The effort was led by people with disabilities from across organizations. We thank everyone for their support!</w:t>
                                </w:r>
                              </w:p>
                            </w:txbxContent>
                          </wps:txbx>
                          <wps:bodyPr wrap="square" lIns="0" tIns="0" rIns="0" bIns="0" numCol="1" anchor="t">
                            <a:noAutofit/>
                          </wps:bodyPr>
                        </wps:wsp>
                      </wpg:grpSp>
                    </wpg:wgp>
                  </a:graphicData>
                </a:graphic>
              </wp:anchor>
            </w:drawing>
          </mc:Choice>
          <mc:Fallback>
            <w:pict>
              <v:group id="_x0000_s1030" style="visibility:visible;position:absolute;margin-left:325.8pt;margin-top:57.9pt;width:195.0pt;height:187.1pt;z-index:251660288;mso-position-horizontal:absolute;mso-position-horizontal-relative:page;mso-position-vertical:absolute;mso-position-vertical-relative:page;mso-wrap-distance-left:4.5pt;mso-wrap-distance-top:4.5pt;mso-wrap-distance-right:4.5pt;mso-wrap-distance-bottom:4.5pt;" coordorigin="0,0" coordsize="2476500,2375535">
                <w10:wrap type="none" side="bothSides" anchorx="page" anchory="page"/>
                <v:shape id="_x0000_s1031" type="#_x0000_t75" style="position:absolute;left:370205;top:1193165;width:1428750;height:989965;">
                  <v:imagedata r:id="rId7" o:title="image2.jpg"/>
                </v:shape>
                <v:group id="_x0000_s1032" style="position:absolute;left:0;top:0;width:2476500;height:2375535;" coordorigin="0,0" coordsize="2476500,2375535">
                  <v:rect id="_x0000_s1033" style="position:absolute;left:0;top:0;width:2476500;height:2375535;">
                    <v:fill on="f"/>
                    <v:stroke filltype="solid" color="#000000" opacity="100.0%" weight="0.8pt" dashstyle="solid" endcap="flat" joinstyle="round" linestyle="single" startarrow="none" startarrowwidth="medium" startarrowlength="medium" endarrow="none" endarrowwidth="medium" endarrowlength="medium"/>
                  </v:rect>
                  <v:rect id="_x0000_s1034" style="position:absolute;left:0;top:0;width:2476500;height:2375535;">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92"/>
                            <w:ind w:left="288" w:firstLine="0"/>
                          </w:pPr>
                          <w:r>
                            <w:rPr>
                              <w:rtl w:val="0"/>
                              <w:lang w:val="en-US"/>
                            </w:rPr>
                            <w:t>This handout was prepared by</w:t>
                          </w:r>
                        </w:p>
                        <w:p>
                          <w:pPr>
                            <w:pStyle w:val="Body"/>
                            <w:spacing w:before="21" w:line="259" w:lineRule="auto"/>
                            <w:ind w:left="288" w:right="148" w:firstLine="0"/>
                          </w:pPr>
                          <w:r>
                            <w:rPr>
                              <w:rtl w:val="0"/>
                              <w:lang w:val="en-US"/>
                            </w:rPr>
                            <w:t>The Arc of King County. The effort was led by people with disabilities from across organizations. We thank everyone for their support!</w:t>
                          </w:r>
                        </w:p>
                      </w:txbxContent>
                    </v:textbox>
                  </v:rect>
                </v:group>
              </v:group>
            </w:pict>
          </mc:Fallback>
        </mc:AlternateContent>
      </w:r>
      <w:r>
        <w:rPr>
          <w:rtl w:val="0"/>
          <w:lang w:val="en-US"/>
        </w:rPr>
        <w:t>Working Washington Work Opportunities</w:t>
      </w:r>
    </w:p>
    <w:sectPr>
      <w:pgSz w:w="12240" w:h="15840" w:orient="portrait"/>
      <w:pgMar w:top="1400" w:right="0" w:bottom="280" w:left="0" w:header="720" w:footer="720"/>
      <w:cols w:num="2" w:equalWidth="0">
        <w:col w:w="5643" w:space="40"/>
        <w:col w:w="6557" w:space="0"/>
      </w:cols>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108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rFonts w:ascii="Trebuchet MS" w:cs="Trebuchet MS" w:hAnsi="Trebuchet MS" w:eastAsia="Trebuchet MS"/>
      <w:b w:val="1"/>
      <w:bCs w:val="1"/>
      <w:color w:val="0000ff"/>
      <w:sz w:val="24"/>
      <w:szCs w:val="24"/>
      <w:u w:val="single" w:color="0000ff"/>
    </w:rPr>
  </w:style>
  <w:style w:type="character" w:styleId="Hyperlink.1">
    <w:name w:val="Hyperlink.1"/>
    <w:basedOn w:val="None"/>
    <w:next w:val="Hyperlink.1"/>
    <w:rPr>
      <w:color w:val="0000ff"/>
      <w:sz w:val="24"/>
      <w:szCs w:val="24"/>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jpeg"/><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