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6246" w14:textId="797498B1" w:rsidR="0037123E" w:rsidRPr="007302F0" w:rsidRDefault="0037123E" w:rsidP="007302F0">
      <w:pPr>
        <w:pStyle w:val="Heading1"/>
        <w:spacing w:line="312" w:lineRule="auto"/>
        <w:rPr>
          <w:sz w:val="48"/>
          <w:szCs w:val="40"/>
        </w:rPr>
      </w:pPr>
      <w:r w:rsidRPr="007302F0">
        <w:rPr>
          <w:sz w:val="48"/>
          <w:szCs w:val="40"/>
        </w:rPr>
        <w:t>2024 Washington Seminar Legislative Priorities</w:t>
      </w:r>
    </w:p>
    <w:p w14:paraId="17BD8868" w14:textId="77777777" w:rsidR="00E5718B" w:rsidRPr="007302F0" w:rsidRDefault="00E5718B" w:rsidP="007302F0">
      <w:pPr>
        <w:pStyle w:val="Heading2"/>
        <w:spacing w:line="312" w:lineRule="auto"/>
      </w:pPr>
      <w:r w:rsidRPr="007302F0">
        <w:t>Websites and Software Applications Accessibility Act</w:t>
      </w:r>
    </w:p>
    <w:p w14:paraId="5D26CDF4" w14:textId="364E5EC9" w:rsidR="00E5718B" w:rsidRPr="007302F0" w:rsidRDefault="00E5718B" w:rsidP="007302F0">
      <w:p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>Issue—Websites are essential for everyday living, but most people with disabilities experience unnecessary accessibility barriers.</w:t>
      </w:r>
    </w:p>
    <w:p w14:paraId="02FC3F8E" w14:textId="77777777" w:rsidR="00E5718B" w:rsidRPr="007302F0" w:rsidRDefault="00E5718B" w:rsidP="007302F0">
      <w:pPr>
        <w:pStyle w:val="ListParagraph"/>
        <w:numPr>
          <w:ilvl w:val="0"/>
          <w:numId w:val="7"/>
        </w:num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 xml:space="preserve">Find out more at </w:t>
      </w:r>
      <w:hyperlink r:id="rId5" w:history="1">
        <w:r w:rsidRPr="007302F0">
          <w:rPr>
            <w:rStyle w:val="Hyperlink"/>
            <w:sz w:val="32"/>
            <w:szCs w:val="32"/>
          </w:rPr>
          <w:t>Websites and Software Applications Accessibility Act Fact Sheet</w:t>
        </w:r>
      </w:hyperlink>
    </w:p>
    <w:p w14:paraId="0922F4C5" w14:textId="42ECB221" w:rsidR="0037123E" w:rsidRPr="007302F0" w:rsidRDefault="0037123E" w:rsidP="007302F0">
      <w:pPr>
        <w:pStyle w:val="Heading2"/>
        <w:spacing w:line="312" w:lineRule="auto"/>
      </w:pPr>
      <w:r w:rsidRPr="007302F0">
        <w:t xml:space="preserve">Blind Americans Return to Work Act </w:t>
      </w:r>
    </w:p>
    <w:p w14:paraId="5A1B158D" w14:textId="1D14D2EE" w:rsidR="006259F7" w:rsidRPr="007302F0" w:rsidRDefault="0037123E" w:rsidP="007302F0">
      <w:p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>Issue—Current Social Security law has the unintended consequence of holding back blind Americans from achieving their full earnings potential.</w:t>
      </w:r>
    </w:p>
    <w:p w14:paraId="2F8D87C0" w14:textId="547C6683" w:rsidR="0037123E" w:rsidRPr="007302F0" w:rsidRDefault="0037123E" w:rsidP="007302F0">
      <w:pPr>
        <w:pStyle w:val="ListParagraph"/>
        <w:numPr>
          <w:ilvl w:val="0"/>
          <w:numId w:val="7"/>
        </w:num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>SSDI “earnings cliff”</w:t>
      </w:r>
    </w:p>
    <w:p w14:paraId="1042A5D5" w14:textId="70CE0534" w:rsidR="0037123E" w:rsidRPr="007302F0" w:rsidRDefault="0037123E" w:rsidP="007302F0">
      <w:pPr>
        <w:pStyle w:val="ListParagraph"/>
        <w:numPr>
          <w:ilvl w:val="0"/>
          <w:numId w:val="7"/>
        </w:num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>Serves as a disincentive for work</w:t>
      </w:r>
    </w:p>
    <w:p w14:paraId="6C616B6A" w14:textId="485AA940" w:rsidR="0037123E" w:rsidRPr="007302F0" w:rsidRDefault="0037123E" w:rsidP="007302F0">
      <w:pPr>
        <w:pStyle w:val="ListParagraph"/>
        <w:numPr>
          <w:ilvl w:val="0"/>
          <w:numId w:val="7"/>
        </w:num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 xml:space="preserve">Find out more at </w:t>
      </w:r>
      <w:hyperlink r:id="rId6" w:history="1">
        <w:r w:rsidRPr="007302F0">
          <w:rPr>
            <w:rStyle w:val="Hyperlink"/>
            <w:sz w:val="32"/>
            <w:szCs w:val="32"/>
          </w:rPr>
          <w:t>Blind Americans Return to Work Act Fact Sheet</w:t>
        </w:r>
      </w:hyperlink>
    </w:p>
    <w:p w14:paraId="7B7B033A" w14:textId="1EFD344F" w:rsidR="0037123E" w:rsidRPr="007302F0" w:rsidRDefault="00B87830" w:rsidP="007302F0">
      <w:pPr>
        <w:pStyle w:val="Heading2"/>
        <w:spacing w:line="312" w:lineRule="auto"/>
      </w:pPr>
      <w:r w:rsidRPr="007302F0">
        <w:t>Medical Device Nonvisual Accessibility Act</w:t>
      </w:r>
    </w:p>
    <w:p w14:paraId="389668CF" w14:textId="6E2E6CDE" w:rsidR="00B87830" w:rsidRPr="007302F0" w:rsidRDefault="00B87830" w:rsidP="007302F0">
      <w:p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>Issue—Inaccessible digital interfaces prevent blind individuals from independently and safely operating medical devices that are essential to blind people’s daily healthcare needs.</w:t>
      </w:r>
    </w:p>
    <w:p w14:paraId="622BE3D3" w14:textId="307A7C0C" w:rsidR="0037123E" w:rsidRPr="007302F0" w:rsidRDefault="0037123E" w:rsidP="007302F0">
      <w:pPr>
        <w:pStyle w:val="ListParagraph"/>
        <w:numPr>
          <w:ilvl w:val="0"/>
          <w:numId w:val="7"/>
        </w:numPr>
        <w:spacing w:line="312" w:lineRule="auto"/>
        <w:rPr>
          <w:sz w:val="32"/>
          <w:szCs w:val="32"/>
        </w:rPr>
      </w:pPr>
      <w:r w:rsidRPr="007302F0">
        <w:rPr>
          <w:sz w:val="32"/>
          <w:szCs w:val="32"/>
        </w:rPr>
        <w:t xml:space="preserve">Find out more at </w:t>
      </w:r>
      <w:hyperlink r:id="rId7" w:history="1">
        <w:r w:rsidR="00C06BF2" w:rsidRPr="007302F0">
          <w:rPr>
            <w:rStyle w:val="Hyperlink"/>
            <w:sz w:val="32"/>
            <w:szCs w:val="32"/>
          </w:rPr>
          <w:t>Medical Device Nonvisual Accessibility Act</w:t>
        </w:r>
        <w:r w:rsidRPr="007302F0">
          <w:rPr>
            <w:rStyle w:val="Hyperlink"/>
            <w:sz w:val="32"/>
            <w:szCs w:val="32"/>
          </w:rPr>
          <w:t xml:space="preserve"> Fact Sheet</w:t>
        </w:r>
      </w:hyperlink>
    </w:p>
    <w:p w14:paraId="33225699" w14:textId="77777777" w:rsidR="0037123E" w:rsidRPr="007302F0" w:rsidRDefault="0037123E" w:rsidP="007302F0">
      <w:pPr>
        <w:spacing w:line="312" w:lineRule="auto"/>
        <w:rPr>
          <w:sz w:val="32"/>
          <w:szCs w:val="32"/>
        </w:rPr>
      </w:pPr>
    </w:p>
    <w:sectPr w:rsidR="0037123E" w:rsidRPr="007302F0" w:rsidSect="00ED0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66E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8"/>
    <w:multiLevelType w:val="singleLevel"/>
    <w:tmpl w:val="3182C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E559E6"/>
    <w:multiLevelType w:val="hybridMultilevel"/>
    <w:tmpl w:val="295AE0BE"/>
    <w:lvl w:ilvl="0" w:tplc="A260CC5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64F4C">
      <w:start w:val="1"/>
      <w:numFmt w:val="bullet"/>
      <w:pStyle w:val="ListParagrap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43E"/>
    <w:multiLevelType w:val="hybridMultilevel"/>
    <w:tmpl w:val="3DDEED56"/>
    <w:lvl w:ilvl="0" w:tplc="AB2AE33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573E6"/>
    <w:multiLevelType w:val="hybridMultilevel"/>
    <w:tmpl w:val="9188B020"/>
    <w:lvl w:ilvl="0" w:tplc="0628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3128">
    <w:abstractNumId w:val="0"/>
  </w:num>
  <w:num w:numId="2" w16cid:durableId="384531289">
    <w:abstractNumId w:val="1"/>
  </w:num>
  <w:num w:numId="3" w16cid:durableId="2124154333">
    <w:abstractNumId w:val="1"/>
  </w:num>
  <w:num w:numId="4" w16cid:durableId="245303632">
    <w:abstractNumId w:val="4"/>
  </w:num>
  <w:num w:numId="5" w16cid:durableId="1341272756">
    <w:abstractNumId w:val="2"/>
  </w:num>
  <w:num w:numId="6" w16cid:durableId="2020934599">
    <w:abstractNumId w:val="2"/>
  </w:num>
  <w:num w:numId="7" w16cid:durableId="13954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3E"/>
    <w:rsid w:val="00086D47"/>
    <w:rsid w:val="0014749A"/>
    <w:rsid w:val="002263B7"/>
    <w:rsid w:val="0028135D"/>
    <w:rsid w:val="003140FB"/>
    <w:rsid w:val="0037123E"/>
    <w:rsid w:val="00514976"/>
    <w:rsid w:val="006055D0"/>
    <w:rsid w:val="00613468"/>
    <w:rsid w:val="006259F7"/>
    <w:rsid w:val="007302F0"/>
    <w:rsid w:val="007A78B9"/>
    <w:rsid w:val="008506A9"/>
    <w:rsid w:val="009E00E0"/>
    <w:rsid w:val="00A00A92"/>
    <w:rsid w:val="00A3587C"/>
    <w:rsid w:val="00AA1036"/>
    <w:rsid w:val="00B87830"/>
    <w:rsid w:val="00BC0C3A"/>
    <w:rsid w:val="00C06BF2"/>
    <w:rsid w:val="00C343DB"/>
    <w:rsid w:val="00C50D76"/>
    <w:rsid w:val="00D141C3"/>
    <w:rsid w:val="00D17F43"/>
    <w:rsid w:val="00DE1F2F"/>
    <w:rsid w:val="00E5718B"/>
    <w:rsid w:val="00EB44BD"/>
    <w:rsid w:val="00ED0493"/>
    <w:rsid w:val="00E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9083"/>
  <w15:chartTrackingRefBased/>
  <w15:docId w15:val="{4552DCA6-D00B-4AEE-9C46-7AD3194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43"/>
    <w:pPr>
      <w:spacing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3B7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02F0"/>
    <w:pPr>
      <w:spacing w:before="600" w:after="120"/>
      <w:contextualSpacing/>
      <w:outlineLvl w:val="1"/>
    </w:pPr>
    <w:rPr>
      <w:b/>
      <w:bCs/>
      <w:color w:val="000000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41C3"/>
    <w:pPr>
      <w:keepNext/>
      <w:keepLines/>
      <w:spacing w:before="120" w:after="60"/>
      <w:outlineLvl w:val="2"/>
    </w:pPr>
    <w:rPr>
      <w:rFonts w:eastAsiaTheme="majorEastAsia" w:cstheme="majorBidi"/>
      <w:b/>
      <w:i/>
      <w:iCs/>
      <w:color w:val="000000" w:themeColor="text1"/>
      <w:sz w:val="3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41C3"/>
    <w:pPr>
      <w:keepNext/>
      <w:keepLines/>
      <w:outlineLvl w:val="3"/>
    </w:pPr>
    <w:rPr>
      <w:rFonts w:eastAsiaTheme="majorEastAsia" w:cstheme="majorBidi"/>
      <w:b/>
      <w:iCs/>
      <w:color w:val="000000" w:themeColor="text1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3587C"/>
    <w:pPr>
      <w:keepNext/>
      <w:keepLines/>
      <w:outlineLvl w:val="4"/>
    </w:pPr>
    <w:rPr>
      <w:rFonts w:eastAsiaTheme="majorEastAsia" w:cstheme="majorBidi"/>
      <w:color w:val="000000" w:themeColor="text1"/>
      <w:sz w:val="2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506A9"/>
    <w:pPr>
      <w:keepNext/>
      <w:keepLines/>
      <w:outlineLvl w:val="5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3B7"/>
    <w:rPr>
      <w:rFonts w:eastAsiaTheme="majorEastAsia" w:cstheme="majorBidi"/>
      <w:b/>
      <w:color w:val="000000" w:themeColor="text1"/>
      <w:sz w:val="4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02F0"/>
    <w:rPr>
      <w:b/>
      <w:bCs/>
      <w:color w:val="000000"/>
      <w:sz w:val="40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343DB"/>
    <w:pPr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343DB"/>
    <w:rPr>
      <w:rFonts w:eastAsiaTheme="majorEastAsia" w:cstheme="majorBidi"/>
      <w:b/>
      <w:color w:val="000000" w:themeColor="text1"/>
      <w:spacing w:val="-10"/>
      <w:kern w:val="28"/>
      <w:sz w:val="56"/>
      <w:szCs w:val="5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41C3"/>
    <w:rPr>
      <w:rFonts w:eastAsiaTheme="majorEastAsia" w:cstheme="majorBidi"/>
      <w:b/>
      <w:i/>
      <w:iCs/>
      <w:color w:val="000000" w:themeColor="text1"/>
      <w:sz w:val="3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41C3"/>
    <w:rPr>
      <w:rFonts w:eastAsiaTheme="majorEastAsia" w:cstheme="majorBidi"/>
      <w:b/>
      <w:iCs/>
      <w:color w:val="000000" w:themeColor="text1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87C"/>
    <w:rPr>
      <w:rFonts w:eastAsiaTheme="majorEastAsia" w:cstheme="majorBidi"/>
      <w:color w:val="000000" w:themeColor="text1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A9"/>
    <w:rPr>
      <w:rFonts w:eastAsiaTheme="majorEastAsia" w:cstheme="majorBidi"/>
      <w:b/>
      <w:i/>
      <w:color w:val="000000" w:themeColor="text1"/>
    </w:rPr>
  </w:style>
  <w:style w:type="paragraph" w:customStyle="1" w:styleId="ListNumberLinespacingDouble1">
    <w:name w:val="List Number + Line spacing:  Double1"/>
    <w:basedOn w:val="ListNumber"/>
    <w:rsid w:val="0028135D"/>
    <w:pPr>
      <w:numPr>
        <w:numId w:val="0"/>
      </w:numPr>
      <w:tabs>
        <w:tab w:val="num" w:pos="360"/>
      </w:tabs>
      <w:spacing w:line="480" w:lineRule="auto"/>
      <w:ind w:left="360" w:hanging="360"/>
    </w:pPr>
    <w:rPr>
      <w:rFonts w:eastAsia="Times New Roman" w:cs="Times New Roman"/>
      <w:color w:val="222222"/>
      <w:szCs w:val="20"/>
      <w:shd w:val="clear" w:color="auto" w:fill="FFFFFF"/>
    </w:rPr>
  </w:style>
  <w:style w:type="paragraph" w:styleId="ListNumber">
    <w:name w:val="List Number"/>
    <w:basedOn w:val="Normal"/>
    <w:uiPriority w:val="99"/>
    <w:semiHidden/>
    <w:unhideWhenUsed/>
    <w:rsid w:val="0028135D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AA1036"/>
    <w:rPr>
      <w:rFonts w:ascii="Arial" w:hAnsi="Arial" w:cs="Arial"/>
      <w:b/>
      <w:bCs/>
      <w:sz w:val="24"/>
      <w:szCs w:val="24"/>
    </w:rPr>
  </w:style>
  <w:style w:type="paragraph" w:customStyle="1" w:styleId="StyleListParagraphText1After6ptPatternClearWhite">
    <w:name w:val="Style List Paragraph + Text 1 After:  6 pt Pattern: Clear (White)..."/>
    <w:basedOn w:val="ListParagraph"/>
    <w:rsid w:val="00514976"/>
    <w:rPr>
      <w:rFonts w:eastAsia="Times New Roman" w:cs="Times New Roman"/>
      <w:szCs w:val="20"/>
      <w:shd w:val="clear" w:color="auto" w:fill="FFFFFF"/>
    </w:rPr>
  </w:style>
  <w:style w:type="paragraph" w:styleId="ListParagraph">
    <w:name w:val="List Paragraph"/>
    <w:basedOn w:val="Normal"/>
    <w:autoRedefine/>
    <w:uiPriority w:val="34"/>
    <w:qFormat/>
    <w:rsid w:val="00BC0C3A"/>
    <w:pPr>
      <w:numPr>
        <w:ilvl w:val="2"/>
        <w:numId w:val="6"/>
      </w:numPr>
      <w:spacing w:after="120" w:line="264" w:lineRule="auto"/>
    </w:pPr>
    <w:rPr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6055D0"/>
    <w:rPr>
      <w:rFonts w:ascii="Garamond" w:eastAsiaTheme="majorEastAsia" w:hAnsi="Garamond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5D0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theme="majorBidi"/>
    </w:rPr>
  </w:style>
  <w:style w:type="character" w:styleId="Hyperlink">
    <w:name w:val="Hyperlink"/>
    <w:basedOn w:val="DefaultParagraphFont"/>
    <w:uiPriority w:val="99"/>
    <w:unhideWhenUsed/>
    <w:rsid w:val="00B87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fb.org/sites/nfb.org/files/2023-12/2024%20Medical%20Device%20Nonvisual%20Accessibility%20Act%20Fact%20Sheet%20-%20FINAL%20for%20We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sites/nfb.org/files/2023-12/2024%20Blind%20Americans%20Return%20to%20Work%20Act%20Fact%20Sheet%20-%20FINAL%20for%20Web.docx" TargetMode="External"/><Relationship Id="rId5" Type="http://schemas.openxmlformats.org/officeDocument/2006/relationships/hyperlink" Target="https://nfb.org/sites/nfb.org/files/2023-12/2024%20Websites%20and%20Software%20Applications%20Accessibility%20Act%20Fact%20Sheet%20-%20FINAL%20for%20Web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Walker</dc:creator>
  <cp:keywords/>
  <dc:description/>
  <cp:lastModifiedBy>Carlton Walker</cp:lastModifiedBy>
  <cp:revision>2</cp:revision>
  <dcterms:created xsi:type="dcterms:W3CDTF">2023-12-22T18:31:00Z</dcterms:created>
  <dcterms:modified xsi:type="dcterms:W3CDTF">2023-12-22T18:31:00Z</dcterms:modified>
</cp:coreProperties>
</file>