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9A7" w:rsidRDefault="00004ABA" w:rsidP="00004ABA">
      <w:pPr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8"/>
          <w:szCs w:val="28"/>
          <w:shd w:val="clear" w:color="auto" w:fill="FFFFFF"/>
          <w14:ligatures w14:val="none"/>
        </w:rPr>
      </w:pPr>
      <w:r w:rsidRPr="004951A2">
        <w:rPr>
          <w:rFonts w:ascii="Arial" w:eastAsia="Times New Roman" w:hAnsi="Arial" w:cs="Arial"/>
          <w:b/>
          <w:bCs/>
          <w:color w:val="500050"/>
          <w:kern w:val="0"/>
          <w:sz w:val="28"/>
          <w:szCs w:val="28"/>
          <w:shd w:val="clear" w:color="auto" w:fill="FFFFFF"/>
          <w14:ligatures w14:val="none"/>
        </w:rPr>
        <w:t>National Federation of the Blind of New Hampshire Events Scholarships Policy </w:t>
      </w:r>
    </w:p>
    <w:p w:rsidR="00004ABA" w:rsidRPr="004951A2" w:rsidRDefault="00B239A7" w:rsidP="00004A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8"/>
          <w:szCs w:val="28"/>
          <w:shd w:val="clear" w:color="auto" w:fill="FFFFFF"/>
          <w14:ligatures w14:val="none"/>
        </w:rPr>
        <w:t>(Rev. 2025 – 03 – 30)</w:t>
      </w:r>
      <w:r w:rsidR="00004ABA" w:rsidRPr="004951A2">
        <w:rPr>
          <w:rFonts w:ascii="Arial" w:eastAsia="Times New Roman" w:hAnsi="Arial" w:cs="Arial"/>
          <w:b/>
          <w:bCs/>
          <w:color w:val="500050"/>
          <w:kern w:val="0"/>
          <w:sz w:val="28"/>
          <w:szCs w:val="28"/>
          <w14:ligatures w14:val="none"/>
        </w:rPr>
        <w:br/>
      </w:r>
    </w:p>
    <w:p w:rsidR="00004ABA" w:rsidRPr="00004ABA" w:rsidRDefault="00004ABA" w:rsidP="00004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This policy is for the allocation of funds 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for events scholarships 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in each financial year. Replenishing of funds will happen through active fundraising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,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 thereby setting a sensible and reasonable budget limit per calendar year. The 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B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oard, with the Treasurer, reviews and sets the budget 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and event scholarship allocations 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on a yearly basis. </w:t>
      </w:r>
    </w:p>
    <w:p w:rsidR="00004ABA" w:rsidRDefault="00004ABA" w:rsidP="00004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</w:p>
    <w:p w:rsidR="00004ABA" w:rsidRPr="00004ABA" w:rsidRDefault="00004ABA" w:rsidP="00004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Scholarship requests for events will </w:t>
      </w:r>
      <w:r w:rsidR="005A5F2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be </w:t>
      </w: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awarded based on financial need, in order to assist members with greater financial challenges. All requests must be submitted individually in written essay form to the </w:t>
      </w:r>
      <w:r w:rsidR="005A5F2C">
        <w:rPr>
          <w:rFonts w:ascii="Arial" w:eastAsia="Times New Roman" w:hAnsi="Arial" w:cs="Arial"/>
          <w:kern w:val="0"/>
          <w:sz w:val="28"/>
          <w:szCs w:val="28"/>
          <w14:ligatures w14:val="none"/>
        </w:rPr>
        <w:t>B</w:t>
      </w: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oard. </w:t>
      </w:r>
      <w:r w:rsidR="005A5F2C">
        <w:rPr>
          <w:rFonts w:ascii="Arial" w:eastAsia="Times New Roman" w:hAnsi="Arial" w:cs="Arial"/>
          <w:kern w:val="0"/>
          <w:sz w:val="28"/>
          <w:szCs w:val="28"/>
          <w14:ligatures w14:val="none"/>
        </w:rPr>
        <w:t>Selections will</w:t>
      </w: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be made by the </w:t>
      </w:r>
      <w:r w:rsidR="005A5F2C">
        <w:rPr>
          <w:rFonts w:ascii="Arial" w:eastAsia="Times New Roman" w:hAnsi="Arial" w:cs="Arial"/>
          <w:kern w:val="0"/>
          <w:sz w:val="28"/>
          <w:szCs w:val="28"/>
          <w14:ligatures w14:val="none"/>
        </w:rPr>
        <w:t>B</w:t>
      </w: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oard or the reviewing committee on a case-by-case basis. This includes financial assistance for travel to in-state </w:t>
      </w:r>
      <w:r w:rsidR="005A5F2C">
        <w:rPr>
          <w:rFonts w:ascii="Arial" w:eastAsia="Times New Roman" w:hAnsi="Arial" w:cs="Arial"/>
          <w:kern w:val="0"/>
          <w:sz w:val="28"/>
          <w:szCs w:val="28"/>
          <w14:ligatures w14:val="none"/>
        </w:rPr>
        <w:t>affiliate events</w:t>
      </w: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>, such as the State Convention</w:t>
      </w:r>
      <w:r w:rsidR="005A5F2C">
        <w:rPr>
          <w:rFonts w:ascii="Arial" w:eastAsia="Times New Roman" w:hAnsi="Arial" w:cs="Arial"/>
          <w:kern w:val="0"/>
          <w:sz w:val="28"/>
          <w:szCs w:val="28"/>
          <w14:ligatures w14:val="none"/>
        </w:rPr>
        <w:t>, and national events, such as the Washington Seminar or the National Convention</w:t>
      </w: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. However, this support will be limited to </w:t>
      </w:r>
      <w:r w:rsidR="005A5F2C">
        <w:rPr>
          <w:rFonts w:ascii="Arial" w:eastAsia="Times New Roman" w:hAnsi="Arial" w:cs="Arial"/>
          <w:kern w:val="0"/>
          <w:sz w:val="28"/>
          <w:szCs w:val="28"/>
          <w14:ligatures w14:val="none"/>
        </w:rPr>
        <w:t>long-distance transportation (airlines, trains, etc.) to and from the event and/or lodging. Local transportation for national events</w:t>
      </w: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5A5F2C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(taxis, Uber, Lyft) are the responsibility of the attendee as well as food and incidental expenses. </w:t>
      </w: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>Special requests for additional scholarships may be considered in cases of extraordinary need, such as the requirement for wheelchair-accessible transportation.</w:t>
      </w:r>
    </w:p>
    <w:p w:rsidR="00004ABA" w:rsidRPr="00004ABA" w:rsidRDefault="00004ABA" w:rsidP="00004AB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:rsidR="00004ABA" w:rsidRPr="00004ABA" w:rsidRDefault="004951A2" w:rsidP="00004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Any events other than those previously listed </w:t>
      </w:r>
      <w:r w:rsidR="00004ABA"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>must be presented to the Board for consideration.</w:t>
      </w:r>
    </w:p>
    <w:p w:rsidR="00004ABA" w:rsidRPr="00004ABA" w:rsidRDefault="00004ABA" w:rsidP="00004AB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:rsidR="00004ABA" w:rsidRPr="00004ABA" w:rsidRDefault="00004ABA" w:rsidP="00004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004AB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The Board will gather to review and make decisions in a reasonable time frame allowing members to be able to make plans as needed. </w:t>
      </w:r>
    </w:p>
    <w:p w:rsidR="00004ABA" w:rsidRPr="00BE7190" w:rsidRDefault="00004ABA" w:rsidP="00004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</w:p>
    <w:p w:rsidR="00004ABA" w:rsidRDefault="00004ABA" w:rsidP="00004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  <w:r w:rsidRPr="00BE7190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Eligible members are those who are (1) current on dues, (2) actively participating in the NFBNH, 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and </w:t>
      </w:r>
      <w:r w:rsidRPr="00BE7190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(3) cannot have not missed more than four chapter meetings 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in the previous twelve months.</w:t>
      </w:r>
    </w:p>
    <w:p w:rsidR="00004ABA" w:rsidRPr="00BE7190" w:rsidRDefault="00004ABA" w:rsidP="00004AB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</w:p>
    <w:p w:rsidR="00004ABA" w:rsidRDefault="00004ABA" w:rsidP="00004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First-time attendees 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to the National Convention 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are strongly encouraged to apply for the Kenneth Jer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nigan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S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cholarship. </w:t>
      </w:r>
    </w:p>
    <w:p w:rsidR="00004ABA" w:rsidRPr="00BE7190" w:rsidRDefault="00004ABA" w:rsidP="00004ABA">
      <w:pPr>
        <w:pStyle w:val="ListParagraph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</w:p>
    <w:p w:rsidR="00004ABA" w:rsidRPr="0004630F" w:rsidRDefault="00004ABA" w:rsidP="00004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Money will be awarded on a reimbursement basis. 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Members are 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required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 to provide receipts (i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.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e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.,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 hotel</w:t>
      </w:r>
      <w:r w:rsidR="004951A2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, 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flight</w:t>
      </w:r>
      <w:r w:rsidR="004951A2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, train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)</w:t>
      </w:r>
      <w:r w:rsidR="00722339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 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along with a daily signed recognition record from our President or appropriate delegate to be presented to the board upon return. </w:t>
      </w:r>
    </w:p>
    <w:p w:rsidR="00004ABA" w:rsidRPr="0030149B" w:rsidRDefault="00004ABA" w:rsidP="00004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</w:p>
    <w:p w:rsidR="00004ABA" w:rsidRPr="0004630F" w:rsidRDefault="00004ABA" w:rsidP="00004A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This policy goes into effect June</w:t>
      </w:r>
      <w:r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>,</w:t>
      </w:r>
      <w:r w:rsidRPr="0004630F"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  <w:t xml:space="preserve"> 2025.</w:t>
      </w:r>
    </w:p>
    <w:p w:rsidR="00004ABA" w:rsidRPr="0030149B" w:rsidRDefault="00004ABA" w:rsidP="00004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8"/>
          <w:szCs w:val="28"/>
          <w14:ligatures w14:val="none"/>
        </w:rPr>
      </w:pPr>
    </w:p>
    <w:p w:rsidR="00004ABA" w:rsidRPr="004951A2" w:rsidRDefault="004951A2" w:rsidP="00004A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951A2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Policy Appendix</w:t>
      </w:r>
    </w:p>
    <w:p w:rsidR="004951A2" w:rsidRDefault="004951A2" w:rsidP="004951A2">
      <w:pPr>
        <w:ind w:firstLine="720"/>
        <w:rPr>
          <w:b/>
          <w:bCs/>
          <w:color w:val="0070C0"/>
          <w:sz w:val="28"/>
          <w:szCs w:val="28"/>
        </w:rPr>
      </w:pPr>
    </w:p>
    <w:p w:rsidR="004951A2" w:rsidRPr="004951A2" w:rsidRDefault="004951A2" w:rsidP="004951A2">
      <w:pPr>
        <w:ind w:firstLine="720"/>
        <w:rPr>
          <w:b/>
          <w:bCs/>
          <w:sz w:val="28"/>
          <w:szCs w:val="28"/>
        </w:rPr>
      </w:pPr>
      <w:r w:rsidRPr="004951A2">
        <w:rPr>
          <w:b/>
          <w:bCs/>
          <w:sz w:val="28"/>
          <w:szCs w:val="28"/>
        </w:rPr>
        <w:t>The scholarship application shall consist of the following questions:</w:t>
      </w:r>
    </w:p>
    <w:p w:rsidR="00004ABA" w:rsidRPr="004951A2" w:rsidRDefault="004951A2" w:rsidP="004951A2">
      <w:pPr>
        <w:ind w:firstLine="720"/>
        <w:rPr>
          <w:b/>
          <w:bCs/>
          <w:sz w:val="28"/>
          <w:szCs w:val="28"/>
        </w:rPr>
      </w:pPr>
      <w:r w:rsidRPr="004951A2">
        <w:rPr>
          <w:b/>
          <w:bCs/>
          <w:sz w:val="28"/>
          <w:szCs w:val="28"/>
        </w:rPr>
        <w:t>What is the event? (Required)</w:t>
      </w:r>
    </w:p>
    <w:p w:rsidR="00004ABA" w:rsidRPr="004951A2" w:rsidRDefault="00004ABA" w:rsidP="00004ABA">
      <w:pPr>
        <w:rPr>
          <w:b/>
          <w:bCs/>
          <w:sz w:val="28"/>
          <w:szCs w:val="28"/>
        </w:rPr>
      </w:pPr>
      <w:r w:rsidRPr="004951A2">
        <w:rPr>
          <w:b/>
          <w:bCs/>
          <w:sz w:val="28"/>
          <w:szCs w:val="28"/>
        </w:rPr>
        <w:tab/>
      </w:r>
      <w:r w:rsidR="004951A2" w:rsidRPr="004951A2">
        <w:rPr>
          <w:b/>
          <w:bCs/>
          <w:sz w:val="28"/>
          <w:szCs w:val="28"/>
        </w:rPr>
        <w:t>What is the a</w:t>
      </w:r>
      <w:r w:rsidRPr="004951A2">
        <w:rPr>
          <w:b/>
          <w:bCs/>
          <w:sz w:val="28"/>
          <w:szCs w:val="28"/>
        </w:rPr>
        <w:t xml:space="preserve">mount of </w:t>
      </w:r>
      <w:r w:rsidR="004951A2" w:rsidRPr="004951A2">
        <w:rPr>
          <w:b/>
          <w:bCs/>
          <w:sz w:val="28"/>
          <w:szCs w:val="28"/>
        </w:rPr>
        <w:t>f</w:t>
      </w:r>
      <w:r w:rsidRPr="004951A2">
        <w:rPr>
          <w:b/>
          <w:bCs/>
          <w:sz w:val="28"/>
          <w:szCs w:val="28"/>
        </w:rPr>
        <w:t xml:space="preserve">unding </w:t>
      </w:r>
      <w:r w:rsidR="004951A2" w:rsidRPr="004951A2">
        <w:rPr>
          <w:b/>
          <w:bCs/>
          <w:sz w:val="28"/>
          <w:szCs w:val="28"/>
        </w:rPr>
        <w:t>r</w:t>
      </w:r>
      <w:r w:rsidRPr="004951A2">
        <w:rPr>
          <w:b/>
          <w:bCs/>
          <w:sz w:val="28"/>
          <w:szCs w:val="28"/>
        </w:rPr>
        <w:t>equested</w:t>
      </w:r>
      <w:r w:rsidR="004951A2" w:rsidRPr="004951A2">
        <w:rPr>
          <w:b/>
          <w:bCs/>
          <w:sz w:val="28"/>
          <w:szCs w:val="28"/>
        </w:rPr>
        <w:t>?</w:t>
      </w:r>
      <w:r w:rsidRPr="004951A2">
        <w:rPr>
          <w:b/>
          <w:bCs/>
          <w:sz w:val="28"/>
          <w:szCs w:val="28"/>
        </w:rPr>
        <w:t xml:space="preserve"> (Required)</w:t>
      </w:r>
    </w:p>
    <w:p w:rsidR="00004ABA" w:rsidRPr="004951A2" w:rsidRDefault="00004ABA" w:rsidP="00004ABA">
      <w:pPr>
        <w:rPr>
          <w:b/>
          <w:bCs/>
          <w:sz w:val="28"/>
          <w:szCs w:val="28"/>
        </w:rPr>
      </w:pPr>
      <w:r w:rsidRPr="004951A2">
        <w:rPr>
          <w:b/>
          <w:bCs/>
          <w:sz w:val="28"/>
          <w:szCs w:val="28"/>
        </w:rPr>
        <w:tab/>
      </w:r>
      <w:r w:rsidR="004951A2" w:rsidRPr="004951A2">
        <w:rPr>
          <w:b/>
          <w:bCs/>
          <w:sz w:val="28"/>
          <w:szCs w:val="28"/>
        </w:rPr>
        <w:t>What will the funding be used for?</w:t>
      </w:r>
      <w:r w:rsidRPr="004951A2">
        <w:rPr>
          <w:b/>
          <w:bCs/>
          <w:sz w:val="28"/>
          <w:szCs w:val="28"/>
        </w:rPr>
        <w:t xml:space="preserve"> (Required)</w:t>
      </w:r>
    </w:p>
    <w:p w:rsidR="00004ABA" w:rsidRPr="004951A2" w:rsidRDefault="00004ABA" w:rsidP="00004ABA">
      <w:pPr>
        <w:rPr>
          <w:b/>
          <w:bCs/>
          <w:sz w:val="28"/>
          <w:szCs w:val="28"/>
        </w:rPr>
      </w:pPr>
      <w:r w:rsidRPr="004951A2">
        <w:rPr>
          <w:b/>
          <w:bCs/>
          <w:sz w:val="28"/>
          <w:szCs w:val="28"/>
        </w:rPr>
        <w:tab/>
        <w:t>How do you currently participate in the Federation? (Required)</w:t>
      </w:r>
    </w:p>
    <w:p w:rsidR="00004ABA" w:rsidRPr="004951A2" w:rsidRDefault="00004ABA" w:rsidP="00004ABA">
      <w:pPr>
        <w:rPr>
          <w:b/>
          <w:bCs/>
          <w:sz w:val="28"/>
          <w:szCs w:val="28"/>
        </w:rPr>
      </w:pPr>
      <w:r w:rsidRPr="004951A2">
        <w:rPr>
          <w:b/>
          <w:bCs/>
          <w:sz w:val="28"/>
          <w:szCs w:val="28"/>
        </w:rPr>
        <w:tab/>
        <w:t xml:space="preserve">Why do you want to attend </w:t>
      </w:r>
      <w:r w:rsidR="004951A2" w:rsidRPr="004951A2">
        <w:rPr>
          <w:b/>
          <w:bCs/>
          <w:sz w:val="28"/>
          <w:szCs w:val="28"/>
        </w:rPr>
        <w:t>the</w:t>
      </w:r>
      <w:r w:rsidRPr="004951A2">
        <w:rPr>
          <w:b/>
          <w:bCs/>
          <w:sz w:val="28"/>
          <w:szCs w:val="28"/>
        </w:rPr>
        <w:t xml:space="preserve"> (EVENT NAME)? (Required)</w:t>
      </w:r>
    </w:p>
    <w:p w:rsidR="00004ABA" w:rsidRPr="004951A2" w:rsidRDefault="00004ABA" w:rsidP="00004ABA">
      <w:pPr>
        <w:rPr>
          <w:b/>
          <w:bCs/>
          <w:sz w:val="28"/>
          <w:szCs w:val="28"/>
        </w:rPr>
      </w:pPr>
      <w:r w:rsidRPr="004951A2">
        <w:rPr>
          <w:b/>
          <w:bCs/>
          <w:sz w:val="28"/>
          <w:szCs w:val="28"/>
        </w:rPr>
        <w:tab/>
        <w:t>How do you plan to give back or contribute to our organization and our movement? (Required)</w:t>
      </w:r>
    </w:p>
    <w:p w:rsidR="00004ABA" w:rsidRPr="004951A2" w:rsidRDefault="00004ABA" w:rsidP="00004ABA">
      <w:pPr>
        <w:rPr>
          <w:b/>
          <w:bCs/>
          <w:sz w:val="28"/>
          <w:szCs w:val="28"/>
        </w:rPr>
      </w:pPr>
      <w:r w:rsidRPr="004951A2">
        <w:rPr>
          <w:b/>
          <w:bCs/>
          <w:sz w:val="28"/>
          <w:szCs w:val="28"/>
        </w:rPr>
        <w:tab/>
        <w:t>Are there any special circumstances that we should consider?</w:t>
      </w:r>
    </w:p>
    <w:p w:rsidR="00DD172A" w:rsidRDefault="00DD172A"/>
    <w:sectPr w:rsidR="00DD1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73DEA"/>
    <w:multiLevelType w:val="hybridMultilevel"/>
    <w:tmpl w:val="0CCA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BA"/>
    <w:rsid w:val="00004ABA"/>
    <w:rsid w:val="002B3EDC"/>
    <w:rsid w:val="002D117C"/>
    <w:rsid w:val="00330E84"/>
    <w:rsid w:val="00381164"/>
    <w:rsid w:val="003A5A49"/>
    <w:rsid w:val="004951A2"/>
    <w:rsid w:val="005A5F2C"/>
    <w:rsid w:val="006C0484"/>
    <w:rsid w:val="00722339"/>
    <w:rsid w:val="008F10AA"/>
    <w:rsid w:val="0099694A"/>
    <w:rsid w:val="00B239A7"/>
    <w:rsid w:val="00B44DCB"/>
    <w:rsid w:val="00B64F63"/>
    <w:rsid w:val="00DD172A"/>
    <w:rsid w:val="00FA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FCCE"/>
  <w15:chartTrackingRefBased/>
  <w15:docId w15:val="{77CFFF50-ED11-4AFE-A095-6400CDAF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BA"/>
  </w:style>
  <w:style w:type="paragraph" w:styleId="Heading1">
    <w:name w:val="heading 1"/>
    <w:basedOn w:val="Normal"/>
    <w:next w:val="Normal"/>
    <w:link w:val="Heading1Char"/>
    <w:uiPriority w:val="9"/>
    <w:qFormat/>
    <w:rsid w:val="0000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A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A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A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A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O'BRIEN</dc:creator>
  <cp:keywords/>
  <dc:description/>
  <cp:lastModifiedBy>DENNIS O'BRIEN</cp:lastModifiedBy>
  <cp:revision>2</cp:revision>
  <dcterms:created xsi:type="dcterms:W3CDTF">2025-03-30T17:54:00Z</dcterms:created>
  <dcterms:modified xsi:type="dcterms:W3CDTF">2025-10-12T23:28:00Z</dcterms:modified>
</cp:coreProperties>
</file>