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51" w:rsidRDefault="00C93CDB" w:rsidP="00276F39">
      <w:pPr>
        <w:pStyle w:val="NormalWeb"/>
        <w:rPr>
          <w:rStyle w:val="Strong"/>
          <w:rFonts w:ascii="Arial" w:hAnsi="Arial" w:cs="Arial"/>
        </w:rPr>
      </w:pPr>
      <w:r w:rsidRPr="001B6469">
        <w:rPr>
          <w:rStyle w:val="Strong"/>
          <w:rFonts w:ascii="Arial" w:hAnsi="Arial" w:cs="Arial"/>
        </w:rPr>
        <w:t>Market Overview</w:t>
      </w:r>
    </w:p>
    <w:p w:rsidR="0076055C" w:rsidRDefault="0076055C" w:rsidP="00276F39">
      <w:pPr>
        <w:pStyle w:val="NormalWeb"/>
        <w:rPr>
          <w:rFonts w:ascii="Arial" w:hAnsi="Arial" w:cs="Arial"/>
        </w:rPr>
      </w:pPr>
      <w:r>
        <w:rPr>
          <w:rFonts w:ascii="Arial" w:hAnsi="Arial" w:cs="Arial"/>
        </w:rPr>
        <w:t>Oil, Oil, Oil –  As evidenced by gas prices that we are paying at the pump, oil prices have dropped considerably during the 4</w:t>
      </w:r>
      <w:r w:rsidRPr="0076055C">
        <w:rPr>
          <w:rFonts w:ascii="Arial" w:hAnsi="Arial" w:cs="Arial"/>
          <w:vertAlign w:val="superscript"/>
        </w:rPr>
        <w:t>th</w:t>
      </w:r>
      <w:r>
        <w:rPr>
          <w:rFonts w:ascii="Arial" w:hAnsi="Arial" w:cs="Arial"/>
        </w:rPr>
        <w:t xml:space="preserve"> quarter of 2015, </w:t>
      </w:r>
      <w:r w:rsidR="002506B3">
        <w:rPr>
          <w:rFonts w:ascii="Arial" w:hAnsi="Arial" w:cs="Arial"/>
        </w:rPr>
        <w:t xml:space="preserve">and early 2016, </w:t>
      </w:r>
      <w:r>
        <w:rPr>
          <w:rFonts w:ascii="Arial" w:hAnsi="Arial" w:cs="Arial"/>
        </w:rPr>
        <w:t xml:space="preserve">so much so that </w:t>
      </w:r>
      <w:r w:rsidR="00F57E6E">
        <w:rPr>
          <w:rFonts w:ascii="Arial" w:hAnsi="Arial" w:cs="Arial"/>
        </w:rPr>
        <w:t xml:space="preserve">EIA </w:t>
      </w:r>
      <w:r>
        <w:rPr>
          <w:rFonts w:ascii="Arial" w:hAnsi="Arial" w:cs="Arial"/>
        </w:rPr>
        <w:t>experts are now predicting that a further drop in prices may happen during early 2016</w:t>
      </w:r>
      <w:r w:rsidR="002506B3">
        <w:rPr>
          <w:rFonts w:ascii="Arial" w:hAnsi="Arial" w:cs="Arial"/>
        </w:rPr>
        <w:t xml:space="preserve"> (this is called an overcorrection!)</w:t>
      </w:r>
      <w:r>
        <w:rPr>
          <w:rFonts w:ascii="Arial" w:hAnsi="Arial" w:cs="Arial"/>
        </w:rPr>
        <w:t>.  The</w:t>
      </w:r>
      <w:r w:rsidR="002506B3">
        <w:rPr>
          <w:rFonts w:ascii="Arial" w:hAnsi="Arial" w:cs="Arial"/>
        </w:rPr>
        <w:t xml:space="preserve">se same experts are </w:t>
      </w:r>
      <w:r>
        <w:rPr>
          <w:rFonts w:ascii="Arial" w:hAnsi="Arial" w:cs="Arial"/>
        </w:rPr>
        <w:t>predicti</w:t>
      </w:r>
      <w:r w:rsidR="002506B3">
        <w:rPr>
          <w:rFonts w:ascii="Arial" w:hAnsi="Arial" w:cs="Arial"/>
        </w:rPr>
        <w:t>ng</w:t>
      </w:r>
      <w:r>
        <w:rPr>
          <w:rFonts w:ascii="Arial" w:hAnsi="Arial" w:cs="Arial"/>
        </w:rPr>
        <w:t xml:space="preserve"> </w:t>
      </w:r>
      <w:r w:rsidR="002506B3">
        <w:rPr>
          <w:rFonts w:ascii="Arial" w:hAnsi="Arial" w:cs="Arial"/>
        </w:rPr>
        <w:t xml:space="preserve">a turnaround during the </w:t>
      </w:r>
      <w:r>
        <w:rPr>
          <w:rFonts w:ascii="Arial" w:hAnsi="Arial" w:cs="Arial"/>
        </w:rPr>
        <w:t xml:space="preserve">second half of 2016 </w:t>
      </w:r>
      <w:r w:rsidR="002506B3">
        <w:rPr>
          <w:rFonts w:ascii="Arial" w:hAnsi="Arial" w:cs="Arial"/>
        </w:rPr>
        <w:t xml:space="preserve">with calls for a </w:t>
      </w:r>
      <w:r>
        <w:rPr>
          <w:rFonts w:ascii="Arial" w:hAnsi="Arial" w:cs="Arial"/>
        </w:rPr>
        <w:t>large upward move in oil, supported by some equalization of the global oil supply demand curve</w:t>
      </w:r>
      <w:r w:rsidR="00F57E6E">
        <w:rPr>
          <w:rFonts w:ascii="Arial" w:hAnsi="Arial" w:cs="Arial"/>
        </w:rPr>
        <w:t xml:space="preserve"> </w:t>
      </w:r>
      <w:r w:rsidR="002506B3">
        <w:rPr>
          <w:rFonts w:ascii="Arial" w:hAnsi="Arial" w:cs="Arial"/>
        </w:rPr>
        <w:t xml:space="preserve">and </w:t>
      </w:r>
      <w:r w:rsidR="00F57E6E">
        <w:rPr>
          <w:rFonts w:ascii="Arial" w:hAnsi="Arial" w:cs="Arial"/>
        </w:rPr>
        <w:t>with expectations that year end oil prices will be 30-50% higher than current prices.</w:t>
      </w:r>
      <w:r w:rsidR="00514F21">
        <w:rPr>
          <w:rFonts w:ascii="Arial" w:hAnsi="Arial" w:cs="Arial"/>
        </w:rPr>
        <w:t xml:space="preserve">  </w:t>
      </w:r>
      <w:r>
        <w:rPr>
          <w:rFonts w:ascii="Arial" w:hAnsi="Arial" w:cs="Arial"/>
        </w:rPr>
        <w:t xml:space="preserve">All of our clients have heard us talk about oil and the effects that it has on all other energy commodities, and at </w:t>
      </w:r>
      <w:r w:rsidR="00F57E6E">
        <w:rPr>
          <w:rFonts w:ascii="Arial" w:hAnsi="Arial" w:cs="Arial"/>
        </w:rPr>
        <w:t xml:space="preserve">the current moment, oil appears, by a larger than normal margin, </w:t>
      </w:r>
      <w:r>
        <w:rPr>
          <w:rFonts w:ascii="Arial" w:hAnsi="Arial" w:cs="Arial"/>
        </w:rPr>
        <w:t xml:space="preserve">to be the main driver of energy prices, where as other fundamental and technical indicators </w:t>
      </w:r>
      <w:r w:rsidR="00F57E6E">
        <w:rPr>
          <w:rFonts w:ascii="Arial" w:hAnsi="Arial" w:cs="Arial"/>
        </w:rPr>
        <w:t xml:space="preserve">(that would point to an immediate and sharp rise in energy prices) have gone ignored.  </w:t>
      </w:r>
    </w:p>
    <w:p w:rsidR="00F57E6E" w:rsidRDefault="00F57E6E" w:rsidP="00276F39">
      <w:pPr>
        <w:pStyle w:val="NormalWeb"/>
        <w:rPr>
          <w:rFonts w:ascii="Arial" w:hAnsi="Arial" w:cs="Arial"/>
        </w:rPr>
      </w:pPr>
      <w:r>
        <w:rPr>
          <w:rFonts w:ascii="Arial" w:hAnsi="Arial" w:cs="Arial"/>
        </w:rPr>
        <w:t>While we have experienced spot price moves to the downside, futures prices during the quarter have been flat to slightly higher, indicating that there is a growing belief that the low point is behind us, and that higher prices lie ahead.</w:t>
      </w:r>
      <w:r w:rsidR="002506B3">
        <w:rPr>
          <w:rFonts w:ascii="Arial" w:hAnsi="Arial" w:cs="Arial"/>
        </w:rPr>
        <w:t xml:space="preserve">  The data supports that even those who have been on index, are paying more than those who signed fixed price contracts.</w:t>
      </w:r>
    </w:p>
    <w:p w:rsidR="00F57E6E" w:rsidRDefault="00F57E6E" w:rsidP="00276F39">
      <w:pPr>
        <w:pStyle w:val="NormalWeb"/>
        <w:rPr>
          <w:rFonts w:ascii="Arial" w:hAnsi="Arial" w:cs="Arial"/>
        </w:rPr>
      </w:pPr>
      <w:r w:rsidRPr="00F57E6E">
        <w:rPr>
          <w:rFonts w:ascii="Arial" w:hAnsi="Arial" w:cs="Arial"/>
        </w:rPr>
        <w:t xml:space="preserve">Working gas in storage was 3,297 </w:t>
      </w:r>
      <w:proofErr w:type="spellStart"/>
      <w:r w:rsidRPr="00F57E6E">
        <w:rPr>
          <w:rFonts w:ascii="Arial" w:hAnsi="Arial" w:cs="Arial"/>
        </w:rPr>
        <w:t>Bcf</w:t>
      </w:r>
      <w:proofErr w:type="spellEnd"/>
      <w:r w:rsidRPr="00F57E6E">
        <w:rPr>
          <w:rFonts w:ascii="Arial" w:hAnsi="Arial" w:cs="Arial"/>
        </w:rPr>
        <w:t xml:space="preserve"> as of Friday, January 15, 2016, according to EIA estimates. This represents a net decline of 178 </w:t>
      </w:r>
      <w:proofErr w:type="spellStart"/>
      <w:r w:rsidRPr="00F57E6E">
        <w:rPr>
          <w:rFonts w:ascii="Arial" w:hAnsi="Arial" w:cs="Arial"/>
        </w:rPr>
        <w:t>Bcf</w:t>
      </w:r>
      <w:proofErr w:type="spellEnd"/>
      <w:r w:rsidRPr="00F57E6E">
        <w:rPr>
          <w:rFonts w:ascii="Arial" w:hAnsi="Arial" w:cs="Arial"/>
        </w:rPr>
        <w:t xml:space="preserve"> from the previous week. Stocks were 629 </w:t>
      </w:r>
      <w:proofErr w:type="spellStart"/>
      <w:r w:rsidRPr="00F57E6E">
        <w:rPr>
          <w:rFonts w:ascii="Arial" w:hAnsi="Arial" w:cs="Arial"/>
        </w:rPr>
        <w:t>Bcf</w:t>
      </w:r>
      <w:proofErr w:type="spellEnd"/>
      <w:r w:rsidRPr="00F57E6E">
        <w:rPr>
          <w:rFonts w:ascii="Arial" w:hAnsi="Arial" w:cs="Arial"/>
        </w:rPr>
        <w:t xml:space="preserve"> higher than last year at this time and 473 </w:t>
      </w:r>
      <w:proofErr w:type="spellStart"/>
      <w:r w:rsidRPr="00F57E6E">
        <w:rPr>
          <w:rFonts w:ascii="Arial" w:hAnsi="Arial" w:cs="Arial"/>
        </w:rPr>
        <w:t>Bcf</w:t>
      </w:r>
      <w:proofErr w:type="spellEnd"/>
      <w:r w:rsidRPr="00F57E6E">
        <w:rPr>
          <w:rFonts w:ascii="Arial" w:hAnsi="Arial" w:cs="Arial"/>
        </w:rPr>
        <w:t xml:space="preserve"> above the five-year average of 2,824 </w:t>
      </w:r>
      <w:proofErr w:type="spellStart"/>
      <w:r w:rsidRPr="00F57E6E">
        <w:rPr>
          <w:rFonts w:ascii="Arial" w:hAnsi="Arial" w:cs="Arial"/>
        </w:rPr>
        <w:t>Bcf</w:t>
      </w:r>
      <w:proofErr w:type="spellEnd"/>
      <w:r w:rsidRPr="00F57E6E">
        <w:rPr>
          <w:rFonts w:ascii="Arial" w:hAnsi="Arial" w:cs="Arial"/>
        </w:rPr>
        <w:t xml:space="preserve">. At 3,297 </w:t>
      </w:r>
      <w:proofErr w:type="spellStart"/>
      <w:r w:rsidRPr="00F57E6E">
        <w:rPr>
          <w:rFonts w:ascii="Arial" w:hAnsi="Arial" w:cs="Arial"/>
        </w:rPr>
        <w:t>Bcf</w:t>
      </w:r>
      <w:proofErr w:type="spellEnd"/>
      <w:r w:rsidRPr="00F57E6E">
        <w:rPr>
          <w:rFonts w:ascii="Arial" w:hAnsi="Arial" w:cs="Arial"/>
        </w:rPr>
        <w:t>, total working gas is above the five-year historical range.</w:t>
      </w:r>
    </w:p>
    <w:p w:rsidR="00F57E6E" w:rsidRDefault="00F57E6E" w:rsidP="00276F39">
      <w:pPr>
        <w:pStyle w:val="NormalWeb"/>
        <w:rPr>
          <w:rFonts w:ascii="Arial" w:hAnsi="Arial" w:cs="Arial"/>
        </w:rPr>
      </w:pPr>
      <w:r>
        <w:rPr>
          <w:rFonts w:ascii="Arial" w:hAnsi="Arial" w:cs="Arial"/>
        </w:rPr>
        <w:t xml:space="preserve">Additionally, with a very late start to the winter heating demand season, </w:t>
      </w:r>
      <w:r w:rsidR="002506B3">
        <w:rPr>
          <w:rFonts w:ascii="Arial" w:hAnsi="Arial" w:cs="Arial"/>
        </w:rPr>
        <w:t>storage data continues to support lower prices.  W</w:t>
      </w:r>
      <w:r w:rsidRPr="00F57E6E">
        <w:rPr>
          <w:rFonts w:ascii="Arial" w:hAnsi="Arial" w:cs="Arial"/>
        </w:rPr>
        <w:t xml:space="preserve">orking </w:t>
      </w:r>
      <w:r w:rsidR="002506B3">
        <w:rPr>
          <w:rFonts w:ascii="Arial" w:hAnsi="Arial" w:cs="Arial"/>
        </w:rPr>
        <w:t xml:space="preserve">natural </w:t>
      </w:r>
      <w:r w:rsidRPr="00F57E6E">
        <w:rPr>
          <w:rFonts w:ascii="Arial" w:hAnsi="Arial" w:cs="Arial"/>
        </w:rPr>
        <w:t xml:space="preserve">gas in storage was 3,297 </w:t>
      </w:r>
      <w:proofErr w:type="spellStart"/>
      <w:r w:rsidRPr="00F57E6E">
        <w:rPr>
          <w:rFonts w:ascii="Arial" w:hAnsi="Arial" w:cs="Arial"/>
        </w:rPr>
        <w:t>Bcf</w:t>
      </w:r>
      <w:proofErr w:type="spellEnd"/>
      <w:r w:rsidRPr="00F57E6E">
        <w:rPr>
          <w:rFonts w:ascii="Arial" w:hAnsi="Arial" w:cs="Arial"/>
        </w:rPr>
        <w:t xml:space="preserve"> as of Friday, January 15, 2016, a</w:t>
      </w:r>
      <w:r>
        <w:rPr>
          <w:rFonts w:ascii="Arial" w:hAnsi="Arial" w:cs="Arial"/>
        </w:rPr>
        <w:t xml:space="preserve">ccording to EIA estimates.   </w:t>
      </w:r>
      <w:r w:rsidR="002506B3">
        <w:rPr>
          <w:rFonts w:ascii="Arial" w:hAnsi="Arial" w:cs="Arial"/>
        </w:rPr>
        <w:t>These s</w:t>
      </w:r>
      <w:r w:rsidRPr="00F57E6E">
        <w:rPr>
          <w:rFonts w:ascii="Arial" w:hAnsi="Arial" w:cs="Arial"/>
        </w:rPr>
        <w:t xml:space="preserve">tocks were 629 </w:t>
      </w:r>
      <w:proofErr w:type="spellStart"/>
      <w:r w:rsidRPr="00F57E6E">
        <w:rPr>
          <w:rFonts w:ascii="Arial" w:hAnsi="Arial" w:cs="Arial"/>
        </w:rPr>
        <w:t>Bcf</w:t>
      </w:r>
      <w:proofErr w:type="spellEnd"/>
      <w:r w:rsidRPr="00F57E6E">
        <w:rPr>
          <w:rFonts w:ascii="Arial" w:hAnsi="Arial" w:cs="Arial"/>
        </w:rPr>
        <w:t xml:space="preserve"> higher than last year at this time and 473 </w:t>
      </w:r>
      <w:proofErr w:type="spellStart"/>
      <w:r w:rsidRPr="00F57E6E">
        <w:rPr>
          <w:rFonts w:ascii="Arial" w:hAnsi="Arial" w:cs="Arial"/>
        </w:rPr>
        <w:t>Bcf</w:t>
      </w:r>
      <w:proofErr w:type="spellEnd"/>
      <w:r w:rsidRPr="00F57E6E">
        <w:rPr>
          <w:rFonts w:ascii="Arial" w:hAnsi="Arial" w:cs="Arial"/>
        </w:rPr>
        <w:t xml:space="preserve"> above the five-year average of 2,824 </w:t>
      </w:r>
      <w:proofErr w:type="spellStart"/>
      <w:r w:rsidRPr="00F57E6E">
        <w:rPr>
          <w:rFonts w:ascii="Arial" w:hAnsi="Arial" w:cs="Arial"/>
        </w:rPr>
        <w:t>Bcf</w:t>
      </w:r>
      <w:proofErr w:type="spellEnd"/>
      <w:r w:rsidRPr="00F57E6E">
        <w:rPr>
          <w:rFonts w:ascii="Arial" w:hAnsi="Arial" w:cs="Arial"/>
        </w:rPr>
        <w:t xml:space="preserve">. </w:t>
      </w:r>
      <w:r w:rsidR="002506B3">
        <w:rPr>
          <w:rFonts w:ascii="Arial" w:hAnsi="Arial" w:cs="Arial"/>
        </w:rPr>
        <w:t xml:space="preserve">  </w:t>
      </w:r>
      <w:r w:rsidR="00595D4E">
        <w:rPr>
          <w:rFonts w:ascii="Arial" w:hAnsi="Arial" w:cs="Arial"/>
        </w:rPr>
        <w:t>Due to the massive winter storms across most of the U.S., t</w:t>
      </w:r>
      <w:r w:rsidR="002506B3">
        <w:rPr>
          <w:rFonts w:ascii="Arial" w:hAnsi="Arial" w:cs="Arial"/>
        </w:rPr>
        <w:t>here are some large forecasted draws for natural gas over the next few weeks and we do expect to see storage numbers closer to the 1 year and 5 year averages by end of winter.</w:t>
      </w:r>
    </w:p>
    <w:p w:rsidR="002506B3" w:rsidRPr="00F57E6E" w:rsidRDefault="002506B3" w:rsidP="00276F39">
      <w:pPr>
        <w:pStyle w:val="NormalWeb"/>
        <w:rPr>
          <w:rFonts w:ascii="Arial" w:hAnsi="Arial" w:cs="Arial"/>
        </w:rPr>
      </w:pPr>
      <w:r>
        <w:rPr>
          <w:rFonts w:ascii="Arial" w:hAnsi="Arial" w:cs="Arial"/>
        </w:rPr>
        <w:t>Speaking of winter, we continue to get word that winter 2016 will be a long one, with temperatures below normal for most of the country.  Expectations for cold weather extend in March and even April for most of the country.  If this comes true, we may jump directly from heating season into the cooling season of summer.  This weather forecast is very bullish for the short term energy prices, and presents a large upside risk for anyone with contracts coming due during 2016.</w:t>
      </w:r>
    </w:p>
    <w:p w:rsidR="0082537B" w:rsidRDefault="0082537B" w:rsidP="0082537B">
      <w:pPr>
        <w:pStyle w:val="NormalWeb"/>
        <w:rPr>
          <w:rFonts w:ascii="Arial" w:hAnsi="Arial" w:cs="Arial"/>
          <w:bCs/>
        </w:rPr>
      </w:pPr>
      <w:r>
        <w:rPr>
          <w:rFonts w:ascii="Arial" w:hAnsi="Arial" w:cs="Arial"/>
          <w:bCs/>
        </w:rPr>
        <w:t>As previously stated, while we do not necessarily see massive appreciation in prices for the short term, we do feel that</w:t>
      </w:r>
      <w:r w:rsidR="002506B3">
        <w:rPr>
          <w:rFonts w:ascii="Arial" w:hAnsi="Arial" w:cs="Arial"/>
          <w:bCs/>
        </w:rPr>
        <w:t xml:space="preserve"> many risk factors po</w:t>
      </w:r>
      <w:r w:rsidR="00514F21">
        <w:rPr>
          <w:rFonts w:ascii="Arial" w:hAnsi="Arial" w:cs="Arial"/>
          <w:bCs/>
        </w:rPr>
        <w:t>int to much more upside risk tha</w:t>
      </w:r>
      <w:r w:rsidR="002506B3">
        <w:rPr>
          <w:rFonts w:ascii="Arial" w:hAnsi="Arial" w:cs="Arial"/>
          <w:bCs/>
        </w:rPr>
        <w:t xml:space="preserve">n downside opportunity in energy prices.  </w:t>
      </w:r>
      <w:r>
        <w:rPr>
          <w:rFonts w:ascii="Arial" w:hAnsi="Arial" w:cs="Arial"/>
          <w:bCs/>
        </w:rPr>
        <w:t xml:space="preserve"> </w:t>
      </w:r>
      <w:r w:rsidR="002506B3">
        <w:rPr>
          <w:rFonts w:ascii="Arial" w:hAnsi="Arial" w:cs="Arial"/>
          <w:bCs/>
        </w:rPr>
        <w:t xml:space="preserve">Such factors include </w:t>
      </w:r>
      <w:r>
        <w:rPr>
          <w:rFonts w:ascii="Arial" w:hAnsi="Arial" w:cs="Arial"/>
          <w:bCs/>
        </w:rPr>
        <w:t xml:space="preserve">stabilized </w:t>
      </w:r>
      <w:r w:rsidR="002506B3">
        <w:rPr>
          <w:rFonts w:ascii="Arial" w:hAnsi="Arial" w:cs="Arial"/>
          <w:bCs/>
        </w:rPr>
        <w:t xml:space="preserve">(or bouncing) of </w:t>
      </w:r>
      <w:r>
        <w:rPr>
          <w:rFonts w:ascii="Arial" w:hAnsi="Arial" w:cs="Arial"/>
          <w:bCs/>
        </w:rPr>
        <w:t>oil prices, the start of an outflow of natural gas outside of the U.S., the continued shutdown of coal fired electricity generat</w:t>
      </w:r>
      <w:r w:rsidR="002506B3">
        <w:rPr>
          <w:rFonts w:ascii="Arial" w:hAnsi="Arial" w:cs="Arial"/>
          <w:bCs/>
        </w:rPr>
        <w:t>ion facilities, weather, and a 12</w:t>
      </w:r>
      <w:r>
        <w:rPr>
          <w:rFonts w:ascii="Arial" w:hAnsi="Arial" w:cs="Arial"/>
          <w:bCs/>
        </w:rPr>
        <w:t xml:space="preserve"> month consecutive drop in exploration rigs</w:t>
      </w:r>
      <w:r w:rsidR="002506B3">
        <w:rPr>
          <w:rFonts w:ascii="Arial" w:hAnsi="Arial" w:cs="Arial"/>
          <w:bCs/>
        </w:rPr>
        <w:t xml:space="preserve">.  </w:t>
      </w:r>
      <w:r>
        <w:rPr>
          <w:rFonts w:ascii="Arial" w:hAnsi="Arial" w:cs="Arial"/>
          <w:bCs/>
        </w:rPr>
        <w:t xml:space="preserve">All these factors are providing some pretty solid arguments that the true bottom is behind us, </w:t>
      </w:r>
      <w:r w:rsidR="002506B3">
        <w:rPr>
          <w:rFonts w:ascii="Arial" w:hAnsi="Arial" w:cs="Arial"/>
          <w:bCs/>
        </w:rPr>
        <w:t xml:space="preserve">as we stated in our final energy report from 2015.  </w:t>
      </w:r>
    </w:p>
    <w:p w:rsidR="00A71033" w:rsidRDefault="00287A71" w:rsidP="00276F39">
      <w:pPr>
        <w:pStyle w:val="NormalWeb"/>
        <w:rPr>
          <w:rFonts w:ascii="Arial" w:hAnsi="Arial" w:cs="Arial"/>
          <w:bCs/>
        </w:rPr>
      </w:pPr>
      <w:r>
        <w:rPr>
          <w:rFonts w:ascii="Arial" w:hAnsi="Arial" w:cs="Arial"/>
          <w:bCs/>
        </w:rPr>
        <w:t>The chart below</w:t>
      </w:r>
      <w:r w:rsidR="005122AB">
        <w:rPr>
          <w:rFonts w:ascii="Arial" w:hAnsi="Arial" w:cs="Arial"/>
          <w:bCs/>
        </w:rPr>
        <w:t xml:space="preserve"> shows the natural gas settlements for the last 3 years.  We continue to believe that charts really help our clients to put our thoughts and viewpoints into an easier to understand perspective.</w:t>
      </w:r>
    </w:p>
    <w:p w:rsidR="00514F21" w:rsidRDefault="00514F21" w:rsidP="00276F39">
      <w:pPr>
        <w:pStyle w:val="NormalWeb"/>
        <w:rPr>
          <w:rFonts w:ascii="Arial" w:hAnsi="Arial" w:cs="Arial"/>
          <w:bCs/>
        </w:rPr>
      </w:pPr>
      <w:r w:rsidRPr="00514F21">
        <w:rPr>
          <w:rFonts w:ascii="Arial" w:hAnsi="Arial" w:cs="Arial"/>
          <w:bCs/>
          <w:noProof/>
        </w:rPr>
        <w:drawing>
          <wp:inline distT="0" distB="0" distL="0" distR="0">
            <wp:extent cx="6655308" cy="2021891"/>
            <wp:effectExtent l="38100" t="19050" r="12192"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17BD" w:rsidRPr="001B6469" w:rsidRDefault="00640221" w:rsidP="00640221">
      <w:pPr>
        <w:pStyle w:val="NormalWeb"/>
        <w:rPr>
          <w:rFonts w:ascii="Arial" w:hAnsi="Arial" w:cs="Arial"/>
          <w:i/>
        </w:rPr>
      </w:pPr>
      <w:r w:rsidRPr="001B6469">
        <w:rPr>
          <w:rStyle w:val="Strong"/>
          <w:rFonts w:ascii="Arial" w:hAnsi="Arial" w:cs="Arial"/>
        </w:rPr>
        <w:lastRenderedPageBreak/>
        <w:t>Market Fundamentals</w:t>
      </w:r>
      <w:r w:rsidRPr="001B6469">
        <w:rPr>
          <w:rFonts w:ascii="Arial" w:hAnsi="Arial" w:cs="Arial"/>
        </w:rPr>
        <w:br/>
      </w:r>
      <w:r w:rsidRPr="001B6469">
        <w:rPr>
          <w:rFonts w:ascii="Arial" w:hAnsi="Arial" w:cs="Arial"/>
          <w:i/>
          <w:iCs/>
        </w:rPr>
        <w:br/>
      </w:r>
      <w:r w:rsidR="00F117BD" w:rsidRPr="001B6469">
        <w:rPr>
          <w:rFonts w:ascii="Arial" w:hAnsi="Arial" w:cs="Arial"/>
          <w:i/>
        </w:rPr>
        <w:t>Storage Update</w:t>
      </w:r>
    </w:p>
    <w:p w:rsidR="00AB466E" w:rsidRPr="00AB466E" w:rsidRDefault="00595D4E" w:rsidP="008F087D">
      <w:pPr>
        <w:pStyle w:val="NormalWeb"/>
        <w:rPr>
          <w:rFonts w:ascii="Arial" w:hAnsi="Arial" w:cs="Arial"/>
        </w:rPr>
      </w:pPr>
      <w:r>
        <w:rPr>
          <w:rFonts w:ascii="Arial" w:hAnsi="Arial" w:cs="Arial"/>
        </w:rPr>
        <w:t xml:space="preserve">Current storage data above the 1 year (23.6%) and 5 year average (16.7%) numbers is bearish for both numbers, </w:t>
      </w:r>
      <w:r w:rsidR="0070332B">
        <w:rPr>
          <w:rFonts w:ascii="Arial" w:hAnsi="Arial" w:cs="Arial"/>
        </w:rPr>
        <w:t>brought</w:t>
      </w:r>
      <w:r>
        <w:rPr>
          <w:rFonts w:ascii="Arial" w:hAnsi="Arial" w:cs="Arial"/>
        </w:rPr>
        <w:t xml:space="preserve"> about by a very warm start to winter 2015/2016.    Forecasted storage numbers for the rest of the winter season call for significant reductions in the storage number with some reports calling for end of winter storage to be lower than the 1 year average.  This is something that we will be watching very closely over the remainder of winter.  For those that have contracts ending during 2016, you can expect some urgent calls from Team Seven if this potential becomes close to a reality.</w:t>
      </w:r>
    </w:p>
    <w:p w:rsidR="00594B37" w:rsidRPr="00E356F9" w:rsidRDefault="00594B37" w:rsidP="00640221">
      <w:pPr>
        <w:pStyle w:val="NormalWeb"/>
        <w:rPr>
          <w:rFonts w:ascii="Arial" w:hAnsi="Arial" w:cs="Arial"/>
          <w:i/>
        </w:rPr>
      </w:pPr>
      <w:r w:rsidRPr="00E356F9">
        <w:rPr>
          <w:rFonts w:ascii="Arial" w:hAnsi="Arial" w:cs="Arial"/>
          <w:i/>
        </w:rPr>
        <w:t>Natural Gas Production</w:t>
      </w:r>
      <w:r w:rsidR="00683F93" w:rsidRPr="00E356F9">
        <w:rPr>
          <w:rFonts w:ascii="Arial" w:hAnsi="Arial" w:cs="Arial"/>
          <w:i/>
        </w:rPr>
        <w:t xml:space="preserve"> </w:t>
      </w:r>
    </w:p>
    <w:p w:rsidR="002B1B7E" w:rsidRPr="002B1B7E" w:rsidRDefault="002B1B7E" w:rsidP="002B1B7E">
      <w:pPr>
        <w:spacing w:beforeAutospacing="1" w:after="100" w:afterAutospacing="1" w:line="240" w:lineRule="auto"/>
        <w:rPr>
          <w:rFonts w:ascii="Times New Roman" w:eastAsia="Times New Roman" w:hAnsi="Times New Roman" w:cs="Times New Roman"/>
          <w:sz w:val="18"/>
          <w:szCs w:val="18"/>
        </w:rPr>
      </w:pPr>
      <w:r w:rsidRPr="002B1B7E">
        <w:rPr>
          <w:rFonts w:ascii="Arial" w:eastAsia="Times New Roman" w:hAnsi="Arial" w:cs="Arial"/>
          <w:sz w:val="18"/>
          <w:szCs w:val="18"/>
        </w:rPr>
        <w:t xml:space="preserve">The U.S. rotary rig count from Baker Hughes was down 13 at 637 for the week of January 22, 2016. It is 996 rigs (61.0%) lower than last year. </w:t>
      </w:r>
      <w:r w:rsidRPr="002B1B7E">
        <w:rPr>
          <w:rFonts w:ascii="Arial" w:eastAsia="Times New Roman" w:hAnsi="Arial" w:cs="Arial"/>
          <w:sz w:val="18"/>
          <w:szCs w:val="18"/>
          <w:u w:val="single"/>
        </w:rPr>
        <w:t>Rig count remains at the lowest level since the week of August 13, 1999</w:t>
      </w:r>
      <w:r w:rsidRPr="002B1B7E">
        <w:rPr>
          <w:rFonts w:ascii="Arial" w:eastAsia="Times New Roman" w:hAnsi="Arial" w:cs="Arial"/>
          <w:sz w:val="18"/>
          <w:szCs w:val="18"/>
        </w:rPr>
        <w:t xml:space="preserve"> when there were 627 active rigs.</w:t>
      </w:r>
    </w:p>
    <w:p w:rsidR="002B1B7E" w:rsidRPr="002B1B7E" w:rsidRDefault="002B1B7E" w:rsidP="002B1B7E">
      <w:pPr>
        <w:spacing w:before="100" w:beforeAutospacing="1" w:after="100" w:afterAutospacing="1" w:line="240" w:lineRule="auto"/>
        <w:rPr>
          <w:rFonts w:ascii="Times New Roman" w:eastAsia="Times New Roman" w:hAnsi="Times New Roman" w:cs="Times New Roman"/>
          <w:sz w:val="18"/>
          <w:szCs w:val="18"/>
        </w:rPr>
      </w:pPr>
      <w:r w:rsidRPr="002B1B7E">
        <w:rPr>
          <w:rFonts w:ascii="Arial" w:eastAsia="Times New Roman" w:hAnsi="Arial" w:cs="Arial"/>
          <w:sz w:val="18"/>
          <w:szCs w:val="18"/>
        </w:rPr>
        <w:t>Rigs directed only toward natural gas were down 8 at 127. The number of rigs drilling for gas is 189</w:t>
      </w:r>
      <w:r w:rsidR="0070332B">
        <w:rPr>
          <w:rFonts w:ascii="Arial" w:eastAsia="Times New Roman" w:hAnsi="Arial" w:cs="Arial"/>
          <w:sz w:val="18"/>
          <w:szCs w:val="18"/>
        </w:rPr>
        <w:t>,</w:t>
      </w:r>
      <w:r w:rsidRPr="002B1B7E">
        <w:rPr>
          <w:rFonts w:ascii="Arial" w:eastAsia="Times New Roman" w:hAnsi="Arial" w:cs="Arial"/>
          <w:sz w:val="18"/>
          <w:szCs w:val="18"/>
        </w:rPr>
        <w:t xml:space="preserve"> lower than last year's level of 316.</w:t>
      </w:r>
      <w:r w:rsidRPr="002B1B7E">
        <w:rPr>
          <w:rFonts w:ascii="Times New Roman" w:eastAsia="Times New Roman" w:hAnsi="Times New Roman" w:cs="Times New Roman"/>
          <w:sz w:val="18"/>
          <w:szCs w:val="18"/>
        </w:rPr>
        <w:t xml:space="preserve"> </w:t>
      </w:r>
    </w:p>
    <w:p w:rsidR="001374BA" w:rsidRDefault="00B27AAE" w:rsidP="00640221">
      <w:pPr>
        <w:pStyle w:val="NormalWeb"/>
        <w:rPr>
          <w:rFonts w:ascii="Arial" w:hAnsi="Arial" w:cs="Arial"/>
        </w:rPr>
      </w:pPr>
      <w:r>
        <w:rPr>
          <w:rFonts w:ascii="Arial" w:hAnsi="Arial" w:cs="Arial"/>
        </w:rPr>
        <w:t>As alarming as this drop off in well counts might initially appear, new techniques in drilling have so far been able to sustain the demand needs that exist today.   Modern well design and tec</w:t>
      </w:r>
      <w:r w:rsidR="001374BA">
        <w:rPr>
          <w:rFonts w:ascii="Arial" w:hAnsi="Arial" w:cs="Arial"/>
        </w:rPr>
        <w:t>hniques for extraction now allow for much greater production per well compared to even a few years ago.</w:t>
      </w:r>
    </w:p>
    <w:p w:rsidR="001374BA" w:rsidRDefault="00867822" w:rsidP="00640221">
      <w:pPr>
        <w:pStyle w:val="NormalWeb"/>
        <w:rPr>
          <w:rFonts w:ascii="Arial" w:hAnsi="Arial" w:cs="Arial"/>
        </w:rPr>
      </w:pPr>
      <w:r>
        <w:rPr>
          <w:rFonts w:ascii="Arial" w:hAnsi="Arial" w:cs="Arial"/>
        </w:rPr>
        <w:t xml:space="preserve">With the increase in per well production, the downside is that the lifetime of a well is reduced from </w:t>
      </w:r>
      <w:r w:rsidR="00F733EF">
        <w:rPr>
          <w:rFonts w:ascii="Arial" w:hAnsi="Arial" w:cs="Arial"/>
        </w:rPr>
        <w:t>decade’s</w:t>
      </w:r>
      <w:r>
        <w:rPr>
          <w:rFonts w:ascii="Arial" w:hAnsi="Arial" w:cs="Arial"/>
        </w:rPr>
        <w:t xml:space="preserve"> </w:t>
      </w:r>
      <w:r w:rsidR="00946551">
        <w:rPr>
          <w:rFonts w:ascii="Arial" w:hAnsi="Arial" w:cs="Arial"/>
        </w:rPr>
        <w:t xml:space="preserve">long life </w:t>
      </w:r>
      <w:r>
        <w:rPr>
          <w:rFonts w:ascii="Arial" w:hAnsi="Arial" w:cs="Arial"/>
        </w:rPr>
        <w:t xml:space="preserve">down </w:t>
      </w:r>
      <w:r w:rsidR="00946551">
        <w:rPr>
          <w:rFonts w:ascii="Arial" w:hAnsi="Arial" w:cs="Arial"/>
        </w:rPr>
        <w:t xml:space="preserve">to </w:t>
      </w:r>
      <w:r>
        <w:rPr>
          <w:rFonts w:ascii="Arial" w:hAnsi="Arial" w:cs="Arial"/>
        </w:rPr>
        <w:t>a period of 1-3 years.  With the announcements of so many capital and exploratory projects being stopped, we feel that the supply side of the suppl</w:t>
      </w:r>
      <w:r w:rsidR="007944D0">
        <w:rPr>
          <w:rFonts w:ascii="Arial" w:hAnsi="Arial" w:cs="Arial"/>
        </w:rPr>
        <w:t>y/demand curve is</w:t>
      </w:r>
      <w:r>
        <w:rPr>
          <w:rFonts w:ascii="Arial" w:hAnsi="Arial" w:cs="Arial"/>
        </w:rPr>
        <w:t xml:space="preserve"> stretched.  </w:t>
      </w:r>
      <w:r w:rsidR="002C68C4">
        <w:rPr>
          <w:rFonts w:ascii="Arial" w:hAnsi="Arial" w:cs="Arial"/>
        </w:rPr>
        <w:t xml:space="preserve">  There has now been </w:t>
      </w:r>
      <w:r w:rsidR="002B1B7E">
        <w:rPr>
          <w:rFonts w:ascii="Arial" w:hAnsi="Arial" w:cs="Arial"/>
        </w:rPr>
        <w:t>54</w:t>
      </w:r>
      <w:r w:rsidR="002C68C4">
        <w:rPr>
          <w:rFonts w:ascii="Arial" w:hAnsi="Arial" w:cs="Arial"/>
        </w:rPr>
        <w:t xml:space="preserve"> consecutive weeks where the rig count has dropped.  Lack of weather related or economy related demand needs have allowed for this rig count drop</w:t>
      </w:r>
      <w:r w:rsidR="0070332B">
        <w:rPr>
          <w:rFonts w:ascii="Arial" w:hAnsi="Arial" w:cs="Arial"/>
        </w:rPr>
        <w:t>s</w:t>
      </w:r>
      <w:r w:rsidR="002C68C4">
        <w:rPr>
          <w:rFonts w:ascii="Arial" w:hAnsi="Arial" w:cs="Arial"/>
        </w:rPr>
        <w:t xml:space="preserve"> to happen with very littl</w:t>
      </w:r>
      <w:r w:rsidR="007944D0">
        <w:rPr>
          <w:rFonts w:ascii="Arial" w:hAnsi="Arial" w:cs="Arial"/>
        </w:rPr>
        <w:t>e impact to energy markets.  F</w:t>
      </w:r>
      <w:r w:rsidR="00F733EF">
        <w:rPr>
          <w:rFonts w:ascii="Arial" w:hAnsi="Arial" w:cs="Arial"/>
        </w:rPr>
        <w:t>urther</w:t>
      </w:r>
      <w:r w:rsidR="002C68C4">
        <w:rPr>
          <w:rFonts w:ascii="Arial" w:hAnsi="Arial" w:cs="Arial"/>
        </w:rPr>
        <w:t xml:space="preserve"> erosion in rig counts or </w:t>
      </w:r>
      <w:r w:rsidR="0087208D">
        <w:rPr>
          <w:rFonts w:ascii="Arial" w:hAnsi="Arial" w:cs="Arial"/>
        </w:rPr>
        <w:t xml:space="preserve">what now projects to be a large winter heating demand could </w:t>
      </w:r>
      <w:r w:rsidR="002C68C4">
        <w:rPr>
          <w:rFonts w:ascii="Arial" w:hAnsi="Arial" w:cs="Arial"/>
        </w:rPr>
        <w:t>change things significantly</w:t>
      </w:r>
      <w:r w:rsidR="0087208D">
        <w:rPr>
          <w:rFonts w:ascii="Arial" w:hAnsi="Arial" w:cs="Arial"/>
        </w:rPr>
        <w:t xml:space="preserve"> and in a hurry.</w:t>
      </w:r>
    </w:p>
    <w:p w:rsidR="002C68C4" w:rsidRDefault="00867822" w:rsidP="00640221">
      <w:pPr>
        <w:pStyle w:val="NormalWeb"/>
        <w:rPr>
          <w:rFonts w:ascii="Arial" w:hAnsi="Arial" w:cs="Arial"/>
        </w:rPr>
      </w:pPr>
      <w:r>
        <w:rPr>
          <w:rFonts w:ascii="Arial" w:hAnsi="Arial" w:cs="Arial"/>
        </w:rPr>
        <w:t xml:space="preserve">As more and more wells are taken out of service, and with little prospects of new wells being put into service, the clock is ticking on how long these two diverging paths can last before a large scale adjustment needs </w:t>
      </w:r>
      <w:r w:rsidR="00E9716C">
        <w:rPr>
          <w:rFonts w:ascii="Arial" w:hAnsi="Arial" w:cs="Arial"/>
        </w:rPr>
        <w:t xml:space="preserve">to be made.  </w:t>
      </w:r>
    </w:p>
    <w:p w:rsidR="00803FD2" w:rsidRPr="001B6469" w:rsidRDefault="00E356F9" w:rsidP="00640221">
      <w:pPr>
        <w:pStyle w:val="NormalWeb"/>
        <w:rPr>
          <w:rFonts w:ascii="Arial" w:hAnsi="Arial" w:cs="Arial"/>
        </w:rPr>
      </w:pPr>
      <w:r>
        <w:rPr>
          <w:rFonts w:ascii="Arial" w:hAnsi="Arial" w:cs="Arial"/>
        </w:rPr>
        <w:t>More tha</w:t>
      </w:r>
      <w:r w:rsidR="00803FD2">
        <w:rPr>
          <w:rFonts w:ascii="Arial" w:hAnsi="Arial" w:cs="Arial"/>
        </w:rPr>
        <w:t xml:space="preserve">n likely, it will be a combination of lower wells in service and </w:t>
      </w:r>
      <w:r w:rsidR="00F733EF">
        <w:rPr>
          <w:rFonts w:ascii="Arial" w:hAnsi="Arial" w:cs="Arial"/>
        </w:rPr>
        <w:t>erosion</w:t>
      </w:r>
      <w:r w:rsidR="00803FD2">
        <w:rPr>
          <w:rFonts w:ascii="Arial" w:hAnsi="Arial" w:cs="Arial"/>
        </w:rPr>
        <w:t xml:space="preserve"> in output from current wells that cause this ‘perfect storm’ to happen.  </w:t>
      </w:r>
      <w:r w:rsidR="00867822">
        <w:rPr>
          <w:rFonts w:ascii="Arial" w:hAnsi="Arial" w:cs="Arial"/>
        </w:rPr>
        <w:t>When this adjustment happens, it wi</w:t>
      </w:r>
      <w:r>
        <w:rPr>
          <w:rFonts w:ascii="Arial" w:hAnsi="Arial" w:cs="Arial"/>
        </w:rPr>
        <w:t>ll come with a jump in prices</w:t>
      </w:r>
      <w:r w:rsidR="00803FD2">
        <w:rPr>
          <w:rFonts w:ascii="Arial" w:hAnsi="Arial" w:cs="Arial"/>
        </w:rPr>
        <w:t xml:space="preserve"> that will need to be substantial enough to motivate the producers to starts re-investing fund</w:t>
      </w:r>
      <w:r>
        <w:rPr>
          <w:rFonts w:ascii="Arial" w:hAnsi="Arial" w:cs="Arial"/>
        </w:rPr>
        <w:t xml:space="preserve">s into again growing the number </w:t>
      </w:r>
      <w:r w:rsidR="00803FD2">
        <w:rPr>
          <w:rFonts w:ascii="Arial" w:hAnsi="Arial" w:cs="Arial"/>
        </w:rPr>
        <w:t>of wells in service.  There is not a lot of talk about this</w:t>
      </w:r>
      <w:r w:rsidR="00946551">
        <w:rPr>
          <w:rFonts w:ascii="Arial" w:hAnsi="Arial" w:cs="Arial"/>
        </w:rPr>
        <w:t xml:space="preserve"> yet</w:t>
      </w:r>
      <w:r w:rsidR="00803FD2">
        <w:rPr>
          <w:rFonts w:ascii="Arial" w:hAnsi="Arial" w:cs="Arial"/>
        </w:rPr>
        <w:t xml:space="preserve"> and we at </w:t>
      </w:r>
      <w:r w:rsidR="00F733EF">
        <w:rPr>
          <w:rFonts w:ascii="Arial" w:hAnsi="Arial" w:cs="Arial"/>
        </w:rPr>
        <w:t>seven</w:t>
      </w:r>
      <w:r w:rsidR="00803FD2">
        <w:rPr>
          <w:rFonts w:ascii="Arial" w:hAnsi="Arial" w:cs="Arial"/>
        </w:rPr>
        <w:t xml:space="preserve"> may be slightly ahead of the curve, but we </w:t>
      </w:r>
      <w:r w:rsidR="002B1B7E">
        <w:rPr>
          <w:rFonts w:ascii="Arial" w:hAnsi="Arial" w:cs="Arial"/>
        </w:rPr>
        <w:t>now believe that this will happen sometime during 2016.</w:t>
      </w:r>
    </w:p>
    <w:p w:rsidR="001B6469" w:rsidRDefault="001B6469" w:rsidP="0039174B">
      <w:pPr>
        <w:pStyle w:val="NormalWeb"/>
        <w:rPr>
          <w:rFonts w:ascii="Arial" w:hAnsi="Arial" w:cs="Arial"/>
        </w:rPr>
      </w:pPr>
    </w:p>
    <w:p w:rsidR="002B1B7E" w:rsidRDefault="00946551" w:rsidP="006C5989">
      <w:pPr>
        <w:pStyle w:val="NormalWeb"/>
        <w:rPr>
          <w:rFonts w:ascii="Arial" w:hAnsi="Arial" w:cs="Arial"/>
          <w:bCs/>
          <w:i/>
        </w:rPr>
      </w:pPr>
      <w:r>
        <w:rPr>
          <w:rFonts w:ascii="Arial" w:hAnsi="Arial" w:cs="Arial"/>
          <w:bCs/>
          <w:i/>
        </w:rPr>
        <w:t xml:space="preserve">Electricity </w:t>
      </w:r>
      <w:r w:rsidR="007710AE" w:rsidRPr="001B6469">
        <w:rPr>
          <w:rFonts w:ascii="Arial" w:hAnsi="Arial" w:cs="Arial"/>
          <w:bCs/>
          <w:i/>
        </w:rPr>
        <w:t>Futures Pricing</w:t>
      </w:r>
      <w:r w:rsidR="002B1B7E">
        <w:rPr>
          <w:rFonts w:ascii="Arial" w:hAnsi="Arial" w:cs="Arial"/>
          <w:bCs/>
          <w:i/>
        </w:rPr>
        <w:t xml:space="preserve"> </w:t>
      </w:r>
    </w:p>
    <w:p w:rsidR="00254EC6" w:rsidRDefault="003F5833" w:rsidP="006C5989">
      <w:pPr>
        <w:pStyle w:val="NormalWeb"/>
        <w:rPr>
          <w:rFonts w:ascii="Arial" w:hAnsi="Arial" w:cs="Arial"/>
        </w:rPr>
      </w:pPr>
      <w:r>
        <w:rPr>
          <w:rFonts w:ascii="Arial" w:hAnsi="Arial" w:cs="Arial"/>
        </w:rPr>
        <w:t xml:space="preserve">We continue to see large scale increases in capacity and transmission (adders) for electricity going up.  </w:t>
      </w:r>
      <w:r w:rsidR="00254EC6">
        <w:rPr>
          <w:rFonts w:ascii="Arial" w:hAnsi="Arial" w:cs="Arial"/>
        </w:rPr>
        <w:t xml:space="preserve">As such, </w:t>
      </w:r>
      <w:r w:rsidR="00946551">
        <w:rPr>
          <w:rFonts w:ascii="Arial" w:hAnsi="Arial" w:cs="Arial"/>
        </w:rPr>
        <w:t>“all in”</w:t>
      </w:r>
      <w:r>
        <w:rPr>
          <w:rFonts w:ascii="Arial" w:hAnsi="Arial" w:cs="Arial"/>
        </w:rPr>
        <w:t xml:space="preserve"> electricity rates are being largely increased due to </w:t>
      </w:r>
      <w:r w:rsidR="00254EC6">
        <w:rPr>
          <w:rFonts w:ascii="Arial" w:hAnsi="Arial" w:cs="Arial"/>
        </w:rPr>
        <w:t xml:space="preserve">these </w:t>
      </w:r>
      <w:r>
        <w:rPr>
          <w:rFonts w:ascii="Arial" w:hAnsi="Arial" w:cs="Arial"/>
        </w:rPr>
        <w:t>factors outside of just your base energy component</w:t>
      </w:r>
      <w:r w:rsidR="00254EC6">
        <w:rPr>
          <w:rFonts w:ascii="Arial" w:hAnsi="Arial" w:cs="Arial"/>
        </w:rPr>
        <w:t xml:space="preserve"> which as stated above, </w:t>
      </w:r>
      <w:r w:rsidR="00CD2554">
        <w:rPr>
          <w:rFonts w:ascii="Arial" w:hAnsi="Arial" w:cs="Arial"/>
        </w:rPr>
        <w:t xml:space="preserve">which </w:t>
      </w:r>
      <w:r w:rsidR="00254EC6">
        <w:rPr>
          <w:rFonts w:ascii="Arial" w:hAnsi="Arial" w:cs="Arial"/>
        </w:rPr>
        <w:t>actually is sitting at a yearly low level.</w:t>
      </w:r>
      <w:r>
        <w:rPr>
          <w:rFonts w:ascii="Arial" w:hAnsi="Arial" w:cs="Arial"/>
        </w:rPr>
        <w:t xml:space="preserve">  </w:t>
      </w:r>
      <w:r w:rsidR="00946551">
        <w:rPr>
          <w:rFonts w:ascii="Arial" w:hAnsi="Arial" w:cs="Arial"/>
        </w:rPr>
        <w:t xml:space="preserve"> It is for this reason why electricity “</w:t>
      </w:r>
      <w:r w:rsidR="00CD2554">
        <w:rPr>
          <w:rFonts w:ascii="Arial" w:hAnsi="Arial" w:cs="Arial"/>
        </w:rPr>
        <w:t>a</w:t>
      </w:r>
      <w:r w:rsidR="00946551">
        <w:rPr>
          <w:rFonts w:ascii="Arial" w:hAnsi="Arial" w:cs="Arial"/>
        </w:rPr>
        <w:t>ll in” prices do not show this type of drop.  Reality is that the energy portion of the “all in” number is lower, but the adders have jumped so significantly that it skews the “all in” numbers to be higher.  This jump in adders is permanent and likely to only increase going forward.</w:t>
      </w:r>
    </w:p>
    <w:p w:rsidR="00254EC6" w:rsidRPr="001B6469" w:rsidRDefault="000A1873" w:rsidP="006C5989">
      <w:pPr>
        <w:pStyle w:val="NormalWeb"/>
        <w:rPr>
          <w:rFonts w:ascii="Arial" w:hAnsi="Arial" w:cs="Arial"/>
        </w:rPr>
      </w:pPr>
      <w:r>
        <w:rPr>
          <w:rFonts w:ascii="Arial" w:hAnsi="Arial" w:cs="Arial"/>
        </w:rPr>
        <w:t xml:space="preserve">With EPA’s Clean Air Acts </w:t>
      </w:r>
      <w:r w:rsidR="002B1B7E">
        <w:rPr>
          <w:rFonts w:ascii="Arial" w:hAnsi="Arial" w:cs="Arial"/>
        </w:rPr>
        <w:t>enacted during</w:t>
      </w:r>
      <w:r w:rsidR="00254EC6">
        <w:rPr>
          <w:rFonts w:ascii="Arial" w:hAnsi="Arial" w:cs="Arial"/>
        </w:rPr>
        <w:t xml:space="preserve"> 2015, </w:t>
      </w:r>
      <w:r>
        <w:rPr>
          <w:rFonts w:ascii="Arial" w:hAnsi="Arial" w:cs="Arial"/>
        </w:rPr>
        <w:t>overall electricity generation will continue to wean off of coal fired power, over to more environmentally friendly, yet more expensive power.  With this Green Energy not able to fully support the future mandated levels</w:t>
      </w:r>
      <w:r w:rsidR="00254EC6">
        <w:rPr>
          <w:rFonts w:ascii="Arial" w:hAnsi="Arial" w:cs="Arial"/>
        </w:rPr>
        <w:t xml:space="preserve"> set by the EPA</w:t>
      </w:r>
      <w:r>
        <w:rPr>
          <w:rFonts w:ascii="Arial" w:hAnsi="Arial" w:cs="Arial"/>
        </w:rPr>
        <w:t>, we believe that there will be a growing trend for demand and capacity adders to go up over the next few years</w:t>
      </w:r>
      <w:r w:rsidR="00254EC6">
        <w:rPr>
          <w:rFonts w:ascii="Arial" w:hAnsi="Arial" w:cs="Arial"/>
        </w:rPr>
        <w:t>, thus driving electricity prices higher beyond just the base energy price.</w:t>
      </w:r>
    </w:p>
    <w:p w:rsidR="00E51552" w:rsidRDefault="00E51552" w:rsidP="006C5989">
      <w:pPr>
        <w:pStyle w:val="NormalWeb"/>
        <w:rPr>
          <w:rFonts w:ascii="Arial" w:hAnsi="Arial" w:cs="Arial"/>
          <w:b/>
          <w:u w:val="single"/>
        </w:rPr>
      </w:pPr>
    </w:p>
    <w:p w:rsidR="00514F21" w:rsidRDefault="00514F21" w:rsidP="006C5989">
      <w:pPr>
        <w:pStyle w:val="NormalWeb"/>
        <w:rPr>
          <w:rFonts w:ascii="Arial" w:hAnsi="Arial" w:cs="Arial"/>
          <w:b/>
          <w:u w:val="single"/>
        </w:rPr>
      </w:pPr>
    </w:p>
    <w:p w:rsidR="00FD2595" w:rsidRDefault="00FD2595" w:rsidP="006C5989">
      <w:pPr>
        <w:pStyle w:val="NormalWeb"/>
        <w:rPr>
          <w:rFonts w:ascii="Arial" w:hAnsi="Arial" w:cs="Arial"/>
          <w:b/>
          <w:u w:val="single"/>
        </w:rPr>
      </w:pPr>
      <w:r w:rsidRPr="001B6469">
        <w:rPr>
          <w:rFonts w:ascii="Arial" w:hAnsi="Arial" w:cs="Arial"/>
          <w:b/>
          <w:u w:val="single"/>
        </w:rPr>
        <w:lastRenderedPageBreak/>
        <w:t>Recommendations</w:t>
      </w:r>
    </w:p>
    <w:p w:rsidR="00803FD2" w:rsidRDefault="002B1B7E" w:rsidP="00CE5E1B">
      <w:pPr>
        <w:pStyle w:val="NormalWeb"/>
        <w:rPr>
          <w:rFonts w:ascii="Arial" w:hAnsi="Arial" w:cs="Arial"/>
        </w:rPr>
      </w:pPr>
      <w:r>
        <w:rPr>
          <w:rFonts w:ascii="Arial" w:hAnsi="Arial" w:cs="Arial"/>
        </w:rPr>
        <w:t>I</w:t>
      </w:r>
      <w:r w:rsidR="00CE5E1B">
        <w:rPr>
          <w:rFonts w:ascii="Arial" w:hAnsi="Arial" w:cs="Arial"/>
        </w:rPr>
        <w:t>t is likely tha</w:t>
      </w:r>
      <w:r w:rsidR="0087208D">
        <w:rPr>
          <w:rFonts w:ascii="Arial" w:hAnsi="Arial" w:cs="Arial"/>
        </w:rPr>
        <w:t xml:space="preserve">t we will see </w:t>
      </w:r>
      <w:r>
        <w:rPr>
          <w:rFonts w:ascii="Arial" w:hAnsi="Arial" w:cs="Arial"/>
        </w:rPr>
        <w:t xml:space="preserve">much </w:t>
      </w:r>
      <w:r w:rsidR="00CE5E1B">
        <w:rPr>
          <w:rFonts w:ascii="Arial" w:hAnsi="Arial" w:cs="Arial"/>
        </w:rPr>
        <w:t>highe</w:t>
      </w:r>
      <w:r w:rsidR="0087208D">
        <w:rPr>
          <w:rFonts w:ascii="Arial" w:hAnsi="Arial" w:cs="Arial"/>
        </w:rPr>
        <w:t>r prices by the end of the year.</w:t>
      </w:r>
      <w:r w:rsidR="00CE5E1B">
        <w:rPr>
          <w:rFonts w:ascii="Arial" w:hAnsi="Arial" w:cs="Arial"/>
        </w:rPr>
        <w:t xml:space="preserve"> </w:t>
      </w:r>
      <w:r w:rsidR="0087208D">
        <w:rPr>
          <w:rFonts w:ascii="Arial" w:hAnsi="Arial" w:cs="Arial"/>
        </w:rPr>
        <w:t xml:space="preserve">This move will not come without some brief </w:t>
      </w:r>
      <w:r w:rsidR="00CE5E1B">
        <w:rPr>
          <w:rFonts w:ascii="Arial" w:hAnsi="Arial" w:cs="Arial"/>
        </w:rPr>
        <w:t xml:space="preserve">periods of downward movement as well, especially as the energy markets continue to work towards higher and higher low points on the run up.  </w:t>
      </w:r>
      <w:r>
        <w:rPr>
          <w:rFonts w:ascii="Arial" w:hAnsi="Arial" w:cs="Arial"/>
        </w:rPr>
        <w:t>We do expect some rather large volatility in prices to start to return during 2016, as is normal when we bounce of such large drops lower in the spot market.</w:t>
      </w:r>
    </w:p>
    <w:p w:rsidR="00CE5E1B" w:rsidRDefault="00CE5E1B" w:rsidP="00CE5E1B">
      <w:pPr>
        <w:pStyle w:val="NormalWeb"/>
        <w:rPr>
          <w:rFonts w:ascii="Arial" w:hAnsi="Arial" w:cs="Arial"/>
        </w:rPr>
      </w:pPr>
      <w:r>
        <w:rPr>
          <w:rFonts w:ascii="Arial" w:hAnsi="Arial" w:cs="Arial"/>
        </w:rPr>
        <w:t>It is our belief that clients need to be ready to ac</w:t>
      </w:r>
      <w:r w:rsidR="002B1B7E">
        <w:rPr>
          <w:rFonts w:ascii="Arial" w:hAnsi="Arial" w:cs="Arial"/>
        </w:rPr>
        <w:t xml:space="preserve">t during one of the low points.  </w:t>
      </w:r>
    </w:p>
    <w:p w:rsidR="00CE5E1B" w:rsidRDefault="00CE5E1B" w:rsidP="00CE5E1B">
      <w:pPr>
        <w:pStyle w:val="NormalWeb"/>
        <w:rPr>
          <w:rFonts w:ascii="Arial" w:hAnsi="Arial" w:cs="Arial"/>
        </w:rPr>
      </w:pPr>
      <w:r>
        <w:rPr>
          <w:rFonts w:ascii="Arial" w:hAnsi="Arial" w:cs="Arial"/>
        </w:rPr>
        <w:t xml:space="preserve">If you have a contract coming due in </w:t>
      </w:r>
      <w:r w:rsidR="002B1B7E">
        <w:rPr>
          <w:rFonts w:ascii="Arial" w:hAnsi="Arial" w:cs="Arial"/>
        </w:rPr>
        <w:t>2016</w:t>
      </w:r>
      <w:r>
        <w:rPr>
          <w:rFonts w:ascii="Arial" w:hAnsi="Arial" w:cs="Arial"/>
        </w:rPr>
        <w:t xml:space="preserve">, </w:t>
      </w:r>
      <w:r w:rsidR="002B1B7E">
        <w:rPr>
          <w:rFonts w:ascii="Arial" w:hAnsi="Arial" w:cs="Arial"/>
        </w:rPr>
        <w:t xml:space="preserve">we </w:t>
      </w:r>
      <w:r>
        <w:rPr>
          <w:rFonts w:ascii="Arial" w:hAnsi="Arial" w:cs="Arial"/>
        </w:rPr>
        <w:t>do suggest that you work with your consultant to set some aggressive, yet realistic targets for next generation contract prices so that we can start to monitor the market, waiting for</w:t>
      </w:r>
      <w:r w:rsidR="002B1B7E">
        <w:rPr>
          <w:rFonts w:ascii="Arial" w:hAnsi="Arial" w:cs="Arial"/>
        </w:rPr>
        <w:t xml:space="preserve"> these price points to happen with our expectations that acting now will be a smarter decision that waiting.</w:t>
      </w:r>
    </w:p>
    <w:p w:rsidR="002B1B7E" w:rsidRPr="00803FD2" w:rsidRDefault="002B1B7E" w:rsidP="00CE5E1B">
      <w:pPr>
        <w:pStyle w:val="NormalWeb"/>
        <w:rPr>
          <w:rFonts w:ascii="Arial" w:hAnsi="Arial" w:cs="Arial"/>
        </w:rPr>
      </w:pPr>
      <w:bookmarkStart w:id="0" w:name="_GoBack"/>
      <w:bookmarkEnd w:id="0"/>
    </w:p>
    <w:sectPr w:rsidR="002B1B7E" w:rsidRPr="00803FD2" w:rsidSect="00F733E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40" w:rsidRDefault="00800B40" w:rsidP="001452C4">
      <w:pPr>
        <w:spacing w:after="0" w:line="240" w:lineRule="auto"/>
      </w:pPr>
      <w:r>
        <w:separator/>
      </w:r>
    </w:p>
  </w:endnote>
  <w:endnote w:type="continuationSeparator" w:id="0">
    <w:p w:rsidR="00800B40" w:rsidRDefault="00800B40" w:rsidP="00145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87" w:rsidRDefault="00E71D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4" w:rsidRPr="001452C4" w:rsidRDefault="00902B23">
    <w:pPr>
      <w:pStyle w:val="Footer"/>
      <w:rPr>
        <w:b/>
      </w:rPr>
    </w:pPr>
    <w:r>
      <w:t xml:space="preserve"> </w:t>
    </w:r>
    <w:r w:rsidR="001452C4">
      <w:t xml:space="preserve">                                             </w:t>
    </w:r>
    <w:r w:rsidR="001452C4" w:rsidRPr="001452C4">
      <w:rPr>
        <w:noProof/>
      </w:rPr>
      <w:drawing>
        <wp:inline distT="0" distB="0" distL="0" distR="0">
          <wp:extent cx="3975081" cy="672998"/>
          <wp:effectExtent l="19050" t="0" r="6369" b="0"/>
          <wp:docPr id="3" name="Picture 3"/>
          <wp:cNvGraphicFramePr/>
          <a:graphic xmlns:a="http://schemas.openxmlformats.org/drawingml/2006/main">
            <a:graphicData uri="http://schemas.openxmlformats.org/drawingml/2006/picture">
              <pic:pic xmlns:pic="http://schemas.openxmlformats.org/drawingml/2006/picture">
                <pic:nvPicPr>
                  <pic:cNvPr id="1058" name="Picture 37"/>
                  <pic:cNvPicPr>
                    <a:picLocks noChangeAspect="1" noChangeArrowheads="1"/>
                  </pic:cNvPicPr>
                </pic:nvPicPr>
                <pic:blipFill>
                  <a:blip r:embed="rId1"/>
                  <a:srcRect/>
                  <a:stretch>
                    <a:fillRect/>
                  </a:stretch>
                </pic:blipFill>
                <pic:spPr bwMode="auto">
                  <a:xfrm>
                    <a:off x="0" y="0"/>
                    <a:ext cx="3981450" cy="674076"/>
                  </a:xfrm>
                  <a:prstGeom prst="rect">
                    <a:avLst/>
                  </a:prstGeom>
                  <a:noFill/>
                  <a:ln w="9525">
                    <a:noFill/>
                    <a:miter lim="800000"/>
                    <a:headEnd/>
                    <a:tailEnd/>
                  </a:ln>
                </pic:spPr>
              </pic:pic>
            </a:graphicData>
          </a:graphic>
        </wp:inline>
      </w:drawing>
    </w:r>
    <w:r w:rsidR="001452C4">
      <w:rPr>
        <w:b/>
      </w:rPr>
      <w:t xml:space="preserve">                                                                                                              </w:t>
    </w:r>
    <w:r w:rsidR="001452C4" w:rsidRPr="001452C4">
      <w:rPr>
        <w:b/>
        <w:noProof/>
      </w:rPr>
      <w:drawing>
        <wp:inline distT="0" distB="0" distL="0" distR="0">
          <wp:extent cx="6674358" cy="636422"/>
          <wp:effectExtent l="19050" t="0" r="0" b="0"/>
          <wp:docPr id="2" name="Picture 2" descr="afflogo_bar_12_2010.gif"/>
          <wp:cNvGraphicFramePr/>
          <a:graphic xmlns:a="http://schemas.openxmlformats.org/drawingml/2006/main">
            <a:graphicData uri="http://schemas.openxmlformats.org/drawingml/2006/picture">
              <pic:pic xmlns:pic="http://schemas.openxmlformats.org/drawingml/2006/picture">
                <pic:nvPicPr>
                  <pic:cNvPr id="1057" name="Picture 1" descr="afflogo_bar_12_2010.gif"/>
                  <pic:cNvPicPr>
                    <a:picLocks noChangeAspect="1" noChangeArrowheads="1"/>
                  </pic:cNvPicPr>
                </pic:nvPicPr>
                <pic:blipFill>
                  <a:blip r:embed="rId2"/>
                  <a:srcRect/>
                  <a:stretch>
                    <a:fillRect/>
                  </a:stretch>
                </pic:blipFill>
                <pic:spPr bwMode="auto">
                  <a:xfrm>
                    <a:off x="0" y="0"/>
                    <a:ext cx="6706061" cy="63944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87" w:rsidRDefault="00E71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40" w:rsidRDefault="00800B40" w:rsidP="001452C4">
      <w:pPr>
        <w:spacing w:after="0" w:line="240" w:lineRule="auto"/>
      </w:pPr>
      <w:r>
        <w:separator/>
      </w:r>
    </w:p>
  </w:footnote>
  <w:footnote w:type="continuationSeparator" w:id="0">
    <w:p w:rsidR="00800B40" w:rsidRDefault="00800B40" w:rsidP="00145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87" w:rsidRDefault="00E71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87" w:rsidRDefault="00E71D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87" w:rsidRDefault="00E71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61DF1"/>
    <w:multiLevelType w:val="multilevel"/>
    <w:tmpl w:val="D7BA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89"/>
    <w:rsid w:val="00000511"/>
    <w:rsid w:val="0000502B"/>
    <w:rsid w:val="00080FB8"/>
    <w:rsid w:val="000A1873"/>
    <w:rsid w:val="000C79D1"/>
    <w:rsid w:val="001354FC"/>
    <w:rsid w:val="001374BA"/>
    <w:rsid w:val="001452C4"/>
    <w:rsid w:val="00145CB6"/>
    <w:rsid w:val="001663B4"/>
    <w:rsid w:val="001775EB"/>
    <w:rsid w:val="001A0924"/>
    <w:rsid w:val="001B6469"/>
    <w:rsid w:val="00216420"/>
    <w:rsid w:val="00224358"/>
    <w:rsid w:val="002506B3"/>
    <w:rsid w:val="00251AD3"/>
    <w:rsid w:val="0025408A"/>
    <w:rsid w:val="00254EC6"/>
    <w:rsid w:val="00276F39"/>
    <w:rsid w:val="0028789D"/>
    <w:rsid w:val="00287A71"/>
    <w:rsid w:val="00291D80"/>
    <w:rsid w:val="00296006"/>
    <w:rsid w:val="002B1B7E"/>
    <w:rsid w:val="002C0F4A"/>
    <w:rsid w:val="002C1C1C"/>
    <w:rsid w:val="002C494C"/>
    <w:rsid w:val="002C68C4"/>
    <w:rsid w:val="002D6714"/>
    <w:rsid w:val="002E6A69"/>
    <w:rsid w:val="00306900"/>
    <w:rsid w:val="0039174B"/>
    <w:rsid w:val="003D4135"/>
    <w:rsid w:val="003E3627"/>
    <w:rsid w:val="003F5833"/>
    <w:rsid w:val="003F6EF9"/>
    <w:rsid w:val="00406C3A"/>
    <w:rsid w:val="00417EBF"/>
    <w:rsid w:val="004341EB"/>
    <w:rsid w:val="00442FCD"/>
    <w:rsid w:val="0045402C"/>
    <w:rsid w:val="00490C5D"/>
    <w:rsid w:val="00495BF7"/>
    <w:rsid w:val="004A6D33"/>
    <w:rsid w:val="004D75DA"/>
    <w:rsid w:val="00504BCA"/>
    <w:rsid w:val="005122AB"/>
    <w:rsid w:val="00514F21"/>
    <w:rsid w:val="00594B37"/>
    <w:rsid w:val="00595D4E"/>
    <w:rsid w:val="005C0592"/>
    <w:rsid w:val="005C06E6"/>
    <w:rsid w:val="005E196F"/>
    <w:rsid w:val="005E288B"/>
    <w:rsid w:val="006351C1"/>
    <w:rsid w:val="00640221"/>
    <w:rsid w:val="00667A6A"/>
    <w:rsid w:val="006811FC"/>
    <w:rsid w:val="00683F93"/>
    <w:rsid w:val="006952A1"/>
    <w:rsid w:val="006C5989"/>
    <w:rsid w:val="006D0326"/>
    <w:rsid w:val="006D53ED"/>
    <w:rsid w:val="006E35EB"/>
    <w:rsid w:val="006F146D"/>
    <w:rsid w:val="0070332B"/>
    <w:rsid w:val="00730B93"/>
    <w:rsid w:val="00737373"/>
    <w:rsid w:val="00752A5C"/>
    <w:rsid w:val="0076014B"/>
    <w:rsid w:val="0076055C"/>
    <w:rsid w:val="00762E2B"/>
    <w:rsid w:val="00763C56"/>
    <w:rsid w:val="007710AE"/>
    <w:rsid w:val="00775BC5"/>
    <w:rsid w:val="007944D0"/>
    <w:rsid w:val="007E74AC"/>
    <w:rsid w:val="00800B40"/>
    <w:rsid w:val="00803FD2"/>
    <w:rsid w:val="0082537B"/>
    <w:rsid w:val="00842675"/>
    <w:rsid w:val="0085255B"/>
    <w:rsid w:val="00867822"/>
    <w:rsid w:val="0087208D"/>
    <w:rsid w:val="00886714"/>
    <w:rsid w:val="008C19B4"/>
    <w:rsid w:val="008C4187"/>
    <w:rsid w:val="008E0EB1"/>
    <w:rsid w:val="008F087D"/>
    <w:rsid w:val="00902B23"/>
    <w:rsid w:val="00946551"/>
    <w:rsid w:val="00955627"/>
    <w:rsid w:val="00970916"/>
    <w:rsid w:val="009E28BE"/>
    <w:rsid w:val="009F7E6F"/>
    <w:rsid w:val="00A32618"/>
    <w:rsid w:val="00A372E4"/>
    <w:rsid w:val="00A4737E"/>
    <w:rsid w:val="00A47976"/>
    <w:rsid w:val="00A65226"/>
    <w:rsid w:val="00A71033"/>
    <w:rsid w:val="00AB466E"/>
    <w:rsid w:val="00AB487D"/>
    <w:rsid w:val="00AC6B9A"/>
    <w:rsid w:val="00AD602E"/>
    <w:rsid w:val="00AE7EFF"/>
    <w:rsid w:val="00B24BF3"/>
    <w:rsid w:val="00B269B9"/>
    <w:rsid w:val="00B27AAE"/>
    <w:rsid w:val="00B3098C"/>
    <w:rsid w:val="00BA003A"/>
    <w:rsid w:val="00C01416"/>
    <w:rsid w:val="00C81652"/>
    <w:rsid w:val="00C93CDB"/>
    <w:rsid w:val="00CA058D"/>
    <w:rsid w:val="00CA3948"/>
    <w:rsid w:val="00CD2554"/>
    <w:rsid w:val="00CE5E1B"/>
    <w:rsid w:val="00CE73C2"/>
    <w:rsid w:val="00D31E4D"/>
    <w:rsid w:val="00D472D8"/>
    <w:rsid w:val="00D4797E"/>
    <w:rsid w:val="00D75FC7"/>
    <w:rsid w:val="00DB297E"/>
    <w:rsid w:val="00DF7493"/>
    <w:rsid w:val="00E356F9"/>
    <w:rsid w:val="00E51552"/>
    <w:rsid w:val="00E71D87"/>
    <w:rsid w:val="00E72577"/>
    <w:rsid w:val="00E9716C"/>
    <w:rsid w:val="00EC2436"/>
    <w:rsid w:val="00EC6BE3"/>
    <w:rsid w:val="00EF1E7C"/>
    <w:rsid w:val="00EF54D8"/>
    <w:rsid w:val="00F117BD"/>
    <w:rsid w:val="00F44B9B"/>
    <w:rsid w:val="00F57E6E"/>
    <w:rsid w:val="00F611A8"/>
    <w:rsid w:val="00F61C62"/>
    <w:rsid w:val="00F733EF"/>
    <w:rsid w:val="00FA01C7"/>
    <w:rsid w:val="00FD2595"/>
    <w:rsid w:val="00FD266D"/>
    <w:rsid w:val="00FF3700"/>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2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C5989"/>
    <w:rPr>
      <w:b/>
      <w:bCs/>
    </w:rPr>
  </w:style>
  <w:style w:type="paragraph" w:styleId="NormalWeb">
    <w:name w:val="Normal (Web)"/>
    <w:basedOn w:val="Normal"/>
    <w:uiPriority w:val="99"/>
    <w:semiHidden/>
    <w:rsid w:val="006C5989"/>
    <w:pPr>
      <w:spacing w:after="100" w:afterAutospacing="1" w:line="240" w:lineRule="auto"/>
    </w:pPr>
    <w:rPr>
      <w:rFonts w:ascii="Times New Roman" w:eastAsia="Times New Roman" w:hAnsi="Times New Roman" w:cs="Times New Roman"/>
      <w:sz w:val="18"/>
      <w:szCs w:val="18"/>
    </w:rPr>
  </w:style>
  <w:style w:type="character" w:styleId="Emphasis">
    <w:name w:val="Emphasis"/>
    <w:basedOn w:val="DefaultParagraphFont"/>
    <w:uiPriority w:val="99"/>
    <w:qFormat/>
    <w:rsid w:val="006C5989"/>
    <w:rPr>
      <w:i/>
      <w:iCs/>
    </w:rPr>
  </w:style>
  <w:style w:type="paragraph" w:styleId="Header">
    <w:name w:val="header"/>
    <w:basedOn w:val="Normal"/>
    <w:link w:val="HeaderChar"/>
    <w:uiPriority w:val="99"/>
    <w:unhideWhenUsed/>
    <w:rsid w:val="00145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C4"/>
    <w:rPr>
      <w:rFonts w:cs="Calibri"/>
    </w:rPr>
  </w:style>
  <w:style w:type="paragraph" w:styleId="Footer">
    <w:name w:val="footer"/>
    <w:basedOn w:val="Normal"/>
    <w:link w:val="FooterChar"/>
    <w:uiPriority w:val="99"/>
    <w:unhideWhenUsed/>
    <w:rsid w:val="00145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C4"/>
    <w:rPr>
      <w:rFonts w:cs="Calibri"/>
    </w:rPr>
  </w:style>
  <w:style w:type="paragraph" w:styleId="BalloonText">
    <w:name w:val="Balloon Text"/>
    <w:basedOn w:val="Normal"/>
    <w:link w:val="BalloonTextChar"/>
    <w:uiPriority w:val="99"/>
    <w:semiHidden/>
    <w:unhideWhenUsed/>
    <w:rsid w:val="0014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2C4"/>
    <w:rPr>
      <w:rFonts w:ascii="Tahoma" w:hAnsi="Tahoma" w:cs="Tahoma"/>
      <w:sz w:val="16"/>
      <w:szCs w:val="16"/>
    </w:rPr>
  </w:style>
  <w:style w:type="paragraph" w:styleId="NoSpacing">
    <w:name w:val="No Spacing"/>
    <w:uiPriority w:val="1"/>
    <w:qFormat/>
    <w:rsid w:val="00775BC5"/>
    <w:rPr>
      <w:rFonts w:cs="Calibri"/>
    </w:rPr>
  </w:style>
  <w:style w:type="character" w:styleId="Hyperlink">
    <w:name w:val="Hyperlink"/>
    <w:basedOn w:val="DefaultParagraphFont"/>
    <w:uiPriority w:val="99"/>
    <w:semiHidden/>
    <w:unhideWhenUsed/>
    <w:rsid w:val="00276F39"/>
    <w:rPr>
      <w:color w:val="0000FF"/>
      <w:u w:val="single"/>
    </w:rPr>
  </w:style>
  <w:style w:type="paragraph" w:styleId="ListParagraph">
    <w:name w:val="List Paragraph"/>
    <w:basedOn w:val="Normal"/>
    <w:uiPriority w:val="34"/>
    <w:qFormat/>
    <w:rsid w:val="00276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2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C5989"/>
    <w:rPr>
      <w:b/>
      <w:bCs/>
    </w:rPr>
  </w:style>
  <w:style w:type="paragraph" w:styleId="NormalWeb">
    <w:name w:val="Normal (Web)"/>
    <w:basedOn w:val="Normal"/>
    <w:uiPriority w:val="99"/>
    <w:semiHidden/>
    <w:rsid w:val="006C5989"/>
    <w:pPr>
      <w:spacing w:after="100" w:afterAutospacing="1" w:line="240" w:lineRule="auto"/>
    </w:pPr>
    <w:rPr>
      <w:rFonts w:ascii="Times New Roman" w:eastAsia="Times New Roman" w:hAnsi="Times New Roman" w:cs="Times New Roman"/>
      <w:sz w:val="18"/>
      <w:szCs w:val="18"/>
    </w:rPr>
  </w:style>
  <w:style w:type="character" w:styleId="Emphasis">
    <w:name w:val="Emphasis"/>
    <w:basedOn w:val="DefaultParagraphFont"/>
    <w:uiPriority w:val="99"/>
    <w:qFormat/>
    <w:rsid w:val="006C5989"/>
    <w:rPr>
      <w:i/>
      <w:iCs/>
    </w:rPr>
  </w:style>
  <w:style w:type="paragraph" w:styleId="Header">
    <w:name w:val="header"/>
    <w:basedOn w:val="Normal"/>
    <w:link w:val="HeaderChar"/>
    <w:uiPriority w:val="99"/>
    <w:unhideWhenUsed/>
    <w:rsid w:val="00145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C4"/>
    <w:rPr>
      <w:rFonts w:cs="Calibri"/>
    </w:rPr>
  </w:style>
  <w:style w:type="paragraph" w:styleId="Footer">
    <w:name w:val="footer"/>
    <w:basedOn w:val="Normal"/>
    <w:link w:val="FooterChar"/>
    <w:uiPriority w:val="99"/>
    <w:unhideWhenUsed/>
    <w:rsid w:val="00145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C4"/>
    <w:rPr>
      <w:rFonts w:cs="Calibri"/>
    </w:rPr>
  </w:style>
  <w:style w:type="paragraph" w:styleId="BalloonText">
    <w:name w:val="Balloon Text"/>
    <w:basedOn w:val="Normal"/>
    <w:link w:val="BalloonTextChar"/>
    <w:uiPriority w:val="99"/>
    <w:semiHidden/>
    <w:unhideWhenUsed/>
    <w:rsid w:val="0014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2C4"/>
    <w:rPr>
      <w:rFonts w:ascii="Tahoma" w:hAnsi="Tahoma" w:cs="Tahoma"/>
      <w:sz w:val="16"/>
      <w:szCs w:val="16"/>
    </w:rPr>
  </w:style>
  <w:style w:type="paragraph" w:styleId="NoSpacing">
    <w:name w:val="No Spacing"/>
    <w:uiPriority w:val="1"/>
    <w:qFormat/>
    <w:rsid w:val="00775BC5"/>
    <w:rPr>
      <w:rFonts w:cs="Calibri"/>
    </w:rPr>
  </w:style>
  <w:style w:type="character" w:styleId="Hyperlink">
    <w:name w:val="Hyperlink"/>
    <w:basedOn w:val="DefaultParagraphFont"/>
    <w:uiPriority w:val="99"/>
    <w:semiHidden/>
    <w:unhideWhenUsed/>
    <w:rsid w:val="00276F39"/>
    <w:rPr>
      <w:color w:val="0000FF"/>
      <w:u w:val="single"/>
    </w:rPr>
  </w:style>
  <w:style w:type="paragraph" w:styleId="ListParagraph">
    <w:name w:val="List Paragraph"/>
    <w:basedOn w:val="Normal"/>
    <w:uiPriority w:val="34"/>
    <w:qFormat/>
    <w:rsid w:val="00276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0350">
      <w:bodyDiv w:val="1"/>
      <w:marLeft w:val="0"/>
      <w:marRight w:val="0"/>
      <w:marTop w:val="0"/>
      <w:marBottom w:val="0"/>
      <w:divBdr>
        <w:top w:val="none" w:sz="0" w:space="0" w:color="auto"/>
        <w:left w:val="none" w:sz="0" w:space="0" w:color="auto"/>
        <w:bottom w:val="none" w:sz="0" w:space="0" w:color="auto"/>
        <w:right w:val="none" w:sz="0" w:space="0" w:color="auto"/>
      </w:divBdr>
      <w:divsChild>
        <w:div w:id="120080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932503">
      <w:bodyDiv w:val="1"/>
      <w:marLeft w:val="0"/>
      <w:marRight w:val="0"/>
      <w:marTop w:val="0"/>
      <w:marBottom w:val="0"/>
      <w:divBdr>
        <w:top w:val="none" w:sz="0" w:space="0" w:color="auto"/>
        <w:left w:val="none" w:sz="0" w:space="0" w:color="auto"/>
        <w:bottom w:val="none" w:sz="0" w:space="0" w:color="auto"/>
        <w:right w:val="none" w:sz="0" w:space="0" w:color="auto"/>
      </w:divBdr>
      <w:divsChild>
        <w:div w:id="845289772">
          <w:marLeft w:val="0"/>
          <w:marRight w:val="0"/>
          <w:marTop w:val="0"/>
          <w:marBottom w:val="0"/>
          <w:divBdr>
            <w:top w:val="none" w:sz="0" w:space="0" w:color="auto"/>
            <w:left w:val="none" w:sz="0" w:space="0" w:color="auto"/>
            <w:bottom w:val="none" w:sz="0" w:space="0" w:color="auto"/>
            <w:right w:val="none" w:sz="0" w:space="0" w:color="auto"/>
          </w:divBdr>
          <w:divsChild>
            <w:div w:id="774447004">
              <w:marLeft w:val="0"/>
              <w:marRight w:val="0"/>
              <w:marTop w:val="0"/>
              <w:marBottom w:val="0"/>
              <w:divBdr>
                <w:top w:val="none" w:sz="0" w:space="0" w:color="auto"/>
                <w:left w:val="none" w:sz="0" w:space="0" w:color="auto"/>
                <w:bottom w:val="none" w:sz="0" w:space="0" w:color="auto"/>
                <w:right w:val="none" w:sz="0" w:space="0" w:color="auto"/>
              </w:divBdr>
              <w:divsChild>
                <w:div w:id="305672547">
                  <w:marLeft w:val="0"/>
                  <w:marRight w:val="0"/>
                  <w:marTop w:val="0"/>
                  <w:marBottom w:val="0"/>
                  <w:divBdr>
                    <w:top w:val="none" w:sz="0" w:space="0" w:color="auto"/>
                    <w:left w:val="none" w:sz="0" w:space="0" w:color="auto"/>
                    <w:bottom w:val="none" w:sz="0" w:space="0" w:color="auto"/>
                    <w:right w:val="none" w:sz="0" w:space="0" w:color="auto"/>
                  </w:divBdr>
                  <w:divsChild>
                    <w:div w:id="1577086223">
                      <w:marLeft w:val="0"/>
                      <w:marRight w:val="0"/>
                      <w:marTop w:val="0"/>
                      <w:marBottom w:val="0"/>
                      <w:divBdr>
                        <w:top w:val="none" w:sz="0" w:space="0" w:color="auto"/>
                        <w:left w:val="none" w:sz="0" w:space="0" w:color="auto"/>
                        <w:bottom w:val="none" w:sz="0" w:space="0" w:color="auto"/>
                        <w:right w:val="none" w:sz="0" w:space="0" w:color="auto"/>
                      </w:divBdr>
                      <w:divsChild>
                        <w:div w:id="2098281659">
                          <w:marLeft w:val="0"/>
                          <w:marRight w:val="0"/>
                          <w:marTop w:val="0"/>
                          <w:marBottom w:val="0"/>
                          <w:divBdr>
                            <w:top w:val="none" w:sz="0" w:space="0" w:color="auto"/>
                            <w:left w:val="none" w:sz="0" w:space="0" w:color="auto"/>
                            <w:bottom w:val="none" w:sz="0" w:space="0" w:color="auto"/>
                            <w:right w:val="none" w:sz="0" w:space="0" w:color="auto"/>
                          </w:divBdr>
                          <w:divsChild>
                            <w:div w:id="19993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726262">
      <w:bodyDiv w:val="1"/>
      <w:marLeft w:val="0"/>
      <w:marRight w:val="0"/>
      <w:marTop w:val="0"/>
      <w:marBottom w:val="0"/>
      <w:divBdr>
        <w:top w:val="none" w:sz="0" w:space="0" w:color="auto"/>
        <w:left w:val="none" w:sz="0" w:space="0" w:color="auto"/>
        <w:bottom w:val="none" w:sz="0" w:space="0" w:color="auto"/>
        <w:right w:val="none" w:sz="0" w:space="0" w:color="auto"/>
      </w:divBdr>
      <w:divsChild>
        <w:div w:id="362246948">
          <w:marLeft w:val="0"/>
          <w:marRight w:val="0"/>
          <w:marTop w:val="0"/>
          <w:marBottom w:val="0"/>
          <w:divBdr>
            <w:top w:val="none" w:sz="0" w:space="0" w:color="auto"/>
            <w:left w:val="none" w:sz="0" w:space="0" w:color="auto"/>
            <w:bottom w:val="none" w:sz="0" w:space="0" w:color="auto"/>
            <w:right w:val="none" w:sz="0" w:space="0" w:color="auto"/>
          </w:divBdr>
          <w:divsChild>
            <w:div w:id="1402025314">
              <w:marLeft w:val="0"/>
              <w:marRight w:val="0"/>
              <w:marTop w:val="0"/>
              <w:marBottom w:val="0"/>
              <w:divBdr>
                <w:top w:val="none" w:sz="0" w:space="0" w:color="auto"/>
                <w:left w:val="none" w:sz="0" w:space="0" w:color="auto"/>
                <w:bottom w:val="none" w:sz="0" w:space="0" w:color="auto"/>
                <w:right w:val="none" w:sz="0" w:space="0" w:color="auto"/>
              </w:divBdr>
              <w:divsChild>
                <w:div w:id="1026062927">
                  <w:marLeft w:val="0"/>
                  <w:marRight w:val="0"/>
                  <w:marTop w:val="0"/>
                  <w:marBottom w:val="0"/>
                  <w:divBdr>
                    <w:top w:val="none" w:sz="0" w:space="0" w:color="auto"/>
                    <w:left w:val="none" w:sz="0" w:space="0" w:color="auto"/>
                    <w:bottom w:val="none" w:sz="0" w:space="0" w:color="auto"/>
                    <w:right w:val="none" w:sz="0" w:space="0" w:color="auto"/>
                  </w:divBdr>
                  <w:divsChild>
                    <w:div w:id="1035738673">
                      <w:marLeft w:val="0"/>
                      <w:marRight w:val="0"/>
                      <w:marTop w:val="0"/>
                      <w:marBottom w:val="0"/>
                      <w:divBdr>
                        <w:top w:val="none" w:sz="0" w:space="0" w:color="auto"/>
                        <w:left w:val="none" w:sz="0" w:space="0" w:color="auto"/>
                        <w:bottom w:val="none" w:sz="0" w:space="0" w:color="auto"/>
                        <w:right w:val="none" w:sz="0" w:space="0" w:color="auto"/>
                      </w:divBdr>
                      <w:divsChild>
                        <w:div w:id="837355038">
                          <w:marLeft w:val="0"/>
                          <w:marRight w:val="0"/>
                          <w:marTop w:val="0"/>
                          <w:marBottom w:val="0"/>
                          <w:divBdr>
                            <w:top w:val="none" w:sz="0" w:space="0" w:color="auto"/>
                            <w:left w:val="none" w:sz="0" w:space="0" w:color="auto"/>
                            <w:bottom w:val="none" w:sz="0" w:space="0" w:color="auto"/>
                            <w:right w:val="none" w:sz="0" w:space="0" w:color="auto"/>
                          </w:divBdr>
                          <w:divsChild>
                            <w:div w:id="18930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426695">
      <w:marLeft w:val="0"/>
      <w:marRight w:val="0"/>
      <w:marTop w:val="0"/>
      <w:marBottom w:val="0"/>
      <w:divBdr>
        <w:top w:val="none" w:sz="0" w:space="0" w:color="auto"/>
        <w:left w:val="none" w:sz="0" w:space="0" w:color="auto"/>
        <w:bottom w:val="none" w:sz="0" w:space="0" w:color="auto"/>
        <w:right w:val="none" w:sz="0" w:space="0" w:color="auto"/>
      </w:divBdr>
      <w:divsChild>
        <w:div w:id="1626426693">
          <w:marLeft w:val="0"/>
          <w:marRight w:val="0"/>
          <w:marTop w:val="0"/>
          <w:marBottom w:val="0"/>
          <w:divBdr>
            <w:top w:val="none" w:sz="0" w:space="0" w:color="auto"/>
            <w:left w:val="none" w:sz="0" w:space="0" w:color="auto"/>
            <w:bottom w:val="none" w:sz="0" w:space="0" w:color="auto"/>
            <w:right w:val="none" w:sz="0" w:space="0" w:color="auto"/>
          </w:divBdr>
          <w:divsChild>
            <w:div w:id="1626426694">
              <w:marLeft w:val="0"/>
              <w:marRight w:val="0"/>
              <w:marTop w:val="0"/>
              <w:marBottom w:val="0"/>
              <w:divBdr>
                <w:top w:val="none" w:sz="0" w:space="0" w:color="auto"/>
                <w:left w:val="none" w:sz="0" w:space="0" w:color="auto"/>
                <w:bottom w:val="none" w:sz="0" w:space="0" w:color="auto"/>
                <w:right w:val="none" w:sz="0" w:space="0" w:color="auto"/>
              </w:divBdr>
              <w:divsChild>
                <w:div w:id="1626426698">
                  <w:marLeft w:val="0"/>
                  <w:marRight w:val="0"/>
                  <w:marTop w:val="300"/>
                  <w:marBottom w:val="0"/>
                  <w:divBdr>
                    <w:top w:val="none" w:sz="0" w:space="0" w:color="auto"/>
                    <w:left w:val="none" w:sz="0" w:space="0" w:color="auto"/>
                    <w:bottom w:val="none" w:sz="0" w:space="0" w:color="auto"/>
                    <w:right w:val="none" w:sz="0" w:space="0" w:color="auto"/>
                  </w:divBdr>
                  <w:divsChild>
                    <w:div w:id="1626426696">
                      <w:marLeft w:val="0"/>
                      <w:marRight w:val="0"/>
                      <w:marTop w:val="0"/>
                      <w:marBottom w:val="0"/>
                      <w:divBdr>
                        <w:top w:val="none" w:sz="0" w:space="0" w:color="auto"/>
                        <w:left w:val="none" w:sz="0" w:space="0" w:color="auto"/>
                        <w:bottom w:val="none" w:sz="0" w:space="0" w:color="auto"/>
                        <w:right w:val="none" w:sz="0" w:space="0" w:color="auto"/>
                      </w:divBdr>
                      <w:divsChild>
                        <w:div w:id="16264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29376">
      <w:bodyDiv w:val="1"/>
      <w:marLeft w:val="0"/>
      <w:marRight w:val="0"/>
      <w:marTop w:val="0"/>
      <w:marBottom w:val="0"/>
      <w:divBdr>
        <w:top w:val="none" w:sz="0" w:space="0" w:color="auto"/>
        <w:left w:val="none" w:sz="0" w:space="0" w:color="auto"/>
        <w:bottom w:val="none" w:sz="0" w:space="0" w:color="auto"/>
        <w:right w:val="none" w:sz="0" w:space="0" w:color="auto"/>
      </w:divBdr>
      <w:divsChild>
        <w:div w:id="1736705034">
          <w:marLeft w:val="0"/>
          <w:marRight w:val="0"/>
          <w:marTop w:val="0"/>
          <w:marBottom w:val="0"/>
          <w:divBdr>
            <w:top w:val="none" w:sz="0" w:space="0" w:color="auto"/>
            <w:left w:val="none" w:sz="0" w:space="0" w:color="auto"/>
            <w:bottom w:val="none" w:sz="0" w:space="0" w:color="auto"/>
            <w:right w:val="none" w:sz="0" w:space="0" w:color="auto"/>
          </w:divBdr>
          <w:divsChild>
            <w:div w:id="798377181">
              <w:marLeft w:val="0"/>
              <w:marRight w:val="0"/>
              <w:marTop w:val="0"/>
              <w:marBottom w:val="0"/>
              <w:divBdr>
                <w:top w:val="none" w:sz="0" w:space="0" w:color="auto"/>
                <w:left w:val="none" w:sz="0" w:space="0" w:color="auto"/>
                <w:bottom w:val="none" w:sz="0" w:space="0" w:color="auto"/>
                <w:right w:val="none" w:sz="0" w:space="0" w:color="auto"/>
              </w:divBdr>
              <w:divsChild>
                <w:div w:id="803044832">
                  <w:marLeft w:val="0"/>
                  <w:marRight w:val="0"/>
                  <w:marTop w:val="0"/>
                  <w:marBottom w:val="0"/>
                  <w:divBdr>
                    <w:top w:val="none" w:sz="0" w:space="0" w:color="auto"/>
                    <w:left w:val="none" w:sz="0" w:space="0" w:color="auto"/>
                    <w:bottom w:val="none" w:sz="0" w:space="0" w:color="auto"/>
                    <w:right w:val="none" w:sz="0" w:space="0" w:color="auto"/>
                  </w:divBdr>
                  <w:divsChild>
                    <w:div w:id="1952853620">
                      <w:marLeft w:val="0"/>
                      <w:marRight w:val="0"/>
                      <w:marTop w:val="0"/>
                      <w:marBottom w:val="0"/>
                      <w:divBdr>
                        <w:top w:val="none" w:sz="0" w:space="0" w:color="auto"/>
                        <w:left w:val="none" w:sz="0" w:space="0" w:color="auto"/>
                        <w:bottom w:val="none" w:sz="0" w:space="0" w:color="auto"/>
                        <w:right w:val="none" w:sz="0" w:space="0" w:color="auto"/>
                      </w:divBdr>
                      <w:divsChild>
                        <w:div w:id="592396562">
                          <w:marLeft w:val="0"/>
                          <w:marRight w:val="0"/>
                          <w:marTop w:val="0"/>
                          <w:marBottom w:val="0"/>
                          <w:divBdr>
                            <w:top w:val="none" w:sz="0" w:space="0" w:color="auto"/>
                            <w:left w:val="none" w:sz="0" w:space="0" w:color="auto"/>
                            <w:bottom w:val="none" w:sz="0" w:space="0" w:color="auto"/>
                            <w:right w:val="none" w:sz="0" w:space="0" w:color="auto"/>
                          </w:divBdr>
                          <w:divsChild>
                            <w:div w:id="1850946705">
                              <w:marLeft w:val="0"/>
                              <w:marRight w:val="0"/>
                              <w:marTop w:val="0"/>
                              <w:marBottom w:val="0"/>
                              <w:divBdr>
                                <w:top w:val="none" w:sz="0" w:space="0" w:color="auto"/>
                                <w:left w:val="none" w:sz="0" w:space="0" w:color="auto"/>
                                <w:bottom w:val="none" w:sz="0" w:space="0" w:color="auto"/>
                                <w:right w:val="none" w:sz="0" w:space="0" w:color="auto"/>
                              </w:divBdr>
                              <w:divsChild>
                                <w:div w:id="15069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evenserver\databases\Shared%20Docs\Pricing%20Desk\Charts%20and%20Graphs\NYMEX%20Chart%2011.12.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en-US" sz="1000">
                <a:latin typeface="Arial" pitchFamily="34" charset="0"/>
                <a:cs typeface="Arial" pitchFamily="34" charset="0"/>
              </a:rPr>
              <a:t>Monthly</a:t>
            </a:r>
            <a:r>
              <a:rPr lang="en-US" sz="1000" baseline="0">
                <a:latin typeface="Arial" pitchFamily="34" charset="0"/>
                <a:cs typeface="Arial" pitchFamily="34" charset="0"/>
              </a:rPr>
              <a:t> Natural Gas Settlement Jan '12 - Feb '15</a:t>
            </a:r>
            <a:endParaRPr lang="en-US" sz="1000">
              <a:latin typeface="Arial" pitchFamily="34" charset="0"/>
              <a:cs typeface="Arial" pitchFamily="34" charset="0"/>
            </a:endParaRPr>
          </a:p>
        </c:rich>
      </c:tx>
      <c:layout>
        <c:manualLayout>
          <c:xMode val="edge"/>
          <c:yMode val="edge"/>
          <c:x val="0.2587289015891725"/>
          <c:y val="2.0186773047384466E-2"/>
        </c:manualLayout>
      </c:layout>
      <c:overlay val="0"/>
    </c:title>
    <c:autoTitleDeleted val="0"/>
    <c:plotArea>
      <c:layout>
        <c:manualLayout>
          <c:layoutTarget val="inner"/>
          <c:xMode val="edge"/>
          <c:yMode val="edge"/>
          <c:x val="9.8098155611804197E-2"/>
          <c:y val="0.11408174528265111"/>
          <c:w val="0.86251236677900656"/>
          <c:h val="0.68902840940115662"/>
        </c:manualLayout>
      </c:layout>
      <c:lineChart>
        <c:grouping val="standard"/>
        <c:varyColors val="0"/>
        <c:ser>
          <c:idx val="1"/>
          <c:order val="0"/>
          <c:spPr>
            <a:ln w="28575">
              <a:solidFill>
                <a:schemeClr val="accent1">
                  <a:shade val="95000"/>
                  <a:satMod val="105000"/>
                </a:schemeClr>
              </a:solidFill>
            </a:ln>
          </c:spPr>
          <c:marker>
            <c:symbol val="none"/>
          </c:marker>
          <c:dPt>
            <c:idx val="122"/>
            <c:marker>
              <c:symbol val="circle"/>
              <c:size val="6"/>
              <c:spPr>
                <a:solidFill>
                  <a:srgbClr val="FF0000"/>
                </a:solidFill>
              </c:spPr>
            </c:marker>
            <c:bubble3D val="0"/>
          </c:dPt>
          <c:cat>
            <c:numRef>
              <c:f>Sheet1!$A$145:$A$193</c:f>
              <c:numCache>
                <c:formatCode>mmm\-yy</c:formatCode>
                <c:ptCount val="49"/>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formatCode="[$-409]mmm\-yy;@">
                  <c:v>41275</c:v>
                </c:pt>
                <c:pt idx="13" formatCode="[$-409]mmm\-yy;@">
                  <c:v>41306</c:v>
                </c:pt>
                <c:pt idx="14" formatCode="[$-409]mmm\-yy;@">
                  <c:v>41334</c:v>
                </c:pt>
                <c:pt idx="15" formatCode="[$-409]mmm\-yy;@">
                  <c:v>41365</c:v>
                </c:pt>
                <c:pt idx="16" formatCode="[$-409]mmm\-yy;@">
                  <c:v>41395</c:v>
                </c:pt>
                <c:pt idx="17" formatCode="[$-409]mmm\-yy;@">
                  <c:v>41426</c:v>
                </c:pt>
                <c:pt idx="18" formatCode="[$-409]mmm\-yy;@">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pt idx="48">
                  <c:v>42370</c:v>
                </c:pt>
              </c:numCache>
            </c:numRef>
          </c:cat>
          <c:val>
            <c:numRef>
              <c:f>Sheet1!$B$145:$B$193</c:f>
              <c:numCache>
                <c:formatCode>"$"#,##0.000_);[Red]\("$"#,##0.000\)</c:formatCode>
                <c:ptCount val="49"/>
                <c:pt idx="0">
                  <c:v>3.0840000000000001</c:v>
                </c:pt>
                <c:pt idx="1">
                  <c:v>2.6779999999999999</c:v>
                </c:pt>
                <c:pt idx="2">
                  <c:v>2.4459999999999997</c:v>
                </c:pt>
                <c:pt idx="3">
                  <c:v>2.1909999999999998</c:v>
                </c:pt>
                <c:pt idx="4">
                  <c:v>2.0359999999999996</c:v>
                </c:pt>
                <c:pt idx="5">
                  <c:v>2.4289999999999998</c:v>
                </c:pt>
                <c:pt idx="6">
                  <c:v>2.774</c:v>
                </c:pt>
                <c:pt idx="7">
                  <c:v>3.01</c:v>
                </c:pt>
                <c:pt idx="8">
                  <c:v>2.6339999999999999</c:v>
                </c:pt>
                <c:pt idx="9">
                  <c:v>3.0230000000000001</c:v>
                </c:pt>
                <c:pt idx="10">
                  <c:v>3.4709999999999996</c:v>
                </c:pt>
                <c:pt idx="11">
                  <c:v>3.6959999999999997</c:v>
                </c:pt>
                <c:pt idx="12" formatCode="&quot;$&quot;#,##0.000">
                  <c:v>3.3539999999999996</c:v>
                </c:pt>
                <c:pt idx="13" formatCode="&quot;$&quot;#,##0.000">
                  <c:v>3.23</c:v>
                </c:pt>
                <c:pt idx="14" formatCode="&quot;$&quot;#,##0.000">
                  <c:v>3.427</c:v>
                </c:pt>
                <c:pt idx="15" formatCode="&quot;$&quot;#,##0.000">
                  <c:v>3.9759999999999995</c:v>
                </c:pt>
                <c:pt idx="16" formatCode="&quot;$&quot;#,##0.000">
                  <c:v>4.1519999999999992</c:v>
                </c:pt>
                <c:pt idx="17" formatCode="&quot;$&quot;#,##0.000">
                  <c:v>4.1479999999999988</c:v>
                </c:pt>
                <c:pt idx="18" formatCode="&quot;$&quot;#,##0.000">
                  <c:v>3.71</c:v>
                </c:pt>
                <c:pt idx="19" formatCode="&quot;$&quot;#,##0.000">
                  <c:v>3.4589999999999996</c:v>
                </c:pt>
                <c:pt idx="20" formatCode="&quot;$&quot;#,##0.000">
                  <c:v>3.5670000000000002</c:v>
                </c:pt>
                <c:pt idx="21" formatCode="&quot;$&quot;#,##0.000">
                  <c:v>3.4979999999999998</c:v>
                </c:pt>
                <c:pt idx="22" formatCode="&quot;$&quot;#,##0.000">
                  <c:v>3.4959999999999996</c:v>
                </c:pt>
                <c:pt idx="23" formatCode="&quot;$&quot;#,##0.000">
                  <c:v>3.8179999999999996</c:v>
                </c:pt>
                <c:pt idx="24" formatCode="&quot;$&quot;#,##0.000">
                  <c:v>4.407</c:v>
                </c:pt>
                <c:pt idx="25" formatCode="&quot;$&quot;#,##0.000">
                  <c:v>5.5569999999999995</c:v>
                </c:pt>
                <c:pt idx="26" formatCode="&quot;$&quot;#,##0.000">
                  <c:v>4.8549999999999995</c:v>
                </c:pt>
                <c:pt idx="27" formatCode="&quot;$&quot;#,##0.000">
                  <c:v>4.5839999999999996</c:v>
                </c:pt>
                <c:pt idx="28" formatCode="&quot;$&quot;#,##0.000">
                  <c:v>4.794999999999999</c:v>
                </c:pt>
                <c:pt idx="29" formatCode="&quot;$&quot;#,##0.000">
                  <c:v>4.6189999999999989</c:v>
                </c:pt>
                <c:pt idx="30" formatCode="&quot;$&quot;#,##0.000">
                  <c:v>4.4000000000000004</c:v>
                </c:pt>
                <c:pt idx="31" formatCode="&quot;$&quot;#,##0.000">
                  <c:v>3.8079999999999998</c:v>
                </c:pt>
                <c:pt idx="32" formatCode="&quot;$&quot;#,##0.000">
                  <c:v>3.9569999999999994</c:v>
                </c:pt>
                <c:pt idx="33" formatCode="&quot;$&quot;#,##0.000">
                  <c:v>3.984</c:v>
                </c:pt>
                <c:pt idx="34" formatCode="&quot;$&quot;#,##0.000">
                  <c:v>3.73</c:v>
                </c:pt>
                <c:pt idx="35" formatCode="&quot;$&quot;#,##0.000">
                  <c:v>4.28</c:v>
                </c:pt>
                <c:pt idx="36" formatCode="&quot;$&quot;#,##0.000">
                  <c:v>3.1890000000000001</c:v>
                </c:pt>
                <c:pt idx="37" formatCode="&quot;$&quot;#,##0.000">
                  <c:v>2.8659999999999997</c:v>
                </c:pt>
                <c:pt idx="38" formatCode="&quot;$&quot;#,##0.000">
                  <c:v>2.8939999999999997</c:v>
                </c:pt>
                <c:pt idx="39" formatCode="&quot;$&quot;#,##0.000">
                  <c:v>2.59</c:v>
                </c:pt>
                <c:pt idx="40" formatCode="&quot;$&quot;#,##0.000">
                  <c:v>2.5169999999999995</c:v>
                </c:pt>
                <c:pt idx="41" formatCode="&quot;$&quot;#,##0.000">
                  <c:v>2.8149999999999995</c:v>
                </c:pt>
                <c:pt idx="42" formatCode="&quot;$&quot;#,##0.000">
                  <c:v>2.7730000000000001</c:v>
                </c:pt>
                <c:pt idx="43" formatCode="&quot;$&quot;#,##0.000">
                  <c:v>2.8859999999999997</c:v>
                </c:pt>
                <c:pt idx="44" formatCode="&quot;$&quot;#,##0.000">
                  <c:v>2.6379999999999999</c:v>
                </c:pt>
                <c:pt idx="45" formatCode="&quot;$&quot;#,##0.000">
                  <c:v>2.5630000000000002</c:v>
                </c:pt>
                <c:pt idx="46" formatCode="&quot;$&quot;#,##0.000">
                  <c:v>2.0329999999999995</c:v>
                </c:pt>
                <c:pt idx="47" formatCode="&quot;$&quot;#,##0.000">
                  <c:v>2.206</c:v>
                </c:pt>
                <c:pt idx="48" formatCode="&quot;$&quot;#,##0.000">
                  <c:v>2.4519999999999995</c:v>
                </c:pt>
              </c:numCache>
            </c:numRef>
          </c:val>
          <c:smooth val="0"/>
        </c:ser>
        <c:dLbls>
          <c:showLegendKey val="0"/>
          <c:showVal val="0"/>
          <c:showCatName val="0"/>
          <c:showSerName val="0"/>
          <c:showPercent val="0"/>
          <c:showBubbleSize val="0"/>
        </c:dLbls>
        <c:marker val="1"/>
        <c:smooth val="0"/>
        <c:axId val="271030528"/>
        <c:axId val="271084160"/>
      </c:lineChart>
      <c:dateAx>
        <c:axId val="271030528"/>
        <c:scaling>
          <c:orientation val="minMax"/>
        </c:scaling>
        <c:delete val="0"/>
        <c:axPos val="b"/>
        <c:numFmt formatCode="[$-409]mmm\-yy;@" sourceLinked="0"/>
        <c:majorTickMark val="out"/>
        <c:minorTickMark val="none"/>
        <c:tickLblPos val="nextTo"/>
        <c:txPr>
          <a:bodyPr rot="-2700000"/>
          <a:lstStyle/>
          <a:p>
            <a:pPr>
              <a:defRPr sz="800"/>
            </a:pPr>
            <a:endParaRPr lang="en-US"/>
          </a:p>
        </c:txPr>
        <c:crossAx val="271084160"/>
        <c:crosses val="autoZero"/>
        <c:auto val="1"/>
        <c:lblOffset val="100"/>
        <c:baseTimeUnit val="months"/>
        <c:majorUnit val="6"/>
        <c:majorTimeUnit val="months"/>
        <c:minorUnit val="1"/>
        <c:minorTimeUnit val="months"/>
      </c:dateAx>
      <c:valAx>
        <c:axId val="271084160"/>
        <c:scaling>
          <c:orientation val="minMax"/>
          <c:max val="7"/>
          <c:min val="0"/>
        </c:scaling>
        <c:delete val="0"/>
        <c:axPos val="l"/>
        <c:majorGridlines/>
        <c:numFmt formatCode="&quot;$&quot;#,##0.000_);[Red]\(&quot;$&quot;#,##0.000\)" sourceLinked="1"/>
        <c:majorTickMark val="none"/>
        <c:minorTickMark val="none"/>
        <c:tickLblPos val="nextTo"/>
        <c:txPr>
          <a:bodyPr/>
          <a:lstStyle/>
          <a:p>
            <a:pPr>
              <a:defRPr sz="900">
                <a:latin typeface="Arial" pitchFamily="34" charset="0"/>
                <a:cs typeface="Arial" pitchFamily="34" charset="0"/>
              </a:defRPr>
            </a:pPr>
            <a:endParaRPr lang="en-US"/>
          </a:p>
        </c:txPr>
        <c:crossAx val="271030528"/>
        <c:crosses val="autoZero"/>
        <c:crossBetween val="between"/>
      </c:valAx>
      <c:spPr>
        <a:solidFill>
          <a:schemeClr val="bg1">
            <a:lumMod val="95000"/>
          </a:schemeClr>
        </a:solidFill>
        <a:ln>
          <a:solidFill>
            <a:schemeClr val="bg1">
              <a:lumMod val="50000"/>
            </a:schemeClr>
          </a:solidFill>
        </a:ln>
      </c:spPr>
    </c:plotArea>
    <c:plotVisOnly val="1"/>
    <c:dispBlanksAs val="gap"/>
    <c:showDLblsOverMax val="0"/>
  </c:chart>
  <c:spPr>
    <a:ln w="28575">
      <a:solidFill>
        <a:schemeClr val="tx1">
          <a:lumMod val="50000"/>
          <a:lumOff val="50000"/>
        </a:schemeClr>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0.72251</cdr:x>
      <cdr:y>0.71172</cdr:y>
    </cdr:from>
    <cdr:to>
      <cdr:x>0.96938</cdr:x>
      <cdr:y>0.84275</cdr:y>
    </cdr:to>
    <cdr:sp macro="" textlink="">
      <cdr:nvSpPr>
        <cdr:cNvPr id="2" name="TextBox 1"/>
        <cdr:cNvSpPr txBox="1"/>
      </cdr:nvSpPr>
      <cdr:spPr>
        <a:xfrm xmlns:a="http://schemas.openxmlformats.org/drawingml/2006/main">
          <a:off x="4046582" y="3159074"/>
          <a:ext cx="1382646" cy="581596"/>
        </a:xfrm>
        <a:prstGeom xmlns:a="http://schemas.openxmlformats.org/drawingml/2006/main" prst="rect">
          <a:avLst/>
        </a:prstGeom>
      </cdr:spPr>
      <cdr:txBody>
        <a:bodyPr xmlns:a="http://schemas.openxmlformats.org/drawingml/2006/main" vertOverflow="clip" wrap="square" rtlCol="0" anchor="t"/>
        <a:lstStyle xmlns:a="http://schemas.openxmlformats.org/drawingml/2006/main"/>
        <a:p xmlns:a="http://schemas.openxmlformats.org/drawingml/2006/main">
          <a:endParaRPr lang="en-US" sz="1000" b="1">
            <a:solidFill>
              <a:srgbClr val="FF0000"/>
            </a:solidFill>
          </a:endParaRPr>
        </a:p>
      </cdr:txBody>
    </cdr:sp>
  </cdr:relSizeAnchor>
  <cdr:relSizeAnchor xmlns:cdr="http://schemas.openxmlformats.org/drawingml/2006/chartDrawing">
    <cdr:from>
      <cdr:x>0.71689</cdr:x>
      <cdr:y>0.36073</cdr:y>
    </cdr:from>
    <cdr:to>
      <cdr:x>0.72881</cdr:x>
      <cdr:y>0.39728</cdr:y>
    </cdr:to>
    <cdr:sp macro="" textlink="">
      <cdr:nvSpPr>
        <cdr:cNvPr id="3" name="Flowchart: Connector 2"/>
        <cdr:cNvSpPr/>
      </cdr:nvSpPr>
      <cdr:spPr>
        <a:xfrm xmlns:a="http://schemas.openxmlformats.org/drawingml/2006/main" flipV="1">
          <a:off x="4841137" y="739902"/>
          <a:ext cx="80468" cy="74980"/>
        </a:xfrm>
        <a:prstGeom xmlns:a="http://schemas.openxmlformats.org/drawingml/2006/main" prst="flowChartConnector">
          <a:avLst/>
        </a:prstGeom>
        <a:solidFill xmlns:a="http://schemas.openxmlformats.org/drawingml/2006/main">
          <a:srgbClr val="FF000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D4B78-FB09-4AC5-B07F-2F5F80BD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Market Overview</vt:lpstr>
    </vt:vector>
  </TitlesOfParts>
  <Company>Seven Utilities Mgmt Consultants - Midwest LLC</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Overview</dc:title>
  <dc:creator>Tim A. Krajenke</dc:creator>
  <cp:lastModifiedBy>cslaptop</cp:lastModifiedBy>
  <cp:revision>2</cp:revision>
  <cp:lastPrinted>2013-06-24T23:45:00Z</cp:lastPrinted>
  <dcterms:created xsi:type="dcterms:W3CDTF">2016-01-26T16:30:00Z</dcterms:created>
  <dcterms:modified xsi:type="dcterms:W3CDTF">2016-01-26T16:30:00Z</dcterms:modified>
</cp:coreProperties>
</file>