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DE" w:rsidRPr="000703DE" w:rsidRDefault="000703DE" w:rsidP="004F2E79">
      <w:pPr>
        <w:jc w:val="center"/>
        <w:rPr>
          <w:b/>
          <w:sz w:val="24"/>
        </w:rPr>
      </w:pPr>
      <w:r w:rsidRPr="000703DE">
        <w:rPr>
          <w:b/>
          <w:sz w:val="24"/>
        </w:rPr>
        <w:t>Opportunities for Ohioans with Disabilities Council Meeting</w:t>
      </w:r>
    </w:p>
    <w:p w:rsidR="00D46FA4" w:rsidRDefault="00D46FA4" w:rsidP="004F2E79">
      <w:pPr>
        <w:jc w:val="center"/>
        <w:rPr>
          <w:b/>
          <w:sz w:val="24"/>
        </w:rPr>
      </w:pPr>
      <w:r w:rsidRPr="000703DE">
        <w:rPr>
          <w:b/>
          <w:sz w:val="24"/>
        </w:rPr>
        <w:t>Division of Employer and Innovation Services</w:t>
      </w:r>
      <w:r w:rsidR="000703DE" w:rsidRPr="000703DE">
        <w:rPr>
          <w:b/>
          <w:sz w:val="24"/>
        </w:rPr>
        <w:t xml:space="preserve"> - </w:t>
      </w:r>
      <w:r w:rsidRPr="000703DE">
        <w:rPr>
          <w:b/>
          <w:sz w:val="24"/>
        </w:rPr>
        <w:t>Business Relations Update</w:t>
      </w:r>
    </w:p>
    <w:p w:rsidR="00F07909" w:rsidRDefault="00F07909" w:rsidP="004F2E79">
      <w:pPr>
        <w:jc w:val="both"/>
      </w:pPr>
    </w:p>
    <w:p w:rsidR="00D46FA4" w:rsidRPr="00D46FA4" w:rsidRDefault="004A366E" w:rsidP="004F2E79">
      <w:pPr>
        <w:jc w:val="both"/>
        <w:rPr>
          <w:b/>
        </w:rPr>
      </w:pPr>
      <w:r>
        <w:rPr>
          <w:b/>
        </w:rPr>
        <w:t>Embedded Talent Sourcing Coordinators</w:t>
      </w:r>
    </w:p>
    <w:p w:rsidR="00017EE3" w:rsidRDefault="004A366E" w:rsidP="00DE5B90">
      <w:pPr>
        <w:ind w:left="270"/>
        <w:jc w:val="both"/>
      </w:pPr>
      <w:r w:rsidRPr="004A366E">
        <w:rPr>
          <w:b/>
        </w:rPr>
        <w:t>Giant Eagle:</w:t>
      </w:r>
      <w:r>
        <w:t xml:space="preserve"> </w:t>
      </w:r>
      <w:r w:rsidR="005039FD">
        <w:t xml:space="preserve">From January – </w:t>
      </w:r>
      <w:r w:rsidR="006C1508">
        <w:t>October</w:t>
      </w:r>
      <w:r w:rsidR="005039FD">
        <w:t xml:space="preserve"> 2019,</w:t>
      </w:r>
      <w:r w:rsidR="00D46FA4">
        <w:t xml:space="preserve"> OOD</w:t>
      </w:r>
      <w:r w:rsidR="005039FD">
        <w:t>’s</w:t>
      </w:r>
      <w:r w:rsidR="00D46FA4">
        <w:t xml:space="preserve"> Talent Sourcing Coordinator (TSC) </w:t>
      </w:r>
      <w:r w:rsidR="00017EE3">
        <w:t>assigned to the partnership</w:t>
      </w:r>
      <w:r w:rsidR="00041D77">
        <w:t xml:space="preserve"> has assisted </w:t>
      </w:r>
      <w:r w:rsidR="006C1508">
        <w:t>80</w:t>
      </w:r>
      <w:r w:rsidR="005039FD">
        <w:t xml:space="preserve"> Team Members to obtain employment at Giant Eagle </w:t>
      </w:r>
      <w:r w:rsidR="00017EE3">
        <w:t xml:space="preserve">and GetGo </w:t>
      </w:r>
      <w:r w:rsidR="005039FD">
        <w:t>stores in Northeast Ohio</w:t>
      </w:r>
      <w:r w:rsidR="00FC34BF">
        <w:t>,</w:t>
      </w:r>
      <w:r w:rsidR="0007507D">
        <w:t xml:space="preserve"> with </w:t>
      </w:r>
      <w:r w:rsidR="006C1508">
        <w:t>70</w:t>
      </w:r>
      <w:r w:rsidR="0007507D">
        <w:t xml:space="preserve"> still employed</w:t>
      </w:r>
      <w:r w:rsidR="005039FD">
        <w:t xml:space="preserve">. </w:t>
      </w:r>
      <w:r w:rsidR="00D46FA4">
        <w:t xml:space="preserve"> </w:t>
      </w:r>
      <w:r w:rsidR="006C1508">
        <w:t xml:space="preserve">21 Team Members have achieved six months of continuous employment. </w:t>
      </w:r>
      <w:r w:rsidR="005039FD">
        <w:t>Of th</w:t>
      </w:r>
      <w:r w:rsidR="00041D77">
        <w:t>e Team Members hired in 2019, 4</w:t>
      </w:r>
      <w:r w:rsidR="006C1508">
        <w:t xml:space="preserve">8% are </w:t>
      </w:r>
      <w:r w:rsidR="005039FD">
        <w:t xml:space="preserve">transition age. </w:t>
      </w:r>
      <w:r w:rsidR="006C1508">
        <w:t>In addition, OOD has assisted 52 Team Members with disabilities to maintain employmen</w:t>
      </w:r>
      <w:r w:rsidR="003B2C8F">
        <w:t>t by addressing accommodation or other support needs</w:t>
      </w:r>
      <w:r w:rsidR="006C1508">
        <w:t>.</w:t>
      </w:r>
      <w:r w:rsidR="005039FD">
        <w:t xml:space="preserve"> </w:t>
      </w:r>
    </w:p>
    <w:p w:rsidR="004A366E" w:rsidRDefault="004A366E" w:rsidP="00DE5B90">
      <w:pPr>
        <w:ind w:left="270"/>
        <w:jc w:val="both"/>
      </w:pPr>
    </w:p>
    <w:p w:rsidR="004A366E" w:rsidRDefault="004A366E" w:rsidP="00DE5B90">
      <w:pPr>
        <w:ind w:left="270"/>
        <w:jc w:val="both"/>
      </w:pPr>
      <w:r w:rsidRPr="004A366E">
        <w:rPr>
          <w:b/>
        </w:rPr>
        <w:t>OSU/OSU Wexner Medical Center:</w:t>
      </w:r>
      <w:r>
        <w:t xml:space="preserve"> </w:t>
      </w:r>
      <w:r w:rsidR="000C6869">
        <w:t>From</w:t>
      </w:r>
      <w:r>
        <w:t xml:space="preserve"> April</w:t>
      </w:r>
      <w:r w:rsidR="000C6869">
        <w:t xml:space="preserve"> – October </w:t>
      </w:r>
      <w:r>
        <w:t>2019, OOD’s TSC assigned to The Ohio State University and The Ohio State University Wexner Medical Center</w:t>
      </w:r>
      <w:r w:rsidRPr="004A366E">
        <w:t xml:space="preserve"> </w:t>
      </w:r>
      <w:r>
        <w:t>has assisted 11 individuals to obtain employment:</w:t>
      </w:r>
      <w:r w:rsidRPr="004A366E">
        <w:t xml:space="preserve"> </w:t>
      </w:r>
      <w:r>
        <w:t>eight</w:t>
      </w:r>
      <w:r w:rsidRPr="004A366E">
        <w:t xml:space="preserve"> at OSUWMC and </w:t>
      </w:r>
      <w:r>
        <w:t>three</w:t>
      </w:r>
      <w:r w:rsidRPr="004A366E">
        <w:t xml:space="preserve"> at OSU. This brings the total since the be</w:t>
      </w:r>
      <w:r>
        <w:t>ginning of the partnership</w:t>
      </w:r>
      <w:r w:rsidR="000C6869">
        <w:t xml:space="preserve"> (April 2017)</w:t>
      </w:r>
      <w:r>
        <w:t xml:space="preserve"> to 55</w:t>
      </w:r>
      <w:r w:rsidRPr="004A366E">
        <w:t xml:space="preserve">. The average wage for hires since April is $14.14/hr. and the average hours worked is 37.5. </w:t>
      </w:r>
    </w:p>
    <w:p w:rsidR="00D46FA4" w:rsidRDefault="00D46FA4" w:rsidP="007142DD">
      <w:pPr>
        <w:jc w:val="both"/>
      </w:pPr>
    </w:p>
    <w:p w:rsidR="00E247DC" w:rsidRDefault="00E247DC" w:rsidP="004F2E79">
      <w:pPr>
        <w:jc w:val="both"/>
        <w:rPr>
          <w:b/>
        </w:rPr>
      </w:pPr>
      <w:r>
        <w:rPr>
          <w:b/>
        </w:rPr>
        <w:t>Ohio College 2 Careers</w:t>
      </w:r>
    </w:p>
    <w:p w:rsidR="00E247DC" w:rsidRPr="00E247DC" w:rsidRDefault="00E247DC" w:rsidP="004F2E79">
      <w:pPr>
        <w:jc w:val="both"/>
      </w:pPr>
      <w:r w:rsidRPr="00E247DC">
        <w:t>To support internship and permanent placement opportunities for college students with disabilies, OOD hired two Career Development Specialist</w:t>
      </w:r>
      <w:r w:rsidR="00DB71BC">
        <w:t>s</w:t>
      </w:r>
      <w:r w:rsidRPr="00E247DC">
        <w:t xml:space="preserve"> (CDS</w:t>
      </w:r>
      <w:r w:rsidR="00DB71BC">
        <w:t>s</w:t>
      </w:r>
      <w:r w:rsidRPr="00E247DC">
        <w:t>) in October. The CDS will be a liaison between vocational rehabilitation staff and the college career services offices</w:t>
      </w:r>
      <w:r w:rsidR="00DB71BC">
        <w:t xml:space="preserve"> to facilitate connections with OOD’s network of Employer Partners</w:t>
      </w:r>
      <w:r w:rsidRPr="00E247DC">
        <w:t>.  The CDSs are meeting with colleges and univer</w:t>
      </w:r>
      <w:r w:rsidR="00DB71BC">
        <w:t xml:space="preserve">sities and their counterpart counselors </w:t>
      </w:r>
      <w:r w:rsidRPr="00E247DC">
        <w:t xml:space="preserve">on campuses.  </w:t>
      </w:r>
    </w:p>
    <w:p w:rsidR="00E247DC" w:rsidRDefault="00E247DC" w:rsidP="004F2E79">
      <w:pPr>
        <w:jc w:val="both"/>
        <w:rPr>
          <w:b/>
        </w:rPr>
      </w:pPr>
    </w:p>
    <w:p w:rsidR="00784502" w:rsidRDefault="00784502" w:rsidP="004F2E79">
      <w:pPr>
        <w:jc w:val="both"/>
        <w:rPr>
          <w:b/>
        </w:rPr>
      </w:pPr>
      <w:r>
        <w:rPr>
          <w:b/>
        </w:rPr>
        <w:t>Vocational Apprentice Program</w:t>
      </w:r>
    </w:p>
    <w:p w:rsidR="001778DA" w:rsidRPr="001778DA" w:rsidRDefault="006C1508" w:rsidP="001778DA">
      <w:r>
        <w:t xml:space="preserve">OOD’s Vocational Apprentice program </w:t>
      </w:r>
      <w:r w:rsidR="00E247DC">
        <w:t xml:space="preserve">provides </w:t>
      </w:r>
      <w:r>
        <w:t xml:space="preserve">opportunities for </w:t>
      </w:r>
      <w:r w:rsidR="00E247DC">
        <w:t>individuals with</w:t>
      </w:r>
      <w:r>
        <w:t xml:space="preserve"> disabilities to gain work experience, exposure and access to state government employment through paid apprenticeships with state agencies. To date,</w:t>
      </w:r>
      <w:r w:rsidR="001778DA" w:rsidRPr="001778DA">
        <w:t xml:space="preserve"> OOD’s Business Relations Specialist has met with 26</w:t>
      </w:r>
      <w:r w:rsidR="00E247DC">
        <w:t xml:space="preserve"> state</w:t>
      </w:r>
      <w:r w:rsidR="001778DA" w:rsidRPr="001778DA">
        <w:t xml:space="preserve"> agencies </w:t>
      </w:r>
      <w:r w:rsidR="00E247DC">
        <w:t>to identify possible apprenticeship opportunities</w:t>
      </w:r>
      <w:r w:rsidR="001778DA" w:rsidRPr="001778DA">
        <w:t>. Seven applications are currently pending. Interviews are pending with the Department</w:t>
      </w:r>
      <w:r w:rsidR="001778DA">
        <w:t>s</w:t>
      </w:r>
      <w:r w:rsidR="001778DA" w:rsidRPr="001778DA">
        <w:t xml:space="preserve"> of </w:t>
      </w:r>
      <w:r w:rsidR="001778DA" w:rsidRPr="001778DA">
        <w:t>Developmental Disabilities</w:t>
      </w:r>
      <w:r w:rsidR="001778DA">
        <w:t xml:space="preserve">, </w:t>
      </w:r>
      <w:r w:rsidR="001778DA" w:rsidRPr="001778DA">
        <w:t>Medicaid</w:t>
      </w:r>
      <w:r w:rsidR="001778DA">
        <w:t>,</w:t>
      </w:r>
      <w:r w:rsidR="001778DA" w:rsidRPr="001778DA">
        <w:t xml:space="preserve"> Public Safety</w:t>
      </w:r>
      <w:r w:rsidR="001778DA">
        <w:t>,</w:t>
      </w:r>
      <w:r w:rsidR="001778DA" w:rsidRPr="001778DA">
        <w:t xml:space="preserve"> </w:t>
      </w:r>
      <w:r w:rsidR="001778DA">
        <w:t xml:space="preserve">and </w:t>
      </w:r>
      <w:r w:rsidR="001778DA" w:rsidRPr="001778DA">
        <w:t>Rehabilitation and Correction</w:t>
      </w:r>
      <w:r w:rsidR="001778DA">
        <w:t>; the</w:t>
      </w:r>
      <w:r w:rsidR="001778DA" w:rsidRPr="001778DA">
        <w:t xml:space="preserve"> Development Services Agency, and the Governor’s Office. Five offers have been made by the Departments of Admini</w:t>
      </w:r>
      <w:r w:rsidR="001778DA">
        <w:t>strative Services, Agriculture</w:t>
      </w:r>
      <w:r w:rsidR="00E247DC">
        <w:t>,</w:t>
      </w:r>
      <w:r w:rsidR="001778DA">
        <w:t xml:space="preserve"> and </w:t>
      </w:r>
      <w:r w:rsidR="001778DA" w:rsidRPr="001778DA">
        <w:t>Medicaid</w:t>
      </w:r>
      <w:r w:rsidR="001778DA">
        <w:t xml:space="preserve">; the </w:t>
      </w:r>
      <w:r w:rsidR="001778DA" w:rsidRPr="001778DA">
        <w:t xml:space="preserve">Environmental Protection Agency, </w:t>
      </w:r>
      <w:r w:rsidR="001778DA">
        <w:t xml:space="preserve">and the </w:t>
      </w:r>
      <w:r w:rsidR="001778DA" w:rsidRPr="001778DA">
        <w:t xml:space="preserve">Office of </w:t>
      </w:r>
      <w:r w:rsidR="00E247DC">
        <w:t xml:space="preserve">Budget and </w:t>
      </w:r>
      <w:r w:rsidR="001778DA" w:rsidRPr="001778DA">
        <w:t>Management</w:t>
      </w:r>
      <w:r w:rsidR="001778DA">
        <w:t>,</w:t>
      </w:r>
      <w:r w:rsidR="001778DA" w:rsidRPr="001778DA">
        <w:t xml:space="preserve"> </w:t>
      </w:r>
      <w:r w:rsidR="001778DA" w:rsidRPr="001778DA">
        <w:t>contingent on background checks. A vocational apprentice has been working as a graphic designer at the Department of Aging since June 2019.</w:t>
      </w:r>
    </w:p>
    <w:p w:rsidR="00D46FA4" w:rsidRDefault="00D46FA4" w:rsidP="004F2E79">
      <w:pPr>
        <w:jc w:val="both"/>
      </w:pPr>
    </w:p>
    <w:p w:rsidR="00D46FA4" w:rsidRPr="00AD0D20" w:rsidRDefault="00500D26" w:rsidP="004F2E79">
      <w:pPr>
        <w:jc w:val="both"/>
        <w:rPr>
          <w:b/>
        </w:rPr>
      </w:pPr>
      <w:r>
        <w:rPr>
          <w:b/>
        </w:rPr>
        <w:t>National Disability Employment Awareness Month (NDEAM) Job Fairs</w:t>
      </w:r>
    </w:p>
    <w:p w:rsidR="00DB71BC" w:rsidRDefault="00F70364" w:rsidP="00500D26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OOD hosted its five regional job fairs in recognition of National Disability Employment Awareness Month (NDEAM) in October.</w:t>
      </w:r>
      <w:r w:rsidR="00DE5B90">
        <w:rPr>
          <w:color w:val="000000"/>
          <w:shd w:val="clear" w:color="auto" w:fill="FFFFFF"/>
        </w:rPr>
        <w:t xml:space="preserve"> </w:t>
      </w:r>
      <w:r w:rsidR="001778DA">
        <w:rPr>
          <w:color w:val="000000"/>
          <w:shd w:val="clear" w:color="auto" w:fill="FFFFFF"/>
        </w:rPr>
        <w:t>Thank you to the OOD Council members who participated</w:t>
      </w:r>
      <w:r w:rsidR="001778DA">
        <w:rPr>
          <w:color w:val="000000"/>
          <w:shd w:val="clear" w:color="auto" w:fill="FFFFFF"/>
        </w:rPr>
        <w:t xml:space="preserve">! </w:t>
      </w:r>
      <w:r w:rsidR="00DE5B90">
        <w:rPr>
          <w:color w:val="000000"/>
          <w:shd w:val="clear" w:color="auto" w:fill="FFFFFF"/>
        </w:rPr>
        <w:t>Immediately preceding the job fair, employers participated in an interactive workshop about assistive technology with several devices on display.</w:t>
      </w:r>
      <w:r w:rsidR="001778DA">
        <w:rPr>
          <w:color w:val="000000"/>
          <w:shd w:val="clear" w:color="auto" w:fill="FFFFFF"/>
        </w:rPr>
        <w:t xml:space="preserve"> </w:t>
      </w:r>
      <w:r w:rsidR="003B2C8F">
        <w:rPr>
          <w:color w:val="000000"/>
          <w:shd w:val="clear" w:color="auto" w:fill="FFFFFF"/>
        </w:rPr>
        <w:t xml:space="preserve">Below is a summary of the events. </w:t>
      </w:r>
    </w:p>
    <w:p w:rsidR="00DB71BC" w:rsidRDefault="00DB71BC">
      <w:pPr>
        <w:spacing w:after="160" w:line="259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:rsidR="00500D26" w:rsidRPr="00F70364" w:rsidRDefault="00500D26" w:rsidP="00500D26">
      <w:pPr>
        <w:jc w:val="both"/>
        <w:rPr>
          <w:color w:val="000000"/>
          <w:shd w:val="clear" w:color="auto" w:fill="FFFFFF"/>
        </w:rPr>
        <w:sectPr w:rsidR="00500D26" w:rsidRPr="00F7036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46FA4" w:rsidRDefault="00D46FA4" w:rsidP="00500D26">
      <w:pPr>
        <w:jc w:val="both"/>
        <w:rPr>
          <w:b/>
        </w:rPr>
      </w:pPr>
    </w:p>
    <w:p w:rsidR="003B2C8F" w:rsidRDefault="003B2C8F" w:rsidP="00D75A57">
      <w:pPr>
        <w:shd w:val="clear" w:color="auto" w:fill="000000" w:themeFill="text1"/>
        <w:rPr>
          <w:b/>
          <w:color w:val="FFFFFF" w:themeColor="background1"/>
        </w:rPr>
        <w:sectPr w:rsidR="003B2C8F" w:rsidSect="00F07909">
          <w:type w:val="continuous"/>
          <w:pgSz w:w="12240" w:h="15840"/>
          <w:pgMar w:top="1296" w:right="1296" w:bottom="1296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00"/>
        <w:gridCol w:w="1899"/>
        <w:gridCol w:w="1901"/>
        <w:gridCol w:w="1899"/>
        <w:gridCol w:w="1895"/>
      </w:tblGrid>
      <w:tr w:rsidR="003B2C8F" w:rsidRPr="00A132E2" w:rsidTr="003B2C8F">
        <w:trPr>
          <w:jc w:val="center"/>
        </w:trPr>
        <w:tc>
          <w:tcPr>
            <w:tcW w:w="1001" w:type="pct"/>
            <w:shd w:val="clear" w:color="auto" w:fill="000000" w:themeFill="text1"/>
          </w:tcPr>
          <w:p w:rsidR="003B2C8F" w:rsidRPr="00A132E2" w:rsidRDefault="003B2C8F" w:rsidP="00D75A57">
            <w:pPr>
              <w:shd w:val="clear" w:color="auto" w:fill="000000" w:themeFill="text1"/>
              <w:rPr>
                <w:b/>
                <w:color w:val="FFFFFF" w:themeColor="background1"/>
              </w:rPr>
            </w:pPr>
            <w:r w:rsidRPr="00A132E2">
              <w:rPr>
                <w:b/>
                <w:color w:val="FFFFFF" w:themeColor="background1"/>
              </w:rPr>
              <w:t>Job Fair</w:t>
            </w:r>
          </w:p>
        </w:tc>
        <w:tc>
          <w:tcPr>
            <w:tcW w:w="1000" w:type="pct"/>
            <w:shd w:val="clear" w:color="auto" w:fill="000000" w:themeFill="text1"/>
          </w:tcPr>
          <w:p w:rsidR="003B2C8F" w:rsidRPr="00A132E2" w:rsidRDefault="003B2C8F" w:rsidP="00D75A57">
            <w:pPr>
              <w:shd w:val="clear" w:color="auto" w:fill="000000" w:themeFill="text1"/>
              <w:jc w:val="center"/>
              <w:rPr>
                <w:b/>
                <w:color w:val="FFFFFF" w:themeColor="background1"/>
              </w:rPr>
            </w:pPr>
            <w:r w:rsidRPr="00A132E2">
              <w:rPr>
                <w:b/>
                <w:color w:val="FFFFFF" w:themeColor="background1"/>
              </w:rPr>
              <w:t>Employers</w:t>
            </w:r>
          </w:p>
        </w:tc>
        <w:tc>
          <w:tcPr>
            <w:tcW w:w="1001" w:type="pct"/>
            <w:shd w:val="clear" w:color="auto" w:fill="000000" w:themeFill="text1"/>
          </w:tcPr>
          <w:p w:rsidR="003B2C8F" w:rsidRPr="00A132E2" w:rsidRDefault="003B2C8F" w:rsidP="00D75A57">
            <w:pPr>
              <w:shd w:val="clear" w:color="auto" w:fill="000000" w:themeFill="text1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Seekers</w:t>
            </w:r>
          </w:p>
        </w:tc>
        <w:tc>
          <w:tcPr>
            <w:tcW w:w="1000" w:type="pct"/>
            <w:shd w:val="clear" w:color="auto" w:fill="000000" w:themeFill="text1"/>
          </w:tcPr>
          <w:p w:rsidR="003B2C8F" w:rsidRDefault="003B2C8F" w:rsidP="00D75A57">
            <w:pPr>
              <w:shd w:val="clear" w:color="auto" w:fill="000000" w:themeFill="text1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Providers</w:t>
            </w:r>
          </w:p>
        </w:tc>
        <w:tc>
          <w:tcPr>
            <w:tcW w:w="1000" w:type="pct"/>
            <w:shd w:val="clear" w:color="auto" w:fill="000000" w:themeFill="text1"/>
          </w:tcPr>
          <w:p w:rsidR="003B2C8F" w:rsidRDefault="004A366E" w:rsidP="00D75A57">
            <w:pPr>
              <w:shd w:val="clear" w:color="auto" w:fill="000000" w:themeFill="text1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Job Developers</w:t>
            </w:r>
          </w:p>
        </w:tc>
      </w:tr>
      <w:tr w:rsidR="003B2C8F" w:rsidTr="003B2C8F">
        <w:trPr>
          <w:jc w:val="center"/>
        </w:trPr>
        <w:tc>
          <w:tcPr>
            <w:tcW w:w="1001" w:type="pct"/>
          </w:tcPr>
          <w:p w:rsidR="003B2C8F" w:rsidRPr="003A5DA7" w:rsidRDefault="003B2C8F" w:rsidP="00D75A57">
            <w:r w:rsidRPr="003A5DA7">
              <w:t>Cincinnati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 w:rsidRPr="003A5DA7">
              <w:t>55</w:t>
            </w:r>
          </w:p>
        </w:tc>
        <w:tc>
          <w:tcPr>
            <w:tcW w:w="1001" w:type="pct"/>
          </w:tcPr>
          <w:p w:rsidR="003B2C8F" w:rsidRPr="003A5DA7" w:rsidRDefault="003B2C8F" w:rsidP="00D75A57">
            <w:pPr>
              <w:jc w:val="center"/>
            </w:pPr>
            <w:r w:rsidRPr="003A5DA7">
              <w:t>256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>
              <w:t>20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>
              <w:t>60</w:t>
            </w:r>
          </w:p>
        </w:tc>
      </w:tr>
      <w:tr w:rsidR="003B2C8F" w:rsidTr="003B2C8F">
        <w:trPr>
          <w:jc w:val="center"/>
        </w:trPr>
        <w:tc>
          <w:tcPr>
            <w:tcW w:w="1001" w:type="pct"/>
          </w:tcPr>
          <w:p w:rsidR="003B2C8F" w:rsidRPr="003A5DA7" w:rsidRDefault="003B2C8F" w:rsidP="00D75A57">
            <w:r w:rsidRPr="003A5DA7">
              <w:t>Columbus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>
              <w:t>65</w:t>
            </w:r>
          </w:p>
        </w:tc>
        <w:tc>
          <w:tcPr>
            <w:tcW w:w="1001" w:type="pct"/>
          </w:tcPr>
          <w:p w:rsidR="003B2C8F" w:rsidRPr="003A5DA7" w:rsidRDefault="003B2C8F" w:rsidP="00D75A57">
            <w:pPr>
              <w:jc w:val="center"/>
            </w:pPr>
            <w:r>
              <w:t>161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>
              <w:t>14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>
              <w:t>37</w:t>
            </w:r>
          </w:p>
        </w:tc>
      </w:tr>
      <w:tr w:rsidR="003B2C8F" w:rsidTr="003B2C8F">
        <w:trPr>
          <w:jc w:val="center"/>
        </w:trPr>
        <w:tc>
          <w:tcPr>
            <w:tcW w:w="1001" w:type="pct"/>
          </w:tcPr>
          <w:p w:rsidR="003B2C8F" w:rsidRPr="003A5DA7" w:rsidRDefault="003B2C8F" w:rsidP="00D75A57">
            <w:r w:rsidRPr="003A5DA7">
              <w:t>Toledo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 w:rsidRPr="003A5DA7">
              <w:t>29</w:t>
            </w:r>
          </w:p>
        </w:tc>
        <w:tc>
          <w:tcPr>
            <w:tcW w:w="1001" w:type="pct"/>
          </w:tcPr>
          <w:p w:rsidR="003B2C8F" w:rsidRPr="003A5DA7" w:rsidRDefault="003B2C8F" w:rsidP="00D75A57">
            <w:pPr>
              <w:jc w:val="center"/>
            </w:pPr>
            <w:r>
              <w:t>114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>
              <w:t>10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>
              <w:t>33</w:t>
            </w:r>
          </w:p>
        </w:tc>
      </w:tr>
      <w:tr w:rsidR="003B2C8F" w:rsidTr="003B2C8F">
        <w:trPr>
          <w:jc w:val="center"/>
        </w:trPr>
        <w:tc>
          <w:tcPr>
            <w:tcW w:w="1001" w:type="pct"/>
          </w:tcPr>
          <w:p w:rsidR="003B2C8F" w:rsidRPr="003A5DA7" w:rsidRDefault="003B2C8F" w:rsidP="00D75A57">
            <w:r w:rsidRPr="003A5DA7">
              <w:t>Canton/Akron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 w:rsidRPr="003A5DA7">
              <w:t>31</w:t>
            </w:r>
          </w:p>
        </w:tc>
        <w:tc>
          <w:tcPr>
            <w:tcW w:w="1001" w:type="pct"/>
          </w:tcPr>
          <w:p w:rsidR="003B2C8F" w:rsidRPr="003A5DA7" w:rsidRDefault="003B2C8F" w:rsidP="00D75A57">
            <w:pPr>
              <w:jc w:val="center"/>
            </w:pPr>
            <w:r w:rsidRPr="003A5DA7">
              <w:t>92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>
              <w:t>21</w:t>
            </w:r>
          </w:p>
        </w:tc>
        <w:tc>
          <w:tcPr>
            <w:tcW w:w="1000" w:type="pct"/>
          </w:tcPr>
          <w:p w:rsidR="003B2C8F" w:rsidRPr="003A5DA7" w:rsidRDefault="003B2C8F" w:rsidP="00D75A57">
            <w:pPr>
              <w:jc w:val="center"/>
            </w:pPr>
            <w:r>
              <w:t>39</w:t>
            </w:r>
          </w:p>
        </w:tc>
      </w:tr>
      <w:tr w:rsidR="003B2C8F" w:rsidTr="003B2C8F">
        <w:trPr>
          <w:jc w:val="center"/>
        </w:trPr>
        <w:tc>
          <w:tcPr>
            <w:tcW w:w="1001" w:type="pct"/>
            <w:tcBorders>
              <w:bottom w:val="single" w:sz="12" w:space="0" w:color="auto"/>
            </w:tcBorders>
          </w:tcPr>
          <w:p w:rsidR="003B2C8F" w:rsidRPr="003A5DA7" w:rsidRDefault="003B2C8F" w:rsidP="00D75A57">
            <w:r w:rsidRPr="003A5DA7">
              <w:t>Cleveland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3B2C8F" w:rsidRPr="003A5DA7" w:rsidRDefault="003B2C8F" w:rsidP="00D75A57">
            <w:pPr>
              <w:jc w:val="center"/>
            </w:pPr>
            <w:r>
              <w:t>39</w:t>
            </w:r>
          </w:p>
        </w:tc>
        <w:tc>
          <w:tcPr>
            <w:tcW w:w="1001" w:type="pct"/>
            <w:tcBorders>
              <w:bottom w:val="single" w:sz="12" w:space="0" w:color="auto"/>
            </w:tcBorders>
          </w:tcPr>
          <w:p w:rsidR="003B2C8F" w:rsidRPr="003A5DA7" w:rsidRDefault="003B2C8F" w:rsidP="00D75A57">
            <w:pPr>
              <w:jc w:val="center"/>
            </w:pPr>
            <w:r>
              <w:t>159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3B2C8F" w:rsidRPr="003A5DA7" w:rsidRDefault="003B2C8F" w:rsidP="00D75A57">
            <w:pPr>
              <w:jc w:val="center"/>
            </w:pPr>
            <w:r>
              <w:t>13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3B2C8F" w:rsidRPr="003A5DA7" w:rsidRDefault="003B2C8F" w:rsidP="00D75A57">
            <w:pPr>
              <w:jc w:val="center"/>
            </w:pPr>
            <w:r>
              <w:t>30</w:t>
            </w:r>
          </w:p>
        </w:tc>
      </w:tr>
      <w:tr w:rsidR="003B2C8F" w:rsidTr="003B2C8F">
        <w:trPr>
          <w:trHeight w:val="296"/>
          <w:jc w:val="center"/>
        </w:trPr>
        <w:tc>
          <w:tcPr>
            <w:tcW w:w="1001" w:type="pct"/>
            <w:tcBorders>
              <w:top w:val="single" w:sz="12" w:space="0" w:color="auto"/>
            </w:tcBorders>
          </w:tcPr>
          <w:p w:rsidR="003B2C8F" w:rsidRPr="003A5DA7" w:rsidRDefault="003B2C8F" w:rsidP="00D75A57">
            <w:pPr>
              <w:rPr>
                <w:b/>
              </w:rPr>
            </w:pPr>
            <w:r w:rsidRPr="003A5DA7">
              <w:rPr>
                <w:b/>
              </w:rPr>
              <w:t>Total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3B2C8F" w:rsidRPr="003A5DA7" w:rsidRDefault="003B2C8F" w:rsidP="00D75A57">
            <w:pPr>
              <w:jc w:val="center"/>
              <w:rPr>
                <w:b/>
              </w:rPr>
            </w:pPr>
            <w:r w:rsidRPr="005F4F99">
              <w:rPr>
                <w:b/>
              </w:rPr>
              <w:t>219*</w:t>
            </w:r>
          </w:p>
        </w:tc>
        <w:tc>
          <w:tcPr>
            <w:tcW w:w="1001" w:type="pct"/>
            <w:tcBorders>
              <w:top w:val="single" w:sz="12" w:space="0" w:color="auto"/>
            </w:tcBorders>
          </w:tcPr>
          <w:p w:rsidR="003B2C8F" w:rsidRPr="003A5DA7" w:rsidRDefault="003B2C8F" w:rsidP="00D75A57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3B2C8F" w:rsidRPr="003A5DA7" w:rsidRDefault="003B2C8F" w:rsidP="00D75A5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3B2C8F" w:rsidRPr="003A5DA7" w:rsidRDefault="003B2C8F" w:rsidP="00D75A57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</w:tbl>
    <w:p w:rsidR="003B2C8F" w:rsidRDefault="003B2C8F" w:rsidP="00500D26">
      <w:pPr>
        <w:jc w:val="both"/>
        <w:sectPr w:rsidR="003B2C8F" w:rsidSect="003B2C8F">
          <w:type w:val="continuous"/>
          <w:pgSz w:w="12240" w:h="15840"/>
          <w:pgMar w:top="1296" w:right="1296" w:bottom="1296" w:left="1440" w:header="720" w:footer="720" w:gutter="0"/>
          <w:cols w:space="720"/>
          <w:docGrid w:linePitch="360"/>
        </w:sectPr>
      </w:pPr>
    </w:p>
    <w:p w:rsidR="003B2C8F" w:rsidRPr="009A076A" w:rsidRDefault="003B2C8F" w:rsidP="003B2C8F">
      <w:pPr>
        <w:rPr>
          <w:b/>
        </w:rPr>
      </w:pPr>
      <w:r>
        <w:rPr>
          <w:b/>
        </w:rPr>
        <w:t>*Unique Employers: 172</w:t>
      </w:r>
    </w:p>
    <w:p w:rsidR="004A366E" w:rsidRDefault="004A366E" w:rsidP="00500D26">
      <w:pPr>
        <w:jc w:val="both"/>
      </w:pPr>
    </w:p>
    <w:sectPr w:rsidR="004A366E" w:rsidSect="00F07909">
      <w:type w:val="continuous"/>
      <w:pgSz w:w="12240" w:h="15840"/>
      <w:pgMar w:top="1296" w:right="1296" w:bottom="129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12" w:rsidRDefault="001A0512" w:rsidP="000703DE">
      <w:r>
        <w:separator/>
      </w:r>
    </w:p>
  </w:endnote>
  <w:endnote w:type="continuationSeparator" w:id="0">
    <w:p w:rsidR="001A0512" w:rsidRDefault="001A0512" w:rsidP="000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066" w:rsidRPr="00DA3066" w:rsidRDefault="006C1508">
    <w:pPr>
      <w:pStyle w:val="Footer"/>
      <w:rPr>
        <w:sz w:val="20"/>
      </w:rPr>
    </w:pPr>
    <w:r>
      <w:rPr>
        <w:sz w:val="20"/>
      </w:rPr>
      <w:t>November 13,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12" w:rsidRDefault="001A0512" w:rsidP="000703DE">
      <w:r>
        <w:separator/>
      </w:r>
    </w:p>
  </w:footnote>
  <w:footnote w:type="continuationSeparator" w:id="0">
    <w:p w:rsidR="001A0512" w:rsidRDefault="001A0512" w:rsidP="0007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3DE" w:rsidRPr="000703DE" w:rsidRDefault="000703DE" w:rsidP="000703DE">
    <w:pPr>
      <w:pStyle w:val="Header"/>
    </w:pPr>
    <w:r>
      <w:rPr>
        <w:noProof/>
      </w:rPr>
      <w:drawing>
        <wp:inline distT="0" distB="0" distL="0" distR="0" wp14:anchorId="114EF547" wp14:editId="1D245473">
          <wp:extent cx="2681578" cy="811530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OOD medium w-bureaus and names_left justif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953" cy="83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5FC"/>
    <w:multiLevelType w:val="hybridMultilevel"/>
    <w:tmpl w:val="454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026"/>
    <w:multiLevelType w:val="hybridMultilevel"/>
    <w:tmpl w:val="A83A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06E54"/>
    <w:multiLevelType w:val="hybridMultilevel"/>
    <w:tmpl w:val="BBC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1749"/>
    <w:multiLevelType w:val="hybridMultilevel"/>
    <w:tmpl w:val="215A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F3410"/>
    <w:multiLevelType w:val="hybridMultilevel"/>
    <w:tmpl w:val="FBC2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0E62"/>
    <w:multiLevelType w:val="hybridMultilevel"/>
    <w:tmpl w:val="E6D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4"/>
    <w:rsid w:val="00017EE3"/>
    <w:rsid w:val="00025761"/>
    <w:rsid w:val="00041D77"/>
    <w:rsid w:val="000703DE"/>
    <w:rsid w:val="0007507D"/>
    <w:rsid w:val="000C6869"/>
    <w:rsid w:val="001778DA"/>
    <w:rsid w:val="001A0512"/>
    <w:rsid w:val="002F4092"/>
    <w:rsid w:val="003B2C8F"/>
    <w:rsid w:val="004A366E"/>
    <w:rsid w:val="004F2E79"/>
    <w:rsid w:val="00500D26"/>
    <w:rsid w:val="005039FD"/>
    <w:rsid w:val="005736CE"/>
    <w:rsid w:val="005D70F1"/>
    <w:rsid w:val="006C1508"/>
    <w:rsid w:val="007142DD"/>
    <w:rsid w:val="00784502"/>
    <w:rsid w:val="008034A8"/>
    <w:rsid w:val="0083069C"/>
    <w:rsid w:val="00AD0D20"/>
    <w:rsid w:val="00CE4371"/>
    <w:rsid w:val="00D46FA4"/>
    <w:rsid w:val="00DA3066"/>
    <w:rsid w:val="00DB71BC"/>
    <w:rsid w:val="00DE5B90"/>
    <w:rsid w:val="00E247DC"/>
    <w:rsid w:val="00F07909"/>
    <w:rsid w:val="00F23490"/>
    <w:rsid w:val="00F70364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2E42"/>
  <w15:chartTrackingRefBased/>
  <w15:docId w15:val="{13967CF2-1C5C-4926-BF7D-7A2A77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A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gdp">
    <w:name w:val="gd_p"/>
    <w:basedOn w:val="Normal"/>
    <w:uiPriority w:val="99"/>
    <w:semiHidden/>
    <w:rsid w:val="00D46F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F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3D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0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3D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AD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0D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D0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F2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Ballinger</dc:creator>
  <cp:keywords/>
  <dc:description/>
  <cp:lastModifiedBy>Kristen Ballinger</cp:lastModifiedBy>
  <cp:revision>4</cp:revision>
  <dcterms:created xsi:type="dcterms:W3CDTF">2019-11-06T14:47:00Z</dcterms:created>
  <dcterms:modified xsi:type="dcterms:W3CDTF">2019-11-06T18:25:00Z</dcterms:modified>
</cp:coreProperties>
</file>