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8B13" w14:textId="77777777" w:rsidR="00305382" w:rsidRDefault="00DD4545" w:rsidP="004F19BD">
      <w:r>
        <w:t xml:space="preserve"> </w:t>
      </w:r>
      <w:r w:rsidR="007648A4">
        <w:rPr>
          <w:noProof/>
        </w:rPr>
        <w:drawing>
          <wp:inline distT="0" distB="0" distL="0" distR="0" wp14:anchorId="761DA620" wp14:editId="6A7B0871">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Pr>
          <w:noProof/>
        </w:rPr>
        <mc:AlternateContent>
          <mc:Choice Requires="wps">
            <w:drawing>
              <wp:anchor distT="0" distB="0" distL="114300" distR="114300" simplePos="0" relativeHeight="251657728" behindDoc="0" locked="0" layoutInCell="1" allowOverlap="1" wp14:anchorId="0CFFC9C5" wp14:editId="4BEC4190">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C9C5"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" stroked="f">
                <v:textbo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v:textbox>
                <w10:wrap type="topAndBottom"/>
              </v:shape>
            </w:pict>
          </mc:Fallback>
        </mc:AlternateContent>
      </w:r>
    </w:p>
    <w:p w14:paraId="279A12A6" w14:textId="77777777" w:rsidR="00F22E42" w:rsidRDefault="00F22E42" w:rsidP="00D761D2">
      <w:pPr>
        <w:tabs>
          <w:tab w:val="left" w:pos="3936"/>
        </w:tabs>
        <w:jc w:val="center"/>
        <w:rPr>
          <w:rFonts w:ascii="Arial" w:hAnsi="Arial" w:cs="Arial"/>
          <w:b/>
        </w:rPr>
      </w:pPr>
    </w:p>
    <w:p w14:paraId="5CCA2D5D" w14:textId="77777777" w:rsidR="00C332F7" w:rsidRDefault="00C332F7" w:rsidP="00D761D2">
      <w:pPr>
        <w:tabs>
          <w:tab w:val="left" w:pos="3936"/>
        </w:tabs>
        <w:jc w:val="center"/>
        <w:rPr>
          <w:rFonts w:ascii="Arial" w:hAnsi="Arial" w:cs="Arial"/>
          <w:b/>
        </w:rPr>
      </w:pPr>
      <w:r>
        <w:rPr>
          <w:rFonts w:ascii="Arial" w:hAnsi="Arial" w:cs="Arial"/>
          <w:b/>
        </w:rPr>
        <w:t>Bureau of Vocational Rehabilitation</w:t>
      </w:r>
    </w:p>
    <w:p w14:paraId="533B386D" w14:textId="2C5747F5" w:rsidR="00C332F7" w:rsidRDefault="00AD445C" w:rsidP="00C332F7">
      <w:pPr>
        <w:tabs>
          <w:tab w:val="left" w:pos="3936"/>
        </w:tabs>
        <w:jc w:val="center"/>
        <w:rPr>
          <w:rFonts w:ascii="Arial" w:hAnsi="Arial" w:cs="Arial"/>
          <w:b/>
        </w:rPr>
      </w:pPr>
      <w:r>
        <w:rPr>
          <w:rFonts w:ascii="Arial" w:hAnsi="Arial" w:cs="Arial"/>
          <w:b/>
        </w:rPr>
        <w:t xml:space="preserve">OOD Council Briefing- </w:t>
      </w:r>
      <w:r w:rsidR="008112D8">
        <w:rPr>
          <w:rFonts w:ascii="Arial" w:hAnsi="Arial" w:cs="Arial"/>
          <w:b/>
        </w:rPr>
        <w:t>May 6</w:t>
      </w:r>
      <w:r w:rsidR="003840DF">
        <w:rPr>
          <w:rFonts w:ascii="Arial" w:hAnsi="Arial" w:cs="Arial"/>
          <w:b/>
        </w:rPr>
        <w:t>,</w:t>
      </w:r>
      <w:r w:rsidR="00C332F7">
        <w:rPr>
          <w:rFonts w:ascii="Arial" w:hAnsi="Arial" w:cs="Arial"/>
          <w:b/>
        </w:rPr>
        <w:t xml:space="preserve"> 20</w:t>
      </w:r>
      <w:r w:rsidR="00207D0B">
        <w:rPr>
          <w:rFonts w:ascii="Arial" w:hAnsi="Arial" w:cs="Arial"/>
          <w:b/>
        </w:rPr>
        <w:t>20</w:t>
      </w:r>
    </w:p>
    <w:p w14:paraId="21F0A02A" w14:textId="77777777" w:rsidR="00C332F7" w:rsidRDefault="00C332F7" w:rsidP="00C332F7">
      <w:pPr>
        <w:tabs>
          <w:tab w:val="left" w:pos="3936"/>
        </w:tabs>
        <w:jc w:val="center"/>
        <w:rPr>
          <w:rFonts w:ascii="Arial" w:hAnsi="Arial" w:cs="Arial"/>
          <w:b/>
        </w:rPr>
      </w:pPr>
    </w:p>
    <w:p w14:paraId="273D3AAF" w14:textId="7B1739F5" w:rsidR="004B1EB4" w:rsidRDefault="004B1EB4" w:rsidP="00F5661C">
      <w:pPr>
        <w:tabs>
          <w:tab w:val="left" w:pos="3936"/>
        </w:tabs>
        <w:jc w:val="both"/>
        <w:rPr>
          <w:rFonts w:ascii="Arial" w:hAnsi="Arial" w:cs="Arial"/>
        </w:rPr>
      </w:pPr>
      <w:r>
        <w:rPr>
          <w:rFonts w:ascii="Arial" w:hAnsi="Arial" w:cs="Arial"/>
          <w:b/>
        </w:rPr>
        <w:t>Program Performance:</w:t>
      </w:r>
      <w:r w:rsidR="00391F07">
        <w:rPr>
          <w:rFonts w:ascii="Arial" w:hAnsi="Arial" w:cs="Arial"/>
          <w:b/>
        </w:rPr>
        <w:t xml:space="preserve">  </w:t>
      </w:r>
      <w:r w:rsidR="00391F07" w:rsidRPr="00391F07">
        <w:rPr>
          <w:rFonts w:ascii="Arial" w:hAnsi="Arial" w:cs="Arial"/>
        </w:rPr>
        <w:t>The following t</w:t>
      </w:r>
      <w:r w:rsidR="00391F07">
        <w:rPr>
          <w:rFonts w:ascii="Arial" w:hAnsi="Arial" w:cs="Arial"/>
        </w:rPr>
        <w:t xml:space="preserve">able summarizes </w:t>
      </w:r>
      <w:r w:rsidR="00317D9C">
        <w:rPr>
          <w:rFonts w:ascii="Arial" w:hAnsi="Arial" w:cs="Arial"/>
        </w:rPr>
        <w:t>Feder</w:t>
      </w:r>
      <w:r w:rsidR="009A5DED">
        <w:rPr>
          <w:rFonts w:ascii="Arial" w:hAnsi="Arial" w:cs="Arial"/>
        </w:rPr>
        <w:t>al Fiscal Year 20</w:t>
      </w:r>
      <w:r w:rsidR="00A61930">
        <w:rPr>
          <w:rFonts w:ascii="Arial" w:hAnsi="Arial" w:cs="Arial"/>
        </w:rPr>
        <w:t>20</w:t>
      </w:r>
      <w:r w:rsidR="007A493E">
        <w:rPr>
          <w:rFonts w:ascii="Arial" w:hAnsi="Arial" w:cs="Arial"/>
        </w:rPr>
        <w:t xml:space="preserve"> per</w:t>
      </w:r>
      <w:r w:rsidR="00391F07">
        <w:rPr>
          <w:rFonts w:ascii="Arial" w:hAnsi="Arial" w:cs="Arial"/>
        </w:rPr>
        <w:t>formance</w:t>
      </w:r>
      <w:r w:rsidR="00B537B5">
        <w:rPr>
          <w:rFonts w:ascii="Arial" w:hAnsi="Arial" w:cs="Arial"/>
        </w:rPr>
        <w:t xml:space="preserve"> </w:t>
      </w:r>
      <w:r w:rsidR="00391F07">
        <w:rPr>
          <w:rFonts w:ascii="Arial" w:hAnsi="Arial" w:cs="Arial"/>
        </w:rPr>
        <w:t>for the Vocational Rehabilitation</w:t>
      </w:r>
      <w:r w:rsidR="009A5DED">
        <w:rPr>
          <w:rFonts w:ascii="Arial" w:hAnsi="Arial" w:cs="Arial"/>
        </w:rPr>
        <w:t xml:space="preserve"> (VR)</w:t>
      </w:r>
      <w:r w:rsidR="00391F07">
        <w:rPr>
          <w:rFonts w:ascii="Arial" w:hAnsi="Arial" w:cs="Arial"/>
        </w:rPr>
        <w:t xml:space="preserve"> program</w:t>
      </w:r>
      <w:r w:rsidR="003C605B">
        <w:rPr>
          <w:rFonts w:ascii="Arial" w:hAnsi="Arial" w:cs="Arial"/>
        </w:rPr>
        <w:t>:</w:t>
      </w:r>
    </w:p>
    <w:p w14:paraId="730113BA" w14:textId="77777777" w:rsidR="000257F5" w:rsidRDefault="000257F5" w:rsidP="00F5661C">
      <w:pPr>
        <w:tabs>
          <w:tab w:val="left" w:pos="3936"/>
        </w:tabs>
        <w:jc w:val="both"/>
        <w:rPr>
          <w:rFonts w:ascii="Arial" w:hAnsi="Arial" w:cs="Arial"/>
        </w:rPr>
      </w:pPr>
    </w:p>
    <w:tbl>
      <w:tblPr>
        <w:tblW w:w="7695" w:type="dxa"/>
        <w:tblInd w:w="827" w:type="dxa"/>
        <w:tblLook w:val="04A0" w:firstRow="1" w:lastRow="0" w:firstColumn="1" w:lastColumn="0" w:noHBand="0" w:noVBand="1"/>
      </w:tblPr>
      <w:tblGrid>
        <w:gridCol w:w="2295"/>
        <w:gridCol w:w="2070"/>
        <w:gridCol w:w="2070"/>
        <w:gridCol w:w="1260"/>
      </w:tblGrid>
      <w:tr w:rsidR="006A24F2" w14:paraId="4D44629F" w14:textId="77777777" w:rsidTr="00391F07">
        <w:trPr>
          <w:trHeight w:val="600"/>
        </w:trPr>
        <w:tc>
          <w:tcPr>
            <w:tcW w:w="2295"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0B5EC3B4" w14:textId="1C89A8D2" w:rsidR="006A24F2" w:rsidRPr="007A493E" w:rsidRDefault="006A24F2" w:rsidP="006A24F2">
            <w:pPr>
              <w:jc w:val="both"/>
              <w:rPr>
                <w:rFonts w:ascii="Arial" w:hAnsi="Arial" w:cs="Arial"/>
                <w:b/>
                <w:bCs/>
                <w:color w:val="000000"/>
              </w:rPr>
            </w:pPr>
            <w:r w:rsidRPr="007A493E">
              <w:rPr>
                <w:rFonts w:ascii="Arial" w:hAnsi="Arial" w:cs="Arial"/>
                <w:b/>
                <w:bCs/>
                <w:color w:val="000000"/>
              </w:rPr>
              <w:t>Metric</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4D86910E" w14:textId="681E5063" w:rsidR="006A24F2" w:rsidRPr="007A493E" w:rsidRDefault="006A24F2" w:rsidP="006A24F2">
            <w:pPr>
              <w:jc w:val="both"/>
              <w:rPr>
                <w:rFonts w:ascii="Arial" w:hAnsi="Arial" w:cs="Arial"/>
                <w:b/>
                <w:bCs/>
                <w:color w:val="000000"/>
              </w:rPr>
            </w:pPr>
            <w:r w:rsidRPr="007A493E">
              <w:rPr>
                <w:rFonts w:ascii="Arial" w:hAnsi="Arial" w:cs="Arial"/>
                <w:b/>
                <w:bCs/>
                <w:color w:val="000000"/>
              </w:rPr>
              <w:t>3/31/2019</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3E77968F" w14:textId="6DFEC678" w:rsidR="006A24F2" w:rsidRPr="007A493E" w:rsidRDefault="006A24F2" w:rsidP="006A24F2">
            <w:pPr>
              <w:jc w:val="both"/>
              <w:rPr>
                <w:rFonts w:ascii="Arial" w:hAnsi="Arial" w:cs="Arial"/>
                <w:b/>
                <w:bCs/>
                <w:color w:val="000000"/>
              </w:rPr>
            </w:pPr>
            <w:r w:rsidRPr="007A493E">
              <w:rPr>
                <w:rFonts w:ascii="Arial" w:hAnsi="Arial" w:cs="Arial"/>
                <w:b/>
                <w:bCs/>
                <w:color w:val="000000"/>
              </w:rPr>
              <w:t>3/31/2020</w:t>
            </w:r>
          </w:p>
        </w:tc>
        <w:tc>
          <w:tcPr>
            <w:tcW w:w="126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vAlign w:val="bottom"/>
            <w:hideMark/>
          </w:tcPr>
          <w:p w14:paraId="0CD7C8F0" w14:textId="6210E7FF" w:rsidR="006A24F2" w:rsidRPr="007A493E" w:rsidRDefault="006A24F2" w:rsidP="006A24F2">
            <w:pPr>
              <w:jc w:val="both"/>
              <w:rPr>
                <w:rFonts w:ascii="Arial" w:hAnsi="Arial" w:cs="Arial"/>
                <w:b/>
                <w:bCs/>
                <w:color w:val="000000"/>
              </w:rPr>
            </w:pPr>
            <w:r w:rsidRPr="007A493E">
              <w:rPr>
                <w:rFonts w:ascii="Arial" w:hAnsi="Arial" w:cs="Arial"/>
                <w:b/>
                <w:bCs/>
                <w:color w:val="000000"/>
              </w:rPr>
              <w:t>Percent Change</w:t>
            </w:r>
          </w:p>
        </w:tc>
      </w:tr>
      <w:tr w:rsidR="006A24F2" w14:paraId="28F2FF76" w14:textId="77777777" w:rsidTr="00C14D9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8859E2" w14:textId="4C6F765F"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Eligibility Decisions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0D99AE58" w14:textId="77777777" w:rsidR="00B537B5" w:rsidRDefault="00B537B5" w:rsidP="006A24F2">
            <w:pPr>
              <w:jc w:val="both"/>
              <w:rPr>
                <w:rFonts w:ascii="Arial" w:hAnsi="Arial" w:cs="Arial"/>
                <w:color w:val="000000"/>
              </w:rPr>
            </w:pPr>
          </w:p>
          <w:p w14:paraId="30ED1110" w14:textId="6BCC099D" w:rsidR="006A24F2" w:rsidRPr="007A493E" w:rsidRDefault="006A24F2" w:rsidP="006A24F2">
            <w:pPr>
              <w:jc w:val="both"/>
              <w:rPr>
                <w:rFonts w:ascii="Arial" w:hAnsi="Arial" w:cs="Arial"/>
                <w:color w:val="000000"/>
              </w:rPr>
            </w:pPr>
            <w:r w:rsidRPr="007A493E">
              <w:rPr>
                <w:rFonts w:ascii="Arial" w:hAnsi="Arial" w:cs="Arial"/>
                <w:color w:val="000000"/>
              </w:rPr>
              <w:t>9,378</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009B95BC" w14:textId="77777777" w:rsidR="00B537B5" w:rsidRDefault="00B537B5" w:rsidP="006A24F2">
            <w:pPr>
              <w:jc w:val="both"/>
              <w:rPr>
                <w:rFonts w:ascii="Arial" w:hAnsi="Arial" w:cs="Arial"/>
                <w:color w:val="000000"/>
              </w:rPr>
            </w:pPr>
          </w:p>
          <w:p w14:paraId="11B4641D" w14:textId="2762491D" w:rsidR="006A24F2" w:rsidRPr="007A493E" w:rsidRDefault="006A24F2" w:rsidP="006A24F2">
            <w:pPr>
              <w:jc w:val="both"/>
              <w:rPr>
                <w:rFonts w:ascii="Arial" w:hAnsi="Arial" w:cs="Arial"/>
                <w:color w:val="000000"/>
              </w:rPr>
            </w:pPr>
            <w:r w:rsidRPr="007A493E">
              <w:rPr>
                <w:rFonts w:ascii="Arial" w:hAnsi="Arial" w:cs="Arial"/>
                <w:color w:val="000000"/>
              </w:rPr>
              <w:t>10,229</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50716315" w14:textId="5EB98132" w:rsidR="006A24F2" w:rsidRPr="007A493E" w:rsidRDefault="006A24F2" w:rsidP="006A24F2">
            <w:pPr>
              <w:jc w:val="both"/>
              <w:rPr>
                <w:rFonts w:ascii="Arial" w:hAnsi="Arial" w:cs="Arial"/>
                <w:color w:val="000000"/>
              </w:rPr>
            </w:pPr>
            <w:r w:rsidRPr="007A493E">
              <w:rPr>
                <w:rFonts w:ascii="Arial" w:hAnsi="Arial" w:cs="Arial"/>
                <w:color w:val="000000"/>
              </w:rPr>
              <w:t>9%</w:t>
            </w:r>
          </w:p>
        </w:tc>
      </w:tr>
      <w:tr w:rsidR="006A24F2" w14:paraId="20C99EE0"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0D3F1BC0" w14:textId="193BC799"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Plans Written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9184BF9" w14:textId="25650A8E" w:rsidR="006A24F2" w:rsidRPr="007A493E" w:rsidRDefault="006A24F2" w:rsidP="006A24F2">
            <w:pPr>
              <w:jc w:val="both"/>
              <w:rPr>
                <w:rFonts w:ascii="Arial" w:hAnsi="Arial" w:cs="Arial"/>
                <w:color w:val="000000"/>
              </w:rPr>
            </w:pPr>
            <w:r w:rsidRPr="007A493E">
              <w:rPr>
                <w:rFonts w:ascii="Arial" w:hAnsi="Arial" w:cs="Arial"/>
                <w:color w:val="000000"/>
              </w:rPr>
              <w:t>6,639</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4276447" w14:textId="3052B87D" w:rsidR="006A24F2" w:rsidRPr="007A493E" w:rsidRDefault="006A24F2" w:rsidP="006A24F2">
            <w:pPr>
              <w:jc w:val="both"/>
              <w:rPr>
                <w:rFonts w:ascii="Arial" w:hAnsi="Arial" w:cs="Arial"/>
                <w:color w:val="000000"/>
              </w:rPr>
            </w:pPr>
            <w:r w:rsidRPr="007A493E">
              <w:rPr>
                <w:rFonts w:ascii="Arial" w:hAnsi="Arial" w:cs="Arial"/>
                <w:color w:val="000000"/>
              </w:rPr>
              <w:t>7,092</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363EC2F2" w14:textId="707C5126" w:rsidR="006A24F2" w:rsidRPr="007A493E" w:rsidRDefault="006A24F2" w:rsidP="006A24F2">
            <w:pPr>
              <w:jc w:val="both"/>
              <w:rPr>
                <w:rFonts w:ascii="Arial" w:hAnsi="Arial" w:cs="Arial"/>
                <w:color w:val="000000"/>
              </w:rPr>
            </w:pPr>
            <w:r w:rsidRPr="007A493E">
              <w:rPr>
                <w:rFonts w:ascii="Arial" w:hAnsi="Arial" w:cs="Arial"/>
                <w:color w:val="000000"/>
              </w:rPr>
              <w:t>7%</w:t>
            </w:r>
          </w:p>
        </w:tc>
      </w:tr>
      <w:tr w:rsidR="006A24F2" w14:paraId="479002CB"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E0AC7F" w14:textId="584D1EBF"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Eligible + Served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467C05" w14:textId="21A16320" w:rsidR="006A24F2" w:rsidRPr="007A493E" w:rsidRDefault="006A24F2" w:rsidP="006A24F2">
            <w:pPr>
              <w:jc w:val="both"/>
              <w:rPr>
                <w:rFonts w:ascii="Arial" w:hAnsi="Arial" w:cs="Arial"/>
                <w:color w:val="000000"/>
              </w:rPr>
            </w:pPr>
            <w:r w:rsidRPr="007A493E">
              <w:rPr>
                <w:rFonts w:ascii="Arial" w:hAnsi="Arial" w:cs="Arial"/>
                <w:color w:val="000000"/>
              </w:rPr>
              <w:t>27,847</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210BDA2" w14:textId="47647F04" w:rsidR="006A24F2" w:rsidRPr="007A493E" w:rsidRDefault="006A24F2" w:rsidP="006A24F2">
            <w:pPr>
              <w:jc w:val="both"/>
              <w:rPr>
                <w:rFonts w:ascii="Arial" w:hAnsi="Arial" w:cs="Arial"/>
                <w:color w:val="000000"/>
              </w:rPr>
            </w:pPr>
            <w:r w:rsidRPr="007A493E">
              <w:rPr>
                <w:rFonts w:ascii="Arial" w:hAnsi="Arial" w:cs="Arial"/>
                <w:color w:val="000000"/>
              </w:rPr>
              <w:t>29,569</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747C651" w14:textId="7569A5B9" w:rsidR="006A24F2" w:rsidRPr="007A493E" w:rsidRDefault="006A24F2" w:rsidP="006A24F2">
            <w:pPr>
              <w:jc w:val="both"/>
              <w:rPr>
                <w:rFonts w:ascii="Arial" w:hAnsi="Arial" w:cs="Arial"/>
                <w:color w:val="000000"/>
              </w:rPr>
            </w:pPr>
            <w:r w:rsidRPr="007A493E">
              <w:rPr>
                <w:rFonts w:ascii="Arial" w:hAnsi="Arial" w:cs="Arial"/>
                <w:color w:val="000000"/>
              </w:rPr>
              <w:t>6%</w:t>
            </w:r>
          </w:p>
        </w:tc>
      </w:tr>
      <w:tr w:rsidR="006A24F2" w14:paraId="364B2D79"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7AC7F8C3" w14:textId="354C5961"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Rehabilitations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649F5AEE" w14:textId="4D0DBB86" w:rsidR="006A24F2" w:rsidRPr="007A493E" w:rsidRDefault="006A24F2" w:rsidP="006A24F2">
            <w:pPr>
              <w:jc w:val="both"/>
              <w:rPr>
                <w:rFonts w:ascii="Arial" w:hAnsi="Arial" w:cs="Arial"/>
                <w:color w:val="000000"/>
              </w:rPr>
            </w:pPr>
            <w:r w:rsidRPr="007A493E">
              <w:rPr>
                <w:rFonts w:ascii="Arial" w:hAnsi="Arial" w:cs="Arial"/>
                <w:color w:val="000000"/>
              </w:rPr>
              <w:t>2,720</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07053AC" w14:textId="22DFE2FE" w:rsidR="006A24F2" w:rsidRPr="007A493E" w:rsidRDefault="006A24F2" w:rsidP="006A24F2">
            <w:pPr>
              <w:jc w:val="both"/>
              <w:rPr>
                <w:rFonts w:ascii="Arial" w:hAnsi="Arial" w:cs="Arial"/>
                <w:color w:val="000000"/>
              </w:rPr>
            </w:pPr>
            <w:r w:rsidRPr="007A493E">
              <w:rPr>
                <w:rFonts w:ascii="Arial" w:hAnsi="Arial" w:cs="Arial"/>
                <w:color w:val="000000"/>
              </w:rPr>
              <w:t>2,950</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0046C6F4" w14:textId="0213DF8D" w:rsidR="006A24F2" w:rsidRPr="007A493E" w:rsidRDefault="006A24F2" w:rsidP="006A24F2">
            <w:pPr>
              <w:jc w:val="both"/>
              <w:rPr>
                <w:rFonts w:ascii="Arial" w:hAnsi="Arial" w:cs="Arial"/>
                <w:color w:val="000000"/>
              </w:rPr>
            </w:pPr>
            <w:r w:rsidRPr="007A493E">
              <w:rPr>
                <w:rFonts w:ascii="Arial" w:hAnsi="Arial" w:cs="Arial"/>
                <w:color w:val="000000"/>
              </w:rPr>
              <w:t>8.5%</w:t>
            </w:r>
          </w:p>
        </w:tc>
      </w:tr>
      <w:tr w:rsidR="006A24F2" w14:paraId="30609ABA"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40337598" w14:textId="5EFA4DB3"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Average Wage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113320DD" w14:textId="4383BCDF" w:rsidR="006A24F2" w:rsidRPr="007A493E" w:rsidRDefault="006A24F2" w:rsidP="006A24F2">
            <w:pPr>
              <w:jc w:val="both"/>
              <w:rPr>
                <w:rFonts w:ascii="Arial" w:hAnsi="Arial" w:cs="Arial"/>
                <w:color w:val="000000"/>
              </w:rPr>
            </w:pPr>
            <w:r w:rsidRPr="007A493E">
              <w:rPr>
                <w:rFonts w:ascii="Arial" w:hAnsi="Arial" w:cs="Arial"/>
                <w:color w:val="000000"/>
              </w:rPr>
              <w:t xml:space="preserve">$11.37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806D30" w14:textId="2FF17F9E" w:rsidR="006A24F2" w:rsidRPr="007A493E" w:rsidRDefault="006A24F2" w:rsidP="006A24F2">
            <w:pPr>
              <w:jc w:val="both"/>
              <w:rPr>
                <w:rFonts w:ascii="Arial" w:hAnsi="Arial" w:cs="Arial"/>
                <w:color w:val="000000"/>
              </w:rPr>
            </w:pPr>
            <w:r w:rsidRPr="007A493E">
              <w:rPr>
                <w:rFonts w:ascii="Arial" w:hAnsi="Arial" w:cs="Arial"/>
                <w:color w:val="000000"/>
              </w:rPr>
              <w:t xml:space="preserve">$11.58 </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6E9BF66" w14:textId="5EB9AA9C" w:rsidR="006A24F2" w:rsidRPr="007A493E" w:rsidRDefault="006A24F2" w:rsidP="006A24F2">
            <w:pPr>
              <w:jc w:val="both"/>
              <w:rPr>
                <w:rFonts w:ascii="Arial" w:hAnsi="Arial" w:cs="Arial"/>
                <w:color w:val="000000"/>
              </w:rPr>
            </w:pPr>
            <w:r w:rsidRPr="007A493E">
              <w:rPr>
                <w:rFonts w:ascii="Arial" w:hAnsi="Arial" w:cs="Arial"/>
                <w:color w:val="000000"/>
              </w:rPr>
              <w:t>2%</w:t>
            </w:r>
          </w:p>
        </w:tc>
      </w:tr>
      <w:tr w:rsidR="006A24F2" w14:paraId="068BD68D"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33C9BC48" w14:textId="4E1E4FED" w:rsidR="006A24F2" w:rsidRPr="007A493E" w:rsidRDefault="006A24F2" w:rsidP="006A24F2">
            <w:pPr>
              <w:jc w:val="both"/>
              <w:rPr>
                <w:rFonts w:ascii="Arial" w:hAnsi="Arial" w:cs="Arial"/>
                <w:b/>
                <w:bCs/>
                <w:color w:val="000000"/>
              </w:rPr>
            </w:pPr>
            <w:r w:rsidRPr="007A493E">
              <w:rPr>
                <w:rFonts w:ascii="Arial" w:hAnsi="Arial" w:cs="Arial"/>
                <w:b/>
                <w:bCs/>
                <w:color w:val="000000"/>
              </w:rPr>
              <w:t>Average Hours</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D48D971" w14:textId="562271B1" w:rsidR="006A24F2" w:rsidRPr="007A493E" w:rsidRDefault="007A493E" w:rsidP="006A24F2">
            <w:pPr>
              <w:jc w:val="both"/>
              <w:rPr>
                <w:rFonts w:ascii="Arial" w:hAnsi="Arial" w:cs="Arial"/>
                <w:color w:val="000000"/>
              </w:rPr>
            </w:pPr>
            <w:r w:rsidRPr="007A493E">
              <w:rPr>
                <w:rFonts w:ascii="Arial" w:hAnsi="Arial" w:cs="Arial"/>
                <w:color w:val="000000"/>
              </w:rPr>
              <w:t>26.2</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ECAA23C" w14:textId="64C8DC6F" w:rsidR="006A24F2" w:rsidRPr="007A493E" w:rsidRDefault="007A493E" w:rsidP="006A24F2">
            <w:pPr>
              <w:jc w:val="both"/>
              <w:rPr>
                <w:rFonts w:ascii="Arial" w:hAnsi="Arial" w:cs="Arial"/>
                <w:color w:val="000000"/>
              </w:rPr>
            </w:pPr>
            <w:r w:rsidRPr="007A493E">
              <w:rPr>
                <w:rFonts w:ascii="Arial" w:hAnsi="Arial" w:cs="Arial"/>
                <w:color w:val="000000"/>
              </w:rPr>
              <w:t>25.8</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4EBEBE00" w14:textId="462AD649" w:rsidR="006A24F2" w:rsidRPr="007A493E" w:rsidRDefault="007A493E" w:rsidP="006A24F2">
            <w:pPr>
              <w:jc w:val="both"/>
              <w:rPr>
                <w:rFonts w:ascii="Arial" w:hAnsi="Arial" w:cs="Arial"/>
                <w:color w:val="000000"/>
              </w:rPr>
            </w:pPr>
            <w:r w:rsidRPr="007A493E">
              <w:rPr>
                <w:rFonts w:ascii="Arial" w:hAnsi="Arial" w:cs="Arial"/>
                <w:color w:val="000000"/>
              </w:rPr>
              <w:t>-1.5%</w:t>
            </w:r>
          </w:p>
        </w:tc>
      </w:tr>
    </w:tbl>
    <w:p w14:paraId="3DB29CD0" w14:textId="77777777" w:rsidR="004B1EB4" w:rsidRDefault="004B1EB4" w:rsidP="00F5661C">
      <w:pPr>
        <w:tabs>
          <w:tab w:val="left" w:pos="3936"/>
        </w:tabs>
        <w:jc w:val="both"/>
        <w:rPr>
          <w:rFonts w:ascii="Arial" w:hAnsi="Arial" w:cs="Arial"/>
          <w:b/>
        </w:rPr>
      </w:pPr>
    </w:p>
    <w:p w14:paraId="3706B9A8" w14:textId="7C8F7F44" w:rsidR="00C332F7" w:rsidRPr="003C605B" w:rsidRDefault="004B1EB4" w:rsidP="003C605B">
      <w:pPr>
        <w:tabs>
          <w:tab w:val="left" w:pos="3936"/>
        </w:tabs>
        <w:jc w:val="both"/>
        <w:rPr>
          <w:rFonts w:ascii="Arial" w:hAnsi="Arial" w:cs="Arial"/>
          <w:b/>
        </w:rPr>
      </w:pPr>
      <w:r>
        <w:rPr>
          <w:rFonts w:ascii="Arial" w:hAnsi="Arial" w:cs="Arial"/>
          <w:b/>
        </w:rPr>
        <w:t>Programmatic Updates:</w:t>
      </w:r>
    </w:p>
    <w:p w14:paraId="1F77827C" w14:textId="7505958D" w:rsidR="00D624D1" w:rsidRPr="00D624D1" w:rsidRDefault="00D624D1" w:rsidP="00D624D1">
      <w:pPr>
        <w:pStyle w:val="ListParagraph"/>
        <w:numPr>
          <w:ilvl w:val="0"/>
          <w:numId w:val="31"/>
        </w:numPr>
        <w:tabs>
          <w:tab w:val="left" w:pos="3936"/>
        </w:tabs>
        <w:jc w:val="both"/>
        <w:rPr>
          <w:rFonts w:ascii="Arial" w:hAnsi="Arial" w:cs="Arial"/>
          <w:b/>
        </w:rPr>
      </w:pPr>
      <w:r>
        <w:rPr>
          <w:rFonts w:ascii="Arial" w:hAnsi="Arial" w:cs="Arial"/>
        </w:rPr>
        <w:t>All VR Field Staff have been working from home since Friday, March 13.  Staff have</w:t>
      </w:r>
      <w:r w:rsidR="003C605B">
        <w:rPr>
          <w:rFonts w:ascii="Arial" w:hAnsi="Arial" w:cs="Arial"/>
        </w:rPr>
        <w:t xml:space="preserve"> </w:t>
      </w:r>
      <w:r>
        <w:rPr>
          <w:rFonts w:ascii="Arial" w:hAnsi="Arial" w:cs="Arial"/>
        </w:rPr>
        <w:t>call</w:t>
      </w:r>
      <w:r w:rsidR="003C605B">
        <w:rPr>
          <w:rFonts w:ascii="Arial" w:hAnsi="Arial" w:cs="Arial"/>
        </w:rPr>
        <w:t>ed</w:t>
      </w:r>
      <w:r>
        <w:rPr>
          <w:rFonts w:ascii="Arial" w:hAnsi="Arial" w:cs="Arial"/>
        </w:rPr>
        <w:t xml:space="preserve"> all program participants to let them know that we are still working and are available to assist them.  Staff have indicated that individuals called have had significant basic needs to be addressed.  </w:t>
      </w:r>
    </w:p>
    <w:p w14:paraId="70FF15A3" w14:textId="77777777" w:rsidR="00D624D1" w:rsidRPr="00D624D1" w:rsidRDefault="00D624D1" w:rsidP="00D624D1">
      <w:pPr>
        <w:pStyle w:val="ListParagraph"/>
        <w:tabs>
          <w:tab w:val="left" w:pos="3936"/>
        </w:tabs>
        <w:ind w:left="360"/>
        <w:jc w:val="both"/>
        <w:rPr>
          <w:rFonts w:ascii="Arial" w:hAnsi="Arial" w:cs="Arial"/>
          <w:b/>
        </w:rPr>
      </w:pPr>
    </w:p>
    <w:p w14:paraId="6AFAFBEA" w14:textId="466A7C74" w:rsidR="00D624D1" w:rsidRPr="00B537B5" w:rsidRDefault="00D624D1" w:rsidP="00510A4A">
      <w:pPr>
        <w:pStyle w:val="ListParagraph"/>
        <w:numPr>
          <w:ilvl w:val="0"/>
          <w:numId w:val="31"/>
        </w:numPr>
        <w:tabs>
          <w:tab w:val="left" w:pos="3936"/>
        </w:tabs>
        <w:jc w:val="both"/>
        <w:rPr>
          <w:rFonts w:ascii="Arial" w:hAnsi="Arial" w:cs="Arial"/>
          <w:b/>
        </w:rPr>
      </w:pPr>
      <w:r w:rsidRPr="00B537B5">
        <w:rPr>
          <w:rFonts w:ascii="Arial" w:hAnsi="Arial" w:cs="Arial"/>
          <w:bCs/>
        </w:rPr>
        <w:t>OOD established a new service called REACH (Refer, Educate</w:t>
      </w:r>
      <w:r w:rsidR="00B537B5" w:rsidRPr="00B537B5">
        <w:rPr>
          <w:rFonts w:ascii="Arial" w:hAnsi="Arial" w:cs="Arial"/>
          <w:bCs/>
        </w:rPr>
        <w:t>, and Check-In</w:t>
      </w:r>
      <w:r w:rsidRPr="00B537B5">
        <w:rPr>
          <w:rFonts w:ascii="Arial" w:hAnsi="Arial" w:cs="Arial"/>
          <w:bCs/>
        </w:rPr>
        <w:t xml:space="preserve">).  </w:t>
      </w:r>
      <w:r w:rsidR="00B537B5" w:rsidRPr="00B537B5">
        <w:rPr>
          <w:rFonts w:ascii="Arial" w:hAnsi="Arial" w:cs="Arial"/>
          <w:color w:val="4A4A4A"/>
          <w:shd w:val="clear" w:color="auto" w:fill="FFFFFF"/>
        </w:rPr>
        <w:t>Providers offering this service will complete check-ins with OOD participants to identify participants’ current needs, provide information to address those needs and make corresponding referrals when needed.</w:t>
      </w:r>
      <w:r w:rsidR="00B537B5">
        <w:rPr>
          <w:rFonts w:ascii="Source Sans Pro" w:hAnsi="Source Sans Pro"/>
          <w:color w:val="4A4A4A"/>
          <w:shd w:val="clear" w:color="auto" w:fill="FFFFFF"/>
        </w:rPr>
        <w:t> </w:t>
      </w:r>
    </w:p>
    <w:p w14:paraId="2D327000" w14:textId="77777777" w:rsidR="00B537B5" w:rsidRPr="00B537B5" w:rsidRDefault="00B537B5" w:rsidP="00B537B5">
      <w:pPr>
        <w:tabs>
          <w:tab w:val="left" w:pos="3936"/>
        </w:tabs>
        <w:jc w:val="both"/>
        <w:rPr>
          <w:rFonts w:ascii="Arial" w:hAnsi="Arial" w:cs="Arial"/>
          <w:b/>
        </w:rPr>
      </w:pPr>
    </w:p>
    <w:p w14:paraId="4ED5AAA6" w14:textId="01947C6C" w:rsidR="00E4586A" w:rsidRPr="00B537B5" w:rsidRDefault="00D624D1" w:rsidP="00BB6483">
      <w:pPr>
        <w:pStyle w:val="ListParagraph"/>
        <w:numPr>
          <w:ilvl w:val="0"/>
          <w:numId w:val="31"/>
        </w:numPr>
        <w:tabs>
          <w:tab w:val="left" w:pos="3936"/>
        </w:tabs>
        <w:jc w:val="both"/>
        <w:rPr>
          <w:rFonts w:ascii="Arial" w:hAnsi="Arial" w:cs="Arial"/>
          <w:b/>
        </w:rPr>
      </w:pPr>
      <w:r w:rsidRPr="00B537B5">
        <w:rPr>
          <w:rFonts w:ascii="Arial" w:hAnsi="Arial" w:cs="Arial"/>
          <w:bCs/>
        </w:rPr>
        <w:t xml:space="preserve">OOD has </w:t>
      </w:r>
      <w:r w:rsidR="00B537B5" w:rsidRPr="00B537B5">
        <w:rPr>
          <w:rFonts w:ascii="Arial" w:hAnsi="Arial" w:cs="Arial"/>
          <w:bCs/>
        </w:rPr>
        <w:t>implemented a number of flexibilities for OOD staff and providers to ensure that services can continue to the maximum extent possible.  Examples include flexibilities in obtaining signatures</w:t>
      </w:r>
      <w:r w:rsidR="00B537B5">
        <w:rPr>
          <w:rFonts w:ascii="Arial" w:hAnsi="Arial" w:cs="Arial"/>
          <w:bCs/>
        </w:rPr>
        <w:t>,</w:t>
      </w:r>
      <w:r w:rsidR="00B537B5" w:rsidRPr="00B537B5">
        <w:rPr>
          <w:rFonts w:ascii="Arial" w:hAnsi="Arial" w:cs="Arial"/>
          <w:bCs/>
        </w:rPr>
        <w:t xml:space="preserve"> remote service delivery</w:t>
      </w:r>
      <w:r w:rsidR="00B537B5">
        <w:rPr>
          <w:rFonts w:ascii="Arial" w:hAnsi="Arial" w:cs="Arial"/>
          <w:bCs/>
        </w:rPr>
        <w:t xml:space="preserve"> and modifications to the summer services </w:t>
      </w:r>
      <w:r w:rsidR="003C605B">
        <w:rPr>
          <w:rFonts w:ascii="Arial" w:hAnsi="Arial" w:cs="Arial"/>
          <w:bCs/>
        </w:rPr>
        <w:t>for</w:t>
      </w:r>
      <w:bookmarkStart w:id="0" w:name="_GoBack"/>
      <w:bookmarkEnd w:id="0"/>
      <w:r w:rsidR="00B537B5">
        <w:rPr>
          <w:rFonts w:ascii="Arial" w:hAnsi="Arial" w:cs="Arial"/>
          <w:bCs/>
        </w:rPr>
        <w:t xml:space="preserve"> students with disabilities</w:t>
      </w:r>
      <w:r w:rsidR="00B537B5" w:rsidRPr="00B537B5">
        <w:rPr>
          <w:rFonts w:ascii="Arial" w:hAnsi="Arial" w:cs="Arial"/>
          <w:bCs/>
        </w:rPr>
        <w:t xml:space="preserve">.  </w:t>
      </w:r>
      <w:r w:rsidR="00B537B5">
        <w:rPr>
          <w:rFonts w:ascii="Arial" w:hAnsi="Arial" w:cs="Arial"/>
          <w:bCs/>
        </w:rPr>
        <w:t xml:space="preserve">OOD continues to see job placements in the current environment using the Urgent Job List and other business partnerships.  </w:t>
      </w:r>
    </w:p>
    <w:p w14:paraId="165FD7DD" w14:textId="77777777" w:rsidR="00E66E8C" w:rsidRPr="00E66E8C" w:rsidRDefault="00E66E8C" w:rsidP="00E66E8C">
      <w:pPr>
        <w:pStyle w:val="ListParagraph"/>
        <w:rPr>
          <w:rFonts w:ascii="Arial" w:hAnsi="Arial" w:cs="Arial"/>
          <w:b/>
        </w:rPr>
      </w:pPr>
    </w:p>
    <w:p w14:paraId="359C345A" w14:textId="1E422330" w:rsidR="005F0E01" w:rsidRPr="005F0E01" w:rsidRDefault="00A61930" w:rsidP="007A493E">
      <w:pPr>
        <w:pStyle w:val="ListParagraph"/>
        <w:numPr>
          <w:ilvl w:val="0"/>
          <w:numId w:val="33"/>
        </w:numPr>
        <w:tabs>
          <w:tab w:val="left" w:pos="3936"/>
        </w:tabs>
        <w:jc w:val="both"/>
        <w:rPr>
          <w:rFonts w:ascii="Arial" w:hAnsi="Arial" w:cs="Arial"/>
          <w:b/>
        </w:rPr>
      </w:pPr>
      <w:r w:rsidRPr="007A493E">
        <w:rPr>
          <w:rFonts w:ascii="Arial" w:hAnsi="Arial" w:cs="Arial"/>
          <w:bCs/>
        </w:rPr>
        <w:t>OOD</w:t>
      </w:r>
      <w:r w:rsidR="007A493E" w:rsidRPr="007A493E">
        <w:rPr>
          <w:rFonts w:ascii="Arial" w:hAnsi="Arial" w:cs="Arial"/>
          <w:bCs/>
        </w:rPr>
        <w:t xml:space="preserve"> </w:t>
      </w:r>
      <w:r w:rsidRPr="007A493E">
        <w:rPr>
          <w:rFonts w:ascii="Arial" w:hAnsi="Arial" w:cs="Arial"/>
          <w:bCs/>
        </w:rPr>
        <w:t>h</w:t>
      </w:r>
      <w:r w:rsidR="007A493E" w:rsidRPr="007A493E">
        <w:rPr>
          <w:rFonts w:ascii="Arial" w:hAnsi="Arial" w:cs="Arial"/>
          <w:bCs/>
        </w:rPr>
        <w:t>e</w:t>
      </w:r>
      <w:r w:rsidRPr="007A493E">
        <w:rPr>
          <w:rFonts w:ascii="Arial" w:hAnsi="Arial" w:cs="Arial"/>
          <w:bCs/>
        </w:rPr>
        <w:t>ld Participant Focus Groups related to transition services in January</w:t>
      </w:r>
      <w:r w:rsidR="007A493E" w:rsidRPr="007A493E">
        <w:rPr>
          <w:rFonts w:ascii="Arial" w:hAnsi="Arial" w:cs="Arial"/>
          <w:bCs/>
        </w:rPr>
        <w:t xml:space="preserve"> (report included in materials)</w:t>
      </w:r>
      <w:r w:rsidRPr="007A493E">
        <w:rPr>
          <w:rFonts w:ascii="Arial" w:hAnsi="Arial" w:cs="Arial"/>
          <w:bCs/>
        </w:rPr>
        <w:t xml:space="preserve">.  </w:t>
      </w:r>
      <w:r w:rsidR="005F0E01">
        <w:rPr>
          <w:rFonts w:ascii="Arial" w:hAnsi="Arial" w:cs="Arial"/>
          <w:bCs/>
        </w:rPr>
        <w:t>Students indicated that the</w:t>
      </w:r>
      <w:r w:rsidR="005E7E0D">
        <w:rPr>
          <w:rFonts w:ascii="Arial" w:hAnsi="Arial" w:cs="Arial"/>
          <w:bCs/>
        </w:rPr>
        <w:t>y would like OOD to help them</w:t>
      </w:r>
      <w:r w:rsidR="005F0E01">
        <w:rPr>
          <w:rFonts w:ascii="Arial" w:hAnsi="Arial" w:cs="Arial"/>
          <w:bCs/>
        </w:rPr>
        <w:t xml:space="preserve"> to</w:t>
      </w:r>
      <w:r w:rsidR="007A493E" w:rsidRPr="007A493E">
        <w:rPr>
          <w:rFonts w:ascii="Arial" w:hAnsi="Arial" w:cs="Arial"/>
          <w:bCs/>
        </w:rPr>
        <w:t xml:space="preserve">: </w:t>
      </w:r>
    </w:p>
    <w:p w14:paraId="4B1938E3" w14:textId="77777777" w:rsidR="005E7E0D" w:rsidRPr="005E7E0D" w:rsidRDefault="005E7E0D" w:rsidP="005F0E01">
      <w:pPr>
        <w:pStyle w:val="ListParagraph"/>
        <w:numPr>
          <w:ilvl w:val="1"/>
          <w:numId w:val="33"/>
        </w:numPr>
        <w:tabs>
          <w:tab w:val="left" w:pos="3936"/>
        </w:tabs>
        <w:jc w:val="both"/>
        <w:rPr>
          <w:rFonts w:ascii="Arial" w:hAnsi="Arial" w:cs="Arial"/>
          <w:b/>
        </w:rPr>
      </w:pPr>
      <w:r>
        <w:rPr>
          <w:rFonts w:ascii="Arial" w:hAnsi="Arial" w:cs="Arial"/>
          <w:bCs/>
        </w:rPr>
        <w:t>Find and keep a job after graduation</w:t>
      </w:r>
    </w:p>
    <w:p w14:paraId="47FFF24B" w14:textId="4EA33F39" w:rsidR="007A493E" w:rsidRPr="005E7E0D" w:rsidRDefault="005E7E0D" w:rsidP="005F0E01">
      <w:pPr>
        <w:pStyle w:val="ListParagraph"/>
        <w:numPr>
          <w:ilvl w:val="1"/>
          <w:numId w:val="33"/>
        </w:numPr>
        <w:tabs>
          <w:tab w:val="left" w:pos="3936"/>
        </w:tabs>
        <w:jc w:val="both"/>
        <w:rPr>
          <w:rFonts w:ascii="Arial" w:hAnsi="Arial" w:cs="Arial"/>
          <w:b/>
        </w:rPr>
      </w:pPr>
      <w:r>
        <w:rPr>
          <w:rFonts w:ascii="Arial" w:hAnsi="Arial" w:cs="Arial"/>
          <w:bCs/>
        </w:rPr>
        <w:t>Choose and get ready for college or other training after high school</w:t>
      </w:r>
      <w:r w:rsidR="007A493E" w:rsidRPr="007A493E">
        <w:rPr>
          <w:rFonts w:ascii="Arial" w:hAnsi="Arial" w:cs="Arial"/>
          <w:bCs/>
        </w:rPr>
        <w:t xml:space="preserve"> </w:t>
      </w:r>
    </w:p>
    <w:p w14:paraId="00C7D3FA" w14:textId="0CCB6C98" w:rsidR="005E7E0D" w:rsidRPr="005E7E0D" w:rsidRDefault="005E7E0D" w:rsidP="005E7E0D">
      <w:pPr>
        <w:pStyle w:val="ListParagraph"/>
        <w:numPr>
          <w:ilvl w:val="1"/>
          <w:numId w:val="33"/>
        </w:numPr>
        <w:tabs>
          <w:tab w:val="left" w:pos="3936"/>
        </w:tabs>
        <w:jc w:val="both"/>
        <w:rPr>
          <w:rFonts w:ascii="Arial" w:hAnsi="Arial" w:cs="Arial"/>
          <w:b/>
        </w:rPr>
      </w:pPr>
      <w:r>
        <w:rPr>
          <w:rFonts w:ascii="Arial" w:hAnsi="Arial" w:cs="Arial"/>
          <w:bCs/>
        </w:rPr>
        <w:t>Get their driver’s license</w:t>
      </w:r>
    </w:p>
    <w:p w14:paraId="1CA95C45" w14:textId="07A952B7" w:rsidR="005E7E0D" w:rsidRPr="005E7E0D" w:rsidRDefault="005E7E0D" w:rsidP="005F0E01">
      <w:pPr>
        <w:pStyle w:val="ListParagraph"/>
        <w:numPr>
          <w:ilvl w:val="1"/>
          <w:numId w:val="33"/>
        </w:numPr>
        <w:tabs>
          <w:tab w:val="left" w:pos="3936"/>
        </w:tabs>
        <w:jc w:val="both"/>
        <w:rPr>
          <w:rFonts w:ascii="Arial" w:hAnsi="Arial" w:cs="Arial"/>
          <w:b/>
        </w:rPr>
      </w:pPr>
      <w:r>
        <w:rPr>
          <w:rFonts w:ascii="Arial" w:hAnsi="Arial" w:cs="Arial"/>
          <w:bCs/>
        </w:rPr>
        <w:t>Participate in longer work experiences in the summer.</w:t>
      </w:r>
    </w:p>
    <w:p w14:paraId="05D6D9A0" w14:textId="54844F80" w:rsidR="005E7E0D" w:rsidRDefault="005E7E0D" w:rsidP="005E7E0D">
      <w:pPr>
        <w:tabs>
          <w:tab w:val="left" w:pos="3936"/>
        </w:tabs>
        <w:jc w:val="both"/>
        <w:rPr>
          <w:rFonts w:ascii="Arial" w:hAnsi="Arial" w:cs="Arial"/>
          <w:b/>
        </w:rPr>
      </w:pPr>
    </w:p>
    <w:p w14:paraId="72EAB844" w14:textId="5D7FB779" w:rsidR="005E7E0D" w:rsidRPr="005E7E0D" w:rsidRDefault="005E7E0D" w:rsidP="005E7E0D">
      <w:pPr>
        <w:pStyle w:val="ListParagraph"/>
        <w:numPr>
          <w:ilvl w:val="0"/>
          <w:numId w:val="33"/>
        </w:numPr>
        <w:tabs>
          <w:tab w:val="left" w:pos="3936"/>
        </w:tabs>
        <w:jc w:val="both"/>
        <w:rPr>
          <w:rFonts w:ascii="Arial" w:hAnsi="Arial" w:cs="Arial"/>
          <w:b/>
        </w:rPr>
      </w:pPr>
      <w:r>
        <w:rPr>
          <w:rFonts w:ascii="Arial" w:hAnsi="Arial" w:cs="Arial"/>
          <w:bCs/>
        </w:rPr>
        <w:t>Participant Focus Groups planned in April have been postponed.</w:t>
      </w:r>
    </w:p>
    <w:p w14:paraId="677D4F28" w14:textId="77777777" w:rsidR="006A3004" w:rsidRPr="006A3004" w:rsidRDefault="006A3004" w:rsidP="006A3004">
      <w:pPr>
        <w:pStyle w:val="ListParagraph"/>
        <w:rPr>
          <w:rFonts w:ascii="Arial" w:hAnsi="Arial" w:cs="Arial"/>
          <w:b/>
        </w:rPr>
      </w:pPr>
    </w:p>
    <w:sectPr w:rsidR="006A3004" w:rsidRPr="006A3004" w:rsidSect="007F73FE">
      <w:footerReference w:type="defaul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C1CA" w14:textId="77777777" w:rsidR="00F17D4D" w:rsidRDefault="00F17D4D">
      <w:r>
        <w:separator/>
      </w:r>
    </w:p>
  </w:endnote>
  <w:endnote w:type="continuationSeparator" w:id="0">
    <w:p w14:paraId="0BD768B3" w14:textId="77777777" w:rsidR="00F17D4D" w:rsidRDefault="00F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962072"/>
      <w:docPartObj>
        <w:docPartGallery w:val="Page Numbers (Bottom of Page)"/>
        <w:docPartUnique/>
      </w:docPartObj>
    </w:sdtPr>
    <w:sdtEndPr>
      <w:rPr>
        <w:noProof/>
      </w:rPr>
    </w:sdtEndPr>
    <w:sdtContent>
      <w:p w14:paraId="4062B264" w14:textId="77777777" w:rsidR="00F81ABE" w:rsidRDefault="00F81ABE">
        <w:pPr>
          <w:pStyle w:val="Footer"/>
          <w:jc w:val="right"/>
        </w:pPr>
        <w:r>
          <w:fldChar w:fldCharType="begin"/>
        </w:r>
        <w:r>
          <w:instrText xml:space="preserve"> PAGE   \* MERGEFORMAT </w:instrText>
        </w:r>
        <w:r>
          <w:fldChar w:fldCharType="separate"/>
        </w:r>
        <w:r w:rsidR="002D423F">
          <w:rPr>
            <w:noProof/>
          </w:rPr>
          <w:t>2</w:t>
        </w:r>
        <w:r>
          <w:rPr>
            <w:noProof/>
          </w:rPr>
          <w:fldChar w:fldCharType="end"/>
        </w:r>
      </w:p>
    </w:sdtContent>
  </w:sdt>
  <w:p w14:paraId="256285A4" w14:textId="77777777" w:rsidR="00F81ABE" w:rsidRDefault="00F8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69796"/>
      <w:docPartObj>
        <w:docPartGallery w:val="Page Numbers (Bottom of Page)"/>
        <w:docPartUnique/>
      </w:docPartObj>
    </w:sdtPr>
    <w:sdtEndPr>
      <w:rPr>
        <w:noProof/>
      </w:rPr>
    </w:sdtEndPr>
    <w:sdtContent>
      <w:p w14:paraId="51F41FA7" w14:textId="77777777" w:rsidR="00F81ABE" w:rsidRDefault="00F81ABE">
        <w:pPr>
          <w:pStyle w:val="Footer"/>
          <w:jc w:val="right"/>
        </w:pPr>
        <w:r>
          <w:fldChar w:fldCharType="begin"/>
        </w:r>
        <w:r>
          <w:instrText xml:space="preserve"> PAGE   \* MERGEFORMAT </w:instrText>
        </w:r>
        <w:r>
          <w:fldChar w:fldCharType="separate"/>
        </w:r>
        <w:r w:rsidR="002D423F">
          <w:rPr>
            <w:noProof/>
          </w:rPr>
          <w:t>1</w:t>
        </w:r>
        <w:r>
          <w:rPr>
            <w:noProof/>
          </w:rPr>
          <w:fldChar w:fldCharType="end"/>
        </w:r>
      </w:p>
    </w:sdtContent>
  </w:sdt>
  <w:p w14:paraId="1D6F333F" w14:textId="77777777"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C1797" w14:textId="77777777" w:rsidR="00F17D4D" w:rsidRDefault="00F17D4D">
      <w:r>
        <w:separator/>
      </w:r>
    </w:p>
  </w:footnote>
  <w:footnote w:type="continuationSeparator" w:id="0">
    <w:p w14:paraId="2456C359" w14:textId="77777777" w:rsidR="00F17D4D" w:rsidRDefault="00F1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430"/>
    <w:multiLevelType w:val="hybridMultilevel"/>
    <w:tmpl w:val="9EF6E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AB4"/>
    <w:multiLevelType w:val="hybridMultilevel"/>
    <w:tmpl w:val="A62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45591"/>
    <w:multiLevelType w:val="hybridMultilevel"/>
    <w:tmpl w:val="B0BC8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5704A"/>
    <w:multiLevelType w:val="hybridMultilevel"/>
    <w:tmpl w:val="0E3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199E68F1"/>
    <w:multiLevelType w:val="hybridMultilevel"/>
    <w:tmpl w:val="4170B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9A466E"/>
    <w:multiLevelType w:val="hybridMultilevel"/>
    <w:tmpl w:val="6636C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73ABC"/>
    <w:multiLevelType w:val="hybridMultilevel"/>
    <w:tmpl w:val="A15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62C"/>
    <w:multiLevelType w:val="hybridMultilevel"/>
    <w:tmpl w:val="4E7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CBD"/>
    <w:multiLevelType w:val="hybridMultilevel"/>
    <w:tmpl w:val="63565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576F0"/>
    <w:multiLevelType w:val="hybridMultilevel"/>
    <w:tmpl w:val="666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0170"/>
    <w:multiLevelType w:val="hybridMultilevel"/>
    <w:tmpl w:val="C4A0E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8B0711"/>
    <w:multiLevelType w:val="hybridMultilevel"/>
    <w:tmpl w:val="6DC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A380D"/>
    <w:multiLevelType w:val="hybridMultilevel"/>
    <w:tmpl w:val="02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1B6"/>
    <w:multiLevelType w:val="hybridMultilevel"/>
    <w:tmpl w:val="97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083C"/>
    <w:multiLevelType w:val="hybridMultilevel"/>
    <w:tmpl w:val="2B2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D20A1"/>
    <w:multiLevelType w:val="hybridMultilevel"/>
    <w:tmpl w:val="3D984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43C0F"/>
    <w:multiLevelType w:val="hybridMultilevel"/>
    <w:tmpl w:val="7D3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65FE"/>
    <w:multiLevelType w:val="hybridMultilevel"/>
    <w:tmpl w:val="06B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534E5"/>
    <w:multiLevelType w:val="hybridMultilevel"/>
    <w:tmpl w:val="EF7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3113C"/>
    <w:multiLevelType w:val="hybridMultilevel"/>
    <w:tmpl w:val="1F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F283B"/>
    <w:multiLevelType w:val="hybridMultilevel"/>
    <w:tmpl w:val="39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047A5"/>
    <w:multiLevelType w:val="hybridMultilevel"/>
    <w:tmpl w:val="7088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23A63"/>
    <w:multiLevelType w:val="hybridMultilevel"/>
    <w:tmpl w:val="467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12860"/>
    <w:multiLevelType w:val="hybridMultilevel"/>
    <w:tmpl w:val="29CE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18F6DBE"/>
    <w:multiLevelType w:val="hybridMultilevel"/>
    <w:tmpl w:val="E6D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4F6"/>
    <w:multiLevelType w:val="hybridMultilevel"/>
    <w:tmpl w:val="C74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75621"/>
    <w:multiLevelType w:val="hybridMultilevel"/>
    <w:tmpl w:val="A0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D7FC0"/>
    <w:multiLevelType w:val="hybridMultilevel"/>
    <w:tmpl w:val="6108D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9231C1"/>
    <w:multiLevelType w:val="hybridMultilevel"/>
    <w:tmpl w:val="110AE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AC733B"/>
    <w:multiLevelType w:val="hybridMultilevel"/>
    <w:tmpl w:val="F5289E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0F5591"/>
    <w:multiLevelType w:val="hybridMultilevel"/>
    <w:tmpl w:val="B75C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C6345D6"/>
    <w:multiLevelType w:val="hybridMultilevel"/>
    <w:tmpl w:val="BA24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82FE2"/>
    <w:multiLevelType w:val="hybridMultilevel"/>
    <w:tmpl w:val="E4F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17"/>
  </w:num>
  <w:num w:numId="5">
    <w:abstractNumId w:val="12"/>
  </w:num>
  <w:num w:numId="6">
    <w:abstractNumId w:val="32"/>
  </w:num>
  <w:num w:numId="7">
    <w:abstractNumId w:val="16"/>
  </w:num>
  <w:num w:numId="8">
    <w:abstractNumId w:val="15"/>
  </w:num>
  <w:num w:numId="9">
    <w:abstractNumId w:val="11"/>
  </w:num>
  <w:num w:numId="10">
    <w:abstractNumId w:val="9"/>
  </w:num>
  <w:num w:numId="11">
    <w:abstractNumId w:val="20"/>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2"/>
  </w:num>
  <w:num w:numId="15">
    <w:abstractNumId w:val="30"/>
  </w:num>
  <w:num w:numId="16">
    <w:abstractNumId w:val="26"/>
  </w:num>
  <w:num w:numId="17">
    <w:abstractNumId w:val="7"/>
  </w:num>
  <w:num w:numId="18">
    <w:abstractNumId w:val="13"/>
  </w:num>
  <w:num w:numId="19">
    <w:abstractNumId w:val="18"/>
  </w:num>
  <w:num w:numId="20">
    <w:abstractNumId w:val="24"/>
  </w:num>
  <w:num w:numId="21">
    <w:abstractNumId w:val="1"/>
  </w:num>
  <w:num w:numId="22">
    <w:abstractNumId w:val="4"/>
  </w:num>
  <w:num w:numId="23">
    <w:abstractNumId w:val="27"/>
  </w:num>
  <w:num w:numId="24">
    <w:abstractNumId w:val="23"/>
  </w:num>
  <w:num w:numId="25">
    <w:abstractNumId w:val="6"/>
  </w:num>
  <w:num w:numId="26">
    <w:abstractNumId w:val="31"/>
  </w:num>
  <w:num w:numId="27">
    <w:abstractNumId w:val="19"/>
  </w:num>
  <w:num w:numId="28">
    <w:abstractNumId w:val="10"/>
  </w:num>
  <w:num w:numId="29">
    <w:abstractNumId w:val="28"/>
  </w:num>
  <w:num w:numId="30">
    <w:abstractNumId w:val="5"/>
  </w:num>
  <w:num w:numId="31">
    <w:abstractNumId w:val="0"/>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EC"/>
    <w:rsid w:val="00002749"/>
    <w:rsid w:val="0000319E"/>
    <w:rsid w:val="000071BA"/>
    <w:rsid w:val="00010E8A"/>
    <w:rsid w:val="000257F5"/>
    <w:rsid w:val="000444A7"/>
    <w:rsid w:val="00056A28"/>
    <w:rsid w:val="00057317"/>
    <w:rsid w:val="00062D31"/>
    <w:rsid w:val="000B1008"/>
    <w:rsid w:val="000B5FC4"/>
    <w:rsid w:val="000C0E0D"/>
    <w:rsid w:val="000C7A77"/>
    <w:rsid w:val="000D293F"/>
    <w:rsid w:val="000F530A"/>
    <w:rsid w:val="001051BB"/>
    <w:rsid w:val="00122A0A"/>
    <w:rsid w:val="00156E35"/>
    <w:rsid w:val="0015742D"/>
    <w:rsid w:val="00170BD5"/>
    <w:rsid w:val="00171C62"/>
    <w:rsid w:val="001739AC"/>
    <w:rsid w:val="001744CD"/>
    <w:rsid w:val="00180C3D"/>
    <w:rsid w:val="001919D0"/>
    <w:rsid w:val="00191BF4"/>
    <w:rsid w:val="001A7CB2"/>
    <w:rsid w:val="001B5F2A"/>
    <w:rsid w:val="001E4D60"/>
    <w:rsid w:val="001F1A57"/>
    <w:rsid w:val="001F1EC1"/>
    <w:rsid w:val="001F3415"/>
    <w:rsid w:val="001F70A5"/>
    <w:rsid w:val="00207D0B"/>
    <w:rsid w:val="00214887"/>
    <w:rsid w:val="00231F17"/>
    <w:rsid w:val="00243495"/>
    <w:rsid w:val="00263C47"/>
    <w:rsid w:val="00286A96"/>
    <w:rsid w:val="002B7D34"/>
    <w:rsid w:val="002C2C6F"/>
    <w:rsid w:val="002D423F"/>
    <w:rsid w:val="002F6C9C"/>
    <w:rsid w:val="003035CA"/>
    <w:rsid w:val="00303F32"/>
    <w:rsid w:val="00305382"/>
    <w:rsid w:val="00306EE0"/>
    <w:rsid w:val="00310FA3"/>
    <w:rsid w:val="00317D9C"/>
    <w:rsid w:val="0032150E"/>
    <w:rsid w:val="00331E0D"/>
    <w:rsid w:val="0034205A"/>
    <w:rsid w:val="00342348"/>
    <w:rsid w:val="003472E9"/>
    <w:rsid w:val="00347668"/>
    <w:rsid w:val="003557C1"/>
    <w:rsid w:val="00370EEC"/>
    <w:rsid w:val="003840DF"/>
    <w:rsid w:val="00391F07"/>
    <w:rsid w:val="00393FF9"/>
    <w:rsid w:val="003A22A0"/>
    <w:rsid w:val="003A2F70"/>
    <w:rsid w:val="003B55B8"/>
    <w:rsid w:val="003B67B2"/>
    <w:rsid w:val="003C605B"/>
    <w:rsid w:val="003D2C9C"/>
    <w:rsid w:val="003D5D00"/>
    <w:rsid w:val="003E1A83"/>
    <w:rsid w:val="003F1B09"/>
    <w:rsid w:val="003F462E"/>
    <w:rsid w:val="00412708"/>
    <w:rsid w:val="00415FC2"/>
    <w:rsid w:val="00415FF0"/>
    <w:rsid w:val="00423A4C"/>
    <w:rsid w:val="004416B7"/>
    <w:rsid w:val="00443B83"/>
    <w:rsid w:val="004465FE"/>
    <w:rsid w:val="004475D6"/>
    <w:rsid w:val="004501AC"/>
    <w:rsid w:val="004507FA"/>
    <w:rsid w:val="00451B34"/>
    <w:rsid w:val="004555AF"/>
    <w:rsid w:val="0047419C"/>
    <w:rsid w:val="00475B20"/>
    <w:rsid w:val="004923A7"/>
    <w:rsid w:val="0049539B"/>
    <w:rsid w:val="00495F20"/>
    <w:rsid w:val="004A15E0"/>
    <w:rsid w:val="004B1CF7"/>
    <w:rsid w:val="004B1EB4"/>
    <w:rsid w:val="004C34CA"/>
    <w:rsid w:val="004C4ADB"/>
    <w:rsid w:val="004C75C1"/>
    <w:rsid w:val="004F19BD"/>
    <w:rsid w:val="004F503E"/>
    <w:rsid w:val="00510D01"/>
    <w:rsid w:val="00516F1A"/>
    <w:rsid w:val="005256B1"/>
    <w:rsid w:val="00531C34"/>
    <w:rsid w:val="00533AEE"/>
    <w:rsid w:val="005369C4"/>
    <w:rsid w:val="00550A6B"/>
    <w:rsid w:val="005613EC"/>
    <w:rsid w:val="005633F4"/>
    <w:rsid w:val="005674DF"/>
    <w:rsid w:val="005702D7"/>
    <w:rsid w:val="00580E0F"/>
    <w:rsid w:val="00582898"/>
    <w:rsid w:val="005D0392"/>
    <w:rsid w:val="005E7E0D"/>
    <w:rsid w:val="005F0E01"/>
    <w:rsid w:val="00600C06"/>
    <w:rsid w:val="006047AA"/>
    <w:rsid w:val="006116C1"/>
    <w:rsid w:val="00621DC2"/>
    <w:rsid w:val="0063676C"/>
    <w:rsid w:val="0064459C"/>
    <w:rsid w:val="00652D27"/>
    <w:rsid w:val="00661021"/>
    <w:rsid w:val="00662093"/>
    <w:rsid w:val="00670DCB"/>
    <w:rsid w:val="0067162E"/>
    <w:rsid w:val="006723EE"/>
    <w:rsid w:val="00684012"/>
    <w:rsid w:val="006845E2"/>
    <w:rsid w:val="00686A54"/>
    <w:rsid w:val="006A24F2"/>
    <w:rsid w:val="006A3004"/>
    <w:rsid w:val="006B386E"/>
    <w:rsid w:val="006C1E60"/>
    <w:rsid w:val="006D62E8"/>
    <w:rsid w:val="006E5405"/>
    <w:rsid w:val="006E623C"/>
    <w:rsid w:val="006E6D20"/>
    <w:rsid w:val="006F07F8"/>
    <w:rsid w:val="006F2EDD"/>
    <w:rsid w:val="006F4238"/>
    <w:rsid w:val="006F735B"/>
    <w:rsid w:val="006F7E7B"/>
    <w:rsid w:val="00726A85"/>
    <w:rsid w:val="007303F1"/>
    <w:rsid w:val="00736049"/>
    <w:rsid w:val="00741D93"/>
    <w:rsid w:val="00744599"/>
    <w:rsid w:val="0074691E"/>
    <w:rsid w:val="00761322"/>
    <w:rsid w:val="007648A4"/>
    <w:rsid w:val="007721F4"/>
    <w:rsid w:val="0077449E"/>
    <w:rsid w:val="007A493E"/>
    <w:rsid w:val="007A7F37"/>
    <w:rsid w:val="007B2674"/>
    <w:rsid w:val="007C2841"/>
    <w:rsid w:val="007C60F2"/>
    <w:rsid w:val="007D40FB"/>
    <w:rsid w:val="007E41D2"/>
    <w:rsid w:val="007F2ADE"/>
    <w:rsid w:val="007F2C43"/>
    <w:rsid w:val="007F5C1A"/>
    <w:rsid w:val="007F73FE"/>
    <w:rsid w:val="00810107"/>
    <w:rsid w:val="008112D8"/>
    <w:rsid w:val="00830F02"/>
    <w:rsid w:val="008313E6"/>
    <w:rsid w:val="00845681"/>
    <w:rsid w:val="00846B3B"/>
    <w:rsid w:val="0085623B"/>
    <w:rsid w:val="00877393"/>
    <w:rsid w:val="00885090"/>
    <w:rsid w:val="008A1007"/>
    <w:rsid w:val="008A3710"/>
    <w:rsid w:val="008B0C2D"/>
    <w:rsid w:val="008B2C6F"/>
    <w:rsid w:val="008B75C2"/>
    <w:rsid w:val="008C08CC"/>
    <w:rsid w:val="008C201C"/>
    <w:rsid w:val="008F1024"/>
    <w:rsid w:val="008F5210"/>
    <w:rsid w:val="008F6997"/>
    <w:rsid w:val="008F7661"/>
    <w:rsid w:val="00904724"/>
    <w:rsid w:val="00904C3D"/>
    <w:rsid w:val="0091191E"/>
    <w:rsid w:val="00942B2E"/>
    <w:rsid w:val="009434BD"/>
    <w:rsid w:val="009533C3"/>
    <w:rsid w:val="009533D3"/>
    <w:rsid w:val="00954C26"/>
    <w:rsid w:val="0096786F"/>
    <w:rsid w:val="00967FF8"/>
    <w:rsid w:val="00973D0C"/>
    <w:rsid w:val="00982571"/>
    <w:rsid w:val="0098355D"/>
    <w:rsid w:val="00986EA8"/>
    <w:rsid w:val="00993A43"/>
    <w:rsid w:val="009A5DED"/>
    <w:rsid w:val="009B1062"/>
    <w:rsid w:val="009B5B80"/>
    <w:rsid w:val="009C5D41"/>
    <w:rsid w:val="009E016A"/>
    <w:rsid w:val="009E34ED"/>
    <w:rsid w:val="009F0384"/>
    <w:rsid w:val="009F0E94"/>
    <w:rsid w:val="00A078F5"/>
    <w:rsid w:val="00A12244"/>
    <w:rsid w:val="00A1789C"/>
    <w:rsid w:val="00A51BCC"/>
    <w:rsid w:val="00A61930"/>
    <w:rsid w:val="00A64F5E"/>
    <w:rsid w:val="00A730EE"/>
    <w:rsid w:val="00A97ACC"/>
    <w:rsid w:val="00AA3B5D"/>
    <w:rsid w:val="00AA6E85"/>
    <w:rsid w:val="00AB3DBE"/>
    <w:rsid w:val="00AB7070"/>
    <w:rsid w:val="00AD413C"/>
    <w:rsid w:val="00AD445C"/>
    <w:rsid w:val="00AD503D"/>
    <w:rsid w:val="00AD5E3E"/>
    <w:rsid w:val="00B00D7A"/>
    <w:rsid w:val="00B01737"/>
    <w:rsid w:val="00B328B1"/>
    <w:rsid w:val="00B40D80"/>
    <w:rsid w:val="00B52304"/>
    <w:rsid w:val="00B537B5"/>
    <w:rsid w:val="00B53AD3"/>
    <w:rsid w:val="00BA4801"/>
    <w:rsid w:val="00BC3B61"/>
    <w:rsid w:val="00BD0860"/>
    <w:rsid w:val="00BD6063"/>
    <w:rsid w:val="00BD7A8C"/>
    <w:rsid w:val="00BE474C"/>
    <w:rsid w:val="00BF254B"/>
    <w:rsid w:val="00BF46A5"/>
    <w:rsid w:val="00C04A75"/>
    <w:rsid w:val="00C07CD8"/>
    <w:rsid w:val="00C10D5D"/>
    <w:rsid w:val="00C2262E"/>
    <w:rsid w:val="00C247B4"/>
    <w:rsid w:val="00C332F7"/>
    <w:rsid w:val="00C36F62"/>
    <w:rsid w:val="00C443F7"/>
    <w:rsid w:val="00C677F8"/>
    <w:rsid w:val="00C80016"/>
    <w:rsid w:val="00CA0FB8"/>
    <w:rsid w:val="00CB024B"/>
    <w:rsid w:val="00CC140E"/>
    <w:rsid w:val="00CC3C54"/>
    <w:rsid w:val="00CD2F3D"/>
    <w:rsid w:val="00CF3B44"/>
    <w:rsid w:val="00CF3DFD"/>
    <w:rsid w:val="00D039D2"/>
    <w:rsid w:val="00D13539"/>
    <w:rsid w:val="00D16D02"/>
    <w:rsid w:val="00D17B94"/>
    <w:rsid w:val="00D21641"/>
    <w:rsid w:val="00D23EC6"/>
    <w:rsid w:val="00D37B0E"/>
    <w:rsid w:val="00D44786"/>
    <w:rsid w:val="00D624D1"/>
    <w:rsid w:val="00D73537"/>
    <w:rsid w:val="00D761D2"/>
    <w:rsid w:val="00D91DD6"/>
    <w:rsid w:val="00DA6CD2"/>
    <w:rsid w:val="00DC7DAC"/>
    <w:rsid w:val="00DD4545"/>
    <w:rsid w:val="00E00EF5"/>
    <w:rsid w:val="00E03CBB"/>
    <w:rsid w:val="00E273D7"/>
    <w:rsid w:val="00E32291"/>
    <w:rsid w:val="00E34886"/>
    <w:rsid w:val="00E4586A"/>
    <w:rsid w:val="00E512AC"/>
    <w:rsid w:val="00E6323B"/>
    <w:rsid w:val="00E66E8C"/>
    <w:rsid w:val="00E97CC9"/>
    <w:rsid w:val="00E97EFB"/>
    <w:rsid w:val="00EB0FF9"/>
    <w:rsid w:val="00EB73F7"/>
    <w:rsid w:val="00EB7DA8"/>
    <w:rsid w:val="00EC4B13"/>
    <w:rsid w:val="00EC4D1B"/>
    <w:rsid w:val="00EC5D61"/>
    <w:rsid w:val="00ED6C27"/>
    <w:rsid w:val="00F00936"/>
    <w:rsid w:val="00F05E7E"/>
    <w:rsid w:val="00F072E6"/>
    <w:rsid w:val="00F10BD9"/>
    <w:rsid w:val="00F17D4D"/>
    <w:rsid w:val="00F22E42"/>
    <w:rsid w:val="00F30EC0"/>
    <w:rsid w:val="00F32DE4"/>
    <w:rsid w:val="00F36033"/>
    <w:rsid w:val="00F5661C"/>
    <w:rsid w:val="00F61F45"/>
    <w:rsid w:val="00F816CA"/>
    <w:rsid w:val="00F81ABE"/>
    <w:rsid w:val="00F91D8A"/>
    <w:rsid w:val="00FA70F5"/>
    <w:rsid w:val="00FA7BA1"/>
    <w:rsid w:val="00FB44FC"/>
    <w:rsid w:val="00FD5516"/>
    <w:rsid w:val="00FD6FDB"/>
    <w:rsid w:val="00FF26DD"/>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0A5F05"/>
  <w15:docId w15:val="{456ED361-A054-4736-8990-C458D6D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436413014">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634650651">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935985239">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254823170">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724787394">
      <w:bodyDiv w:val="1"/>
      <w:marLeft w:val="0"/>
      <w:marRight w:val="0"/>
      <w:marTop w:val="0"/>
      <w:marBottom w:val="0"/>
      <w:divBdr>
        <w:top w:val="none" w:sz="0" w:space="0" w:color="auto"/>
        <w:left w:val="none" w:sz="0" w:space="0" w:color="auto"/>
        <w:bottom w:val="none" w:sz="0" w:space="0" w:color="auto"/>
        <w:right w:val="none" w:sz="0" w:space="0" w:color="auto"/>
      </w:divBdr>
    </w:div>
    <w:div w:id="1739938199">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1993561504">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09316401F5348979DD0A05FA351F7" ma:contentTypeVersion="2" ma:contentTypeDescription="Create a new document." ma:contentTypeScope="" ma:versionID="752f4e1309594408ba81c49bd5f2270b">
  <xsd:schema xmlns:xsd="http://www.w3.org/2001/XMLSchema" xmlns:p="http://schemas.microsoft.com/office/2006/metadata/properties" xmlns:ns2="6b33d571-5df6-459d-ab74-95cb01e8c2c1" targetNamespace="http://schemas.microsoft.com/office/2006/metadata/properties" ma:root="true" ma:fieldsID="9a9a1fd5d104d7ed3100f54c2224f409" ns2:_="">
    <xsd:import namespace="6b33d571-5df6-459d-ab74-95cb01e8c2c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b33d571-5df6-459d-ab74-95cb01e8c2c1"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b33d571-5df6-459d-ab74-95cb01e8c2c1"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9E3CD-232D-4C9D-905E-2FB8AE95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3d571-5df6-459d-ab74-95cb01e8c2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B4EE6A-6AAF-47A5-B81F-1496C4BFEAD7}">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6b33d571-5df6-459d-ab74-95cb01e8c2c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3B4773-2EC4-4504-B1B0-775BE245210A}">
  <ds:schemaRefs>
    <ds:schemaRef ds:uri="http://schemas.microsoft.com/office/2006/metadata/longProperties"/>
  </ds:schemaRefs>
</ds:datastoreItem>
</file>

<file path=customXml/itemProps4.xml><?xml version="1.0" encoding="utf-8"?>
<ds:datastoreItem xmlns:ds="http://schemas.openxmlformats.org/officeDocument/2006/customXml" ds:itemID="{6A97F791-2FE3-47D2-8978-432DB7EED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Pugh, Susan</cp:lastModifiedBy>
  <cp:revision>2</cp:revision>
  <cp:lastPrinted>2014-01-10T15:04:00Z</cp:lastPrinted>
  <dcterms:created xsi:type="dcterms:W3CDTF">2020-04-29T21:44:00Z</dcterms:created>
  <dcterms:modified xsi:type="dcterms:W3CDTF">2020-04-29T21:44:00Z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0x01010047409316401F5348979DD0A05FA351F7</vt:lpwstr>
  </property>
  <property fmtid="{D5CDD505-2E9C-101B-9397-08002B2CF9AE}" pid="3" name="ContentType">
    <vt:lpwstr>Document</vt:lpwstr>
  </property>
</Properties>
</file>