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B88C" w14:textId="2E1EDFEF" w:rsidR="00B06FA2" w:rsidRPr="00B06FA2" w:rsidRDefault="00B06FA2" w:rsidP="00B06FA2">
      <w:pPr>
        <w:tabs>
          <w:tab w:val="left" w:pos="3936"/>
        </w:tabs>
        <w:spacing w:after="0" w:line="240" w:lineRule="auto"/>
        <w:jc w:val="center"/>
        <w:rPr>
          <w:rFonts w:ascii="Arial" w:eastAsia="Times New Roman" w:hAnsi="Arial" w:cs="Arial"/>
          <w:b/>
          <w:sz w:val="24"/>
          <w:szCs w:val="24"/>
        </w:rPr>
      </w:pPr>
      <w:r w:rsidRPr="00B06FA2">
        <w:rPr>
          <w:rFonts w:ascii="Arial" w:eastAsia="Times New Roman" w:hAnsi="Arial" w:cs="Arial"/>
          <w:b/>
          <w:sz w:val="24"/>
          <w:szCs w:val="24"/>
        </w:rPr>
        <w:t xml:space="preserve">Bureau of </w:t>
      </w:r>
      <w:r>
        <w:rPr>
          <w:rFonts w:ascii="Arial" w:eastAsia="Times New Roman" w:hAnsi="Arial" w:cs="Arial"/>
          <w:b/>
          <w:sz w:val="24"/>
          <w:szCs w:val="24"/>
        </w:rPr>
        <w:t>Services for the Visually Impaired</w:t>
      </w:r>
    </w:p>
    <w:p w14:paraId="5B74BC22" w14:textId="77777777" w:rsidR="00B06FA2" w:rsidRPr="00B06FA2" w:rsidRDefault="00B06FA2" w:rsidP="00B06FA2">
      <w:pPr>
        <w:tabs>
          <w:tab w:val="left" w:pos="3936"/>
        </w:tabs>
        <w:spacing w:after="0" w:line="240" w:lineRule="auto"/>
        <w:jc w:val="center"/>
        <w:rPr>
          <w:rFonts w:ascii="Arial" w:eastAsia="Times New Roman" w:hAnsi="Arial" w:cs="Arial"/>
          <w:b/>
          <w:sz w:val="24"/>
          <w:szCs w:val="24"/>
        </w:rPr>
      </w:pPr>
      <w:r w:rsidRPr="00B06FA2">
        <w:rPr>
          <w:rFonts w:ascii="Arial" w:eastAsia="Times New Roman" w:hAnsi="Arial" w:cs="Arial"/>
          <w:b/>
          <w:sz w:val="24"/>
          <w:szCs w:val="24"/>
        </w:rPr>
        <w:t>OOD Council Briefing- May 6, 2020</w:t>
      </w:r>
    </w:p>
    <w:p w14:paraId="28624622" w14:textId="77777777" w:rsidR="00B06FA2" w:rsidRPr="00B06FA2" w:rsidRDefault="00B06FA2" w:rsidP="00B06FA2">
      <w:pPr>
        <w:tabs>
          <w:tab w:val="left" w:pos="3936"/>
        </w:tabs>
        <w:spacing w:after="0" w:line="240" w:lineRule="auto"/>
        <w:jc w:val="center"/>
        <w:rPr>
          <w:rFonts w:ascii="Arial" w:eastAsia="Times New Roman" w:hAnsi="Arial" w:cs="Arial"/>
          <w:b/>
          <w:sz w:val="24"/>
          <w:szCs w:val="24"/>
        </w:rPr>
      </w:pPr>
    </w:p>
    <w:p w14:paraId="5D2961C3" w14:textId="247DF46B" w:rsidR="00B06FA2" w:rsidRPr="00B06FA2" w:rsidRDefault="00B06FA2" w:rsidP="00B06FA2">
      <w:pPr>
        <w:tabs>
          <w:tab w:val="left" w:pos="3936"/>
        </w:tabs>
        <w:spacing w:after="0" w:line="240" w:lineRule="auto"/>
        <w:jc w:val="both"/>
        <w:rPr>
          <w:rFonts w:ascii="Arial" w:eastAsia="Times New Roman" w:hAnsi="Arial" w:cs="Arial"/>
          <w:sz w:val="24"/>
          <w:szCs w:val="24"/>
        </w:rPr>
      </w:pPr>
      <w:r w:rsidRPr="00B06FA2">
        <w:rPr>
          <w:rFonts w:ascii="Arial" w:eastAsia="Times New Roman" w:hAnsi="Arial" w:cs="Arial"/>
          <w:b/>
          <w:sz w:val="24"/>
          <w:szCs w:val="24"/>
        </w:rPr>
        <w:t xml:space="preserve">Program Performance:  </w:t>
      </w:r>
      <w:r w:rsidRPr="00B06FA2">
        <w:rPr>
          <w:rFonts w:ascii="Arial" w:eastAsia="Times New Roman" w:hAnsi="Arial" w:cs="Arial"/>
          <w:sz w:val="24"/>
          <w:szCs w:val="24"/>
        </w:rPr>
        <w:t>The following table summarizes</w:t>
      </w:r>
      <w:r w:rsidR="005109C0">
        <w:rPr>
          <w:rFonts w:ascii="Arial" w:eastAsia="Times New Roman" w:hAnsi="Arial" w:cs="Arial"/>
          <w:sz w:val="24"/>
          <w:szCs w:val="24"/>
        </w:rPr>
        <w:t xml:space="preserve"> </w:t>
      </w:r>
      <w:r w:rsidRPr="00B06FA2">
        <w:rPr>
          <w:rFonts w:ascii="Arial" w:eastAsia="Times New Roman" w:hAnsi="Arial" w:cs="Arial"/>
          <w:sz w:val="24"/>
          <w:szCs w:val="24"/>
        </w:rPr>
        <w:t>Federal Fiscal Year 2020 performance for the Vocational Rehabilitation (VR) program:</w:t>
      </w:r>
    </w:p>
    <w:tbl>
      <w:tblPr>
        <w:tblW w:w="7348" w:type="dxa"/>
        <w:tblCellMar>
          <w:left w:w="0" w:type="dxa"/>
          <w:right w:w="0" w:type="dxa"/>
        </w:tblCellMar>
        <w:tblLook w:val="04A0" w:firstRow="1" w:lastRow="0" w:firstColumn="1" w:lastColumn="0" w:noHBand="0" w:noVBand="1"/>
      </w:tblPr>
      <w:tblGrid>
        <w:gridCol w:w="625"/>
        <w:gridCol w:w="2880"/>
        <w:gridCol w:w="1418"/>
        <w:gridCol w:w="1296"/>
        <w:gridCol w:w="1129"/>
      </w:tblGrid>
      <w:tr w:rsidR="00D256E3" w14:paraId="7807BFDF" w14:textId="243D64D8" w:rsidTr="005109C0">
        <w:trPr>
          <w:trHeight w:val="556"/>
        </w:trPr>
        <w:tc>
          <w:tcPr>
            <w:tcW w:w="625" w:type="dxa"/>
            <w:noWrap/>
            <w:tcMar>
              <w:top w:w="0" w:type="dxa"/>
              <w:left w:w="108" w:type="dxa"/>
              <w:bottom w:w="0" w:type="dxa"/>
              <w:right w:w="108" w:type="dxa"/>
            </w:tcMar>
            <w:vAlign w:val="bottom"/>
            <w:hideMark/>
          </w:tcPr>
          <w:p w14:paraId="3FC34C93" w14:textId="77777777" w:rsidR="00D256E3" w:rsidRDefault="00D256E3">
            <w:pPr>
              <w:rPr>
                <w:rFonts w:ascii="Arial" w:hAnsi="Arial" w:cs="Arial"/>
              </w:rPr>
            </w:pPr>
          </w:p>
        </w:tc>
        <w:tc>
          <w:tcPr>
            <w:tcW w:w="2880" w:type="dxa"/>
            <w:noWrap/>
            <w:tcMar>
              <w:top w:w="0" w:type="dxa"/>
              <w:left w:w="108" w:type="dxa"/>
              <w:bottom w:w="0" w:type="dxa"/>
              <w:right w:w="108" w:type="dxa"/>
            </w:tcMar>
            <w:vAlign w:val="bottom"/>
            <w:hideMark/>
          </w:tcPr>
          <w:p w14:paraId="425D89D4" w14:textId="77777777" w:rsidR="00D256E3" w:rsidRDefault="00D256E3">
            <w:pPr>
              <w:spacing w:after="160" w:line="256" w:lineRule="auto"/>
              <w:rPr>
                <w:sz w:val="20"/>
                <w:szCs w:val="20"/>
              </w:rPr>
            </w:pPr>
          </w:p>
        </w:tc>
        <w:tc>
          <w:tcPr>
            <w:tcW w:w="1418" w:type="dxa"/>
            <w:noWrap/>
            <w:tcMar>
              <w:top w:w="0" w:type="dxa"/>
              <w:left w:w="108" w:type="dxa"/>
              <w:bottom w:w="0" w:type="dxa"/>
              <w:right w:w="108" w:type="dxa"/>
            </w:tcMar>
            <w:vAlign w:val="bottom"/>
            <w:hideMark/>
          </w:tcPr>
          <w:p w14:paraId="197D6F79" w14:textId="77777777" w:rsidR="00D256E3" w:rsidRDefault="00D256E3">
            <w:pPr>
              <w:spacing w:after="160" w:line="256" w:lineRule="auto"/>
              <w:rPr>
                <w:sz w:val="20"/>
                <w:szCs w:val="20"/>
              </w:rPr>
            </w:pPr>
          </w:p>
        </w:tc>
        <w:tc>
          <w:tcPr>
            <w:tcW w:w="1296" w:type="dxa"/>
            <w:noWrap/>
            <w:tcMar>
              <w:top w:w="0" w:type="dxa"/>
              <w:left w:w="108" w:type="dxa"/>
              <w:bottom w:w="0" w:type="dxa"/>
              <w:right w:w="108" w:type="dxa"/>
            </w:tcMar>
            <w:vAlign w:val="bottom"/>
            <w:hideMark/>
          </w:tcPr>
          <w:p w14:paraId="7C2A262E" w14:textId="77777777" w:rsidR="00D256E3" w:rsidRDefault="00D256E3">
            <w:pPr>
              <w:spacing w:after="160" w:line="256" w:lineRule="auto"/>
              <w:rPr>
                <w:sz w:val="20"/>
                <w:szCs w:val="20"/>
              </w:rPr>
            </w:pPr>
          </w:p>
        </w:tc>
        <w:tc>
          <w:tcPr>
            <w:tcW w:w="1129" w:type="dxa"/>
          </w:tcPr>
          <w:p w14:paraId="625274A1" w14:textId="77777777" w:rsidR="00D256E3" w:rsidRDefault="00D256E3">
            <w:pPr>
              <w:spacing w:after="160" w:line="256" w:lineRule="auto"/>
              <w:rPr>
                <w:sz w:val="20"/>
                <w:szCs w:val="20"/>
              </w:rPr>
            </w:pPr>
          </w:p>
        </w:tc>
      </w:tr>
      <w:tr w:rsidR="00D256E3" w14:paraId="1953F6A8" w14:textId="0651B113" w:rsidTr="005109C0">
        <w:trPr>
          <w:trHeight w:val="288"/>
        </w:trPr>
        <w:tc>
          <w:tcPr>
            <w:tcW w:w="625" w:type="dxa"/>
            <w:noWrap/>
            <w:tcMar>
              <w:top w:w="0" w:type="dxa"/>
              <w:left w:w="108" w:type="dxa"/>
              <w:bottom w:w="0" w:type="dxa"/>
              <w:right w:w="108" w:type="dxa"/>
            </w:tcMar>
            <w:vAlign w:val="bottom"/>
            <w:hideMark/>
          </w:tcPr>
          <w:p w14:paraId="5C58D64E" w14:textId="77777777" w:rsidR="00D256E3" w:rsidRDefault="00D256E3">
            <w:pPr>
              <w:spacing w:after="160" w:line="256" w:lineRule="auto"/>
              <w:rPr>
                <w:sz w:val="20"/>
                <w:szCs w:val="20"/>
              </w:rPr>
            </w:pPr>
          </w:p>
        </w:tc>
        <w:tc>
          <w:tcPr>
            <w:tcW w:w="288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72257C2" w14:textId="77777777" w:rsidR="00D256E3" w:rsidRPr="004B0715" w:rsidRDefault="00D256E3" w:rsidP="004B0715">
            <w:pPr>
              <w:pStyle w:val="xmsonormal"/>
              <w:spacing w:line="256" w:lineRule="auto"/>
              <w:jc w:val="center"/>
              <w:rPr>
                <w:rFonts w:ascii="Arial" w:hAnsi="Arial" w:cs="Arial"/>
                <w:b/>
                <w:bCs/>
              </w:rPr>
            </w:pPr>
            <w:r w:rsidRPr="004B0715">
              <w:rPr>
                <w:rFonts w:ascii="Arial" w:hAnsi="Arial" w:cs="Arial"/>
                <w:b/>
                <w:bCs/>
                <w:color w:val="000000"/>
              </w:rPr>
              <w:t>Metric</w:t>
            </w:r>
          </w:p>
        </w:tc>
        <w:tc>
          <w:tcPr>
            <w:tcW w:w="141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B8D9D1E" w14:textId="4DD54474" w:rsidR="00D256E3" w:rsidRPr="004B0715" w:rsidRDefault="00D427D1" w:rsidP="004B0715">
            <w:pPr>
              <w:pStyle w:val="xmsonormal"/>
              <w:spacing w:line="256" w:lineRule="auto"/>
              <w:jc w:val="center"/>
              <w:rPr>
                <w:rFonts w:ascii="Arial" w:hAnsi="Arial" w:cs="Arial"/>
                <w:b/>
                <w:bCs/>
              </w:rPr>
            </w:pPr>
            <w:r w:rsidRPr="004B0715">
              <w:rPr>
                <w:rFonts w:ascii="Arial" w:hAnsi="Arial" w:cs="Arial"/>
                <w:b/>
                <w:bCs/>
                <w:color w:val="000000"/>
              </w:rPr>
              <w:t>3</w:t>
            </w:r>
            <w:r w:rsidR="00D256E3" w:rsidRPr="004B0715">
              <w:rPr>
                <w:rFonts w:ascii="Arial" w:hAnsi="Arial" w:cs="Arial"/>
                <w:b/>
                <w:bCs/>
                <w:color w:val="000000"/>
              </w:rPr>
              <w:t>/31/201</w:t>
            </w:r>
            <w:r w:rsidRPr="004B0715">
              <w:rPr>
                <w:rFonts w:ascii="Arial" w:hAnsi="Arial" w:cs="Arial"/>
                <w:b/>
                <w:bCs/>
                <w:color w:val="000000"/>
              </w:rPr>
              <w:t>9</w:t>
            </w:r>
          </w:p>
        </w:tc>
        <w:tc>
          <w:tcPr>
            <w:tcW w:w="129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2D17A76" w14:textId="02A931CD" w:rsidR="00D256E3" w:rsidRPr="004B0715" w:rsidRDefault="00D427D1" w:rsidP="004B0715">
            <w:pPr>
              <w:pStyle w:val="xmsonormal"/>
              <w:spacing w:line="256" w:lineRule="auto"/>
              <w:jc w:val="center"/>
              <w:rPr>
                <w:rFonts w:ascii="Arial" w:hAnsi="Arial" w:cs="Arial"/>
                <w:b/>
                <w:bCs/>
              </w:rPr>
            </w:pPr>
            <w:r w:rsidRPr="004B0715">
              <w:rPr>
                <w:rFonts w:ascii="Arial" w:hAnsi="Arial" w:cs="Arial"/>
                <w:b/>
                <w:bCs/>
                <w:color w:val="000000"/>
              </w:rPr>
              <w:t>3</w:t>
            </w:r>
            <w:r w:rsidR="00D256E3" w:rsidRPr="004B0715">
              <w:rPr>
                <w:rFonts w:ascii="Arial" w:hAnsi="Arial" w:cs="Arial"/>
                <w:b/>
                <w:bCs/>
                <w:color w:val="000000"/>
              </w:rPr>
              <w:t>/31/20</w:t>
            </w:r>
            <w:r w:rsidRPr="004B0715">
              <w:rPr>
                <w:rFonts w:ascii="Arial" w:hAnsi="Arial" w:cs="Arial"/>
                <w:b/>
                <w:bCs/>
                <w:color w:val="000000"/>
              </w:rPr>
              <w:t>20</w:t>
            </w:r>
          </w:p>
        </w:tc>
        <w:tc>
          <w:tcPr>
            <w:tcW w:w="1129" w:type="dxa"/>
            <w:tcBorders>
              <w:top w:val="single" w:sz="8" w:space="0" w:color="auto"/>
              <w:left w:val="nil"/>
              <w:bottom w:val="single" w:sz="8" w:space="0" w:color="auto"/>
              <w:right w:val="single" w:sz="8" w:space="0" w:color="auto"/>
            </w:tcBorders>
            <w:shd w:val="clear" w:color="auto" w:fill="D9D9D9"/>
            <w:vAlign w:val="center"/>
          </w:tcPr>
          <w:p w14:paraId="0702CB98" w14:textId="019441A9" w:rsidR="00D256E3" w:rsidRPr="004B0715" w:rsidRDefault="00D256E3" w:rsidP="004B0715">
            <w:pPr>
              <w:pStyle w:val="xmsonormal"/>
              <w:spacing w:line="256" w:lineRule="auto"/>
              <w:jc w:val="center"/>
              <w:rPr>
                <w:rFonts w:ascii="Arial" w:hAnsi="Arial" w:cs="Arial"/>
                <w:b/>
                <w:bCs/>
                <w:color w:val="000000"/>
              </w:rPr>
            </w:pPr>
            <w:r w:rsidRPr="004B0715">
              <w:rPr>
                <w:rFonts w:ascii="Arial" w:hAnsi="Arial" w:cs="Arial"/>
                <w:b/>
                <w:bCs/>
                <w:color w:val="000000"/>
              </w:rPr>
              <w:t>Percent Change</w:t>
            </w:r>
          </w:p>
        </w:tc>
      </w:tr>
      <w:tr w:rsidR="00B14383" w14:paraId="7D9FD6AC" w14:textId="0B289D30" w:rsidTr="005109C0">
        <w:trPr>
          <w:trHeight w:val="288"/>
        </w:trPr>
        <w:tc>
          <w:tcPr>
            <w:tcW w:w="625" w:type="dxa"/>
            <w:noWrap/>
            <w:tcMar>
              <w:top w:w="0" w:type="dxa"/>
              <w:left w:w="108" w:type="dxa"/>
              <w:bottom w:w="0" w:type="dxa"/>
              <w:right w:w="108" w:type="dxa"/>
            </w:tcMar>
            <w:vAlign w:val="bottom"/>
            <w:hideMark/>
          </w:tcPr>
          <w:p w14:paraId="452A5330" w14:textId="77777777" w:rsidR="00B14383" w:rsidRDefault="00B14383" w:rsidP="00B14383">
            <w:pPr>
              <w:rPr>
                <w:b/>
                <w:bCs/>
              </w:rPr>
            </w:pPr>
          </w:p>
        </w:tc>
        <w:tc>
          <w:tcPr>
            <w:tcW w:w="288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03C62F35" w14:textId="77777777" w:rsidR="00B14383" w:rsidRPr="004B0715" w:rsidRDefault="00B14383" w:rsidP="004B0715">
            <w:pPr>
              <w:pStyle w:val="xmsonormal"/>
              <w:spacing w:line="256" w:lineRule="auto"/>
              <w:rPr>
                <w:rFonts w:ascii="Arial" w:hAnsi="Arial" w:cs="Arial"/>
                <w:b/>
                <w:bCs/>
              </w:rPr>
            </w:pPr>
            <w:r w:rsidRPr="004B0715">
              <w:rPr>
                <w:rFonts w:ascii="Arial" w:hAnsi="Arial" w:cs="Arial"/>
                <w:b/>
                <w:bCs/>
                <w:color w:val="000000"/>
              </w:rPr>
              <w:t xml:space="preserve">Eligibility Decisions </w:t>
            </w:r>
          </w:p>
        </w:tc>
        <w:tc>
          <w:tcPr>
            <w:tcW w:w="1418"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650DC4C4" w14:textId="46A11DA0"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522</w:t>
            </w:r>
          </w:p>
        </w:tc>
        <w:tc>
          <w:tcPr>
            <w:tcW w:w="1296"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5C427C1A" w14:textId="76F016DE"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555</w:t>
            </w:r>
          </w:p>
        </w:tc>
        <w:tc>
          <w:tcPr>
            <w:tcW w:w="1129" w:type="dxa"/>
            <w:tcBorders>
              <w:top w:val="nil"/>
              <w:left w:val="nil"/>
              <w:bottom w:val="single" w:sz="8" w:space="0" w:color="4BACC6"/>
              <w:right w:val="single" w:sz="8" w:space="0" w:color="4BACC6"/>
            </w:tcBorders>
            <w:shd w:val="clear" w:color="auto" w:fill="DAEEF3"/>
            <w:vAlign w:val="center"/>
          </w:tcPr>
          <w:p w14:paraId="302301FF" w14:textId="73AA3BF4" w:rsidR="00B14383" w:rsidRPr="004B0715" w:rsidRDefault="00B14383" w:rsidP="00D427D1">
            <w:pPr>
              <w:pStyle w:val="xmsonormal"/>
              <w:spacing w:line="256" w:lineRule="auto"/>
              <w:jc w:val="center"/>
              <w:rPr>
                <w:rFonts w:ascii="Arial" w:hAnsi="Arial" w:cs="Arial"/>
                <w:b/>
                <w:bCs/>
                <w:color w:val="000000"/>
              </w:rPr>
            </w:pPr>
            <w:r w:rsidRPr="004B0715">
              <w:rPr>
                <w:rFonts w:ascii="Arial" w:hAnsi="Arial" w:cs="Arial"/>
                <w:b/>
                <w:bCs/>
                <w:color w:val="000000"/>
              </w:rPr>
              <w:t>6%</w:t>
            </w:r>
          </w:p>
        </w:tc>
      </w:tr>
      <w:tr w:rsidR="00B14383" w14:paraId="29C987AA" w14:textId="147CA784" w:rsidTr="005109C0">
        <w:trPr>
          <w:trHeight w:val="288"/>
        </w:trPr>
        <w:tc>
          <w:tcPr>
            <w:tcW w:w="625" w:type="dxa"/>
            <w:noWrap/>
            <w:tcMar>
              <w:top w:w="0" w:type="dxa"/>
              <w:left w:w="108" w:type="dxa"/>
              <w:bottom w:w="0" w:type="dxa"/>
              <w:right w:w="108" w:type="dxa"/>
            </w:tcMar>
            <w:vAlign w:val="bottom"/>
            <w:hideMark/>
          </w:tcPr>
          <w:p w14:paraId="77FB6D88" w14:textId="77777777" w:rsidR="00B14383" w:rsidRDefault="00B14383" w:rsidP="00B14383"/>
        </w:tc>
        <w:tc>
          <w:tcPr>
            <w:tcW w:w="288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center"/>
            <w:hideMark/>
          </w:tcPr>
          <w:p w14:paraId="03A5EDBA" w14:textId="77777777" w:rsidR="00B14383" w:rsidRPr="004B0715" w:rsidRDefault="00B14383" w:rsidP="004B0715">
            <w:pPr>
              <w:pStyle w:val="xmsonormal"/>
              <w:spacing w:line="256" w:lineRule="auto"/>
              <w:rPr>
                <w:rFonts w:ascii="Arial" w:hAnsi="Arial" w:cs="Arial"/>
                <w:b/>
                <w:bCs/>
              </w:rPr>
            </w:pPr>
            <w:r w:rsidRPr="004B0715">
              <w:rPr>
                <w:rFonts w:ascii="Arial" w:hAnsi="Arial" w:cs="Arial"/>
                <w:b/>
                <w:bCs/>
                <w:color w:val="000000"/>
              </w:rPr>
              <w:t xml:space="preserve">Plans Written </w:t>
            </w:r>
          </w:p>
        </w:tc>
        <w:tc>
          <w:tcPr>
            <w:tcW w:w="1418" w:type="dxa"/>
            <w:tcBorders>
              <w:top w:val="nil"/>
              <w:left w:val="nil"/>
              <w:bottom w:val="single" w:sz="8" w:space="0" w:color="5B9BD5"/>
              <w:right w:val="single" w:sz="8" w:space="0" w:color="5B9BD5"/>
            </w:tcBorders>
            <w:noWrap/>
            <w:tcMar>
              <w:top w:w="0" w:type="dxa"/>
              <w:left w:w="108" w:type="dxa"/>
              <w:bottom w:w="0" w:type="dxa"/>
              <w:right w:w="108" w:type="dxa"/>
            </w:tcMar>
            <w:vAlign w:val="center"/>
            <w:hideMark/>
          </w:tcPr>
          <w:p w14:paraId="0F9D9AAA" w14:textId="5B38CE0B"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398</w:t>
            </w:r>
          </w:p>
        </w:tc>
        <w:tc>
          <w:tcPr>
            <w:tcW w:w="1296" w:type="dxa"/>
            <w:tcBorders>
              <w:top w:val="nil"/>
              <w:left w:val="nil"/>
              <w:bottom w:val="single" w:sz="8" w:space="0" w:color="5B9BD5"/>
              <w:right w:val="single" w:sz="8" w:space="0" w:color="5B9BD5"/>
            </w:tcBorders>
            <w:noWrap/>
            <w:tcMar>
              <w:top w:w="0" w:type="dxa"/>
              <w:left w:w="108" w:type="dxa"/>
              <w:bottom w:w="0" w:type="dxa"/>
              <w:right w:w="108" w:type="dxa"/>
            </w:tcMar>
            <w:vAlign w:val="center"/>
            <w:hideMark/>
          </w:tcPr>
          <w:p w14:paraId="2C433809" w14:textId="573FECD2"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379</w:t>
            </w:r>
          </w:p>
        </w:tc>
        <w:tc>
          <w:tcPr>
            <w:tcW w:w="1129" w:type="dxa"/>
            <w:tcBorders>
              <w:top w:val="nil"/>
              <w:left w:val="nil"/>
              <w:bottom w:val="single" w:sz="8" w:space="0" w:color="4BACC6"/>
              <w:right w:val="single" w:sz="8" w:space="0" w:color="4BACC6"/>
            </w:tcBorders>
            <w:vAlign w:val="center"/>
          </w:tcPr>
          <w:p w14:paraId="0D3327A2" w14:textId="4A6D0D01" w:rsidR="00B14383" w:rsidRPr="004B0715" w:rsidRDefault="00B14383" w:rsidP="00D427D1">
            <w:pPr>
              <w:pStyle w:val="xmsonormal"/>
              <w:spacing w:line="256" w:lineRule="auto"/>
              <w:jc w:val="center"/>
              <w:rPr>
                <w:rFonts w:ascii="Arial" w:hAnsi="Arial" w:cs="Arial"/>
                <w:b/>
                <w:bCs/>
                <w:color w:val="000000"/>
              </w:rPr>
            </w:pPr>
            <w:r w:rsidRPr="004B0715">
              <w:rPr>
                <w:rFonts w:ascii="Arial" w:hAnsi="Arial" w:cs="Arial"/>
                <w:b/>
                <w:bCs/>
                <w:color w:val="000000"/>
              </w:rPr>
              <w:t>-5%</w:t>
            </w:r>
          </w:p>
        </w:tc>
      </w:tr>
      <w:tr w:rsidR="00B14383" w14:paraId="35C8080C" w14:textId="17A1EF12" w:rsidTr="005109C0">
        <w:trPr>
          <w:trHeight w:val="288"/>
        </w:trPr>
        <w:tc>
          <w:tcPr>
            <w:tcW w:w="625" w:type="dxa"/>
            <w:noWrap/>
            <w:tcMar>
              <w:top w:w="0" w:type="dxa"/>
              <w:left w:w="108" w:type="dxa"/>
              <w:bottom w:w="0" w:type="dxa"/>
              <w:right w:w="108" w:type="dxa"/>
            </w:tcMar>
            <w:vAlign w:val="bottom"/>
            <w:hideMark/>
          </w:tcPr>
          <w:p w14:paraId="336648CB" w14:textId="77777777" w:rsidR="00B14383" w:rsidRDefault="00B14383" w:rsidP="00B14383"/>
        </w:tc>
        <w:tc>
          <w:tcPr>
            <w:tcW w:w="288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76036AE2" w14:textId="77777777" w:rsidR="00B14383" w:rsidRPr="004B0715" w:rsidRDefault="00B14383" w:rsidP="004B0715">
            <w:pPr>
              <w:pStyle w:val="xmsonormal"/>
              <w:spacing w:line="256" w:lineRule="auto"/>
              <w:rPr>
                <w:rFonts w:ascii="Arial" w:hAnsi="Arial" w:cs="Arial"/>
                <w:b/>
                <w:bCs/>
              </w:rPr>
            </w:pPr>
            <w:r w:rsidRPr="004B0715">
              <w:rPr>
                <w:rFonts w:ascii="Arial" w:hAnsi="Arial" w:cs="Arial"/>
                <w:b/>
                <w:bCs/>
                <w:color w:val="000000"/>
              </w:rPr>
              <w:t xml:space="preserve">Eligible + Served </w:t>
            </w:r>
          </w:p>
        </w:tc>
        <w:tc>
          <w:tcPr>
            <w:tcW w:w="1418"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7C2869D1" w14:textId="0261CD6E"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1,789</w:t>
            </w:r>
          </w:p>
        </w:tc>
        <w:tc>
          <w:tcPr>
            <w:tcW w:w="1296"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357071BC" w14:textId="4D3F801B"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1,837</w:t>
            </w:r>
          </w:p>
        </w:tc>
        <w:tc>
          <w:tcPr>
            <w:tcW w:w="1129" w:type="dxa"/>
            <w:tcBorders>
              <w:top w:val="nil"/>
              <w:left w:val="nil"/>
              <w:bottom w:val="single" w:sz="8" w:space="0" w:color="4BACC6"/>
              <w:right w:val="single" w:sz="8" w:space="0" w:color="4BACC6"/>
            </w:tcBorders>
            <w:shd w:val="clear" w:color="auto" w:fill="DAEEF3"/>
            <w:vAlign w:val="center"/>
          </w:tcPr>
          <w:p w14:paraId="3A5D4647" w14:textId="1822710A" w:rsidR="00B14383" w:rsidRPr="004B0715" w:rsidRDefault="00B14383" w:rsidP="00D427D1">
            <w:pPr>
              <w:pStyle w:val="xmsonormal"/>
              <w:spacing w:line="256" w:lineRule="auto"/>
              <w:jc w:val="center"/>
              <w:rPr>
                <w:rFonts w:ascii="Arial" w:hAnsi="Arial" w:cs="Arial"/>
                <w:b/>
                <w:bCs/>
                <w:color w:val="000000"/>
              </w:rPr>
            </w:pPr>
            <w:r w:rsidRPr="004B0715">
              <w:rPr>
                <w:rFonts w:ascii="Arial" w:hAnsi="Arial" w:cs="Arial"/>
                <w:b/>
                <w:bCs/>
                <w:color w:val="000000"/>
              </w:rPr>
              <w:t>3%</w:t>
            </w:r>
          </w:p>
        </w:tc>
      </w:tr>
      <w:tr w:rsidR="00B14383" w14:paraId="1F4EB242" w14:textId="4499EC91" w:rsidTr="005109C0">
        <w:trPr>
          <w:trHeight w:val="288"/>
        </w:trPr>
        <w:tc>
          <w:tcPr>
            <w:tcW w:w="625" w:type="dxa"/>
            <w:noWrap/>
            <w:tcMar>
              <w:top w:w="0" w:type="dxa"/>
              <w:left w:w="108" w:type="dxa"/>
              <w:bottom w:w="0" w:type="dxa"/>
              <w:right w:w="108" w:type="dxa"/>
            </w:tcMar>
            <w:vAlign w:val="bottom"/>
            <w:hideMark/>
          </w:tcPr>
          <w:p w14:paraId="55E98A87" w14:textId="77777777" w:rsidR="00B14383" w:rsidRDefault="00B14383" w:rsidP="00B14383"/>
        </w:tc>
        <w:tc>
          <w:tcPr>
            <w:tcW w:w="288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center"/>
            <w:hideMark/>
          </w:tcPr>
          <w:p w14:paraId="7B743288" w14:textId="77777777" w:rsidR="00B14383" w:rsidRPr="004B0715" w:rsidRDefault="00B14383" w:rsidP="004B0715">
            <w:pPr>
              <w:pStyle w:val="xmsonormal"/>
              <w:spacing w:line="256" w:lineRule="auto"/>
              <w:rPr>
                <w:rFonts w:ascii="Arial" w:hAnsi="Arial" w:cs="Arial"/>
                <w:b/>
                <w:bCs/>
              </w:rPr>
            </w:pPr>
            <w:r w:rsidRPr="004B0715">
              <w:rPr>
                <w:rFonts w:ascii="Arial" w:hAnsi="Arial" w:cs="Arial"/>
                <w:b/>
                <w:bCs/>
                <w:color w:val="000000"/>
              </w:rPr>
              <w:t xml:space="preserve">Rehabilitations </w:t>
            </w:r>
          </w:p>
        </w:tc>
        <w:tc>
          <w:tcPr>
            <w:tcW w:w="1418" w:type="dxa"/>
            <w:tcBorders>
              <w:top w:val="nil"/>
              <w:left w:val="nil"/>
              <w:bottom w:val="single" w:sz="8" w:space="0" w:color="5B9BD5"/>
              <w:right w:val="single" w:sz="8" w:space="0" w:color="5B9BD5"/>
            </w:tcBorders>
            <w:noWrap/>
            <w:tcMar>
              <w:top w:w="0" w:type="dxa"/>
              <w:left w:w="108" w:type="dxa"/>
              <w:bottom w:w="0" w:type="dxa"/>
              <w:right w:w="108" w:type="dxa"/>
            </w:tcMar>
            <w:vAlign w:val="center"/>
            <w:hideMark/>
          </w:tcPr>
          <w:p w14:paraId="33C39546" w14:textId="3C8AC997"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171</w:t>
            </w:r>
          </w:p>
        </w:tc>
        <w:tc>
          <w:tcPr>
            <w:tcW w:w="1296" w:type="dxa"/>
            <w:tcBorders>
              <w:top w:val="nil"/>
              <w:left w:val="nil"/>
              <w:bottom w:val="single" w:sz="8" w:space="0" w:color="5B9BD5"/>
              <w:right w:val="single" w:sz="8" w:space="0" w:color="5B9BD5"/>
            </w:tcBorders>
            <w:noWrap/>
            <w:tcMar>
              <w:top w:w="0" w:type="dxa"/>
              <w:left w:w="108" w:type="dxa"/>
              <w:bottom w:w="0" w:type="dxa"/>
              <w:right w:w="108" w:type="dxa"/>
            </w:tcMar>
            <w:vAlign w:val="center"/>
            <w:hideMark/>
          </w:tcPr>
          <w:p w14:paraId="714280A8" w14:textId="3291D52E"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180</w:t>
            </w:r>
          </w:p>
        </w:tc>
        <w:tc>
          <w:tcPr>
            <w:tcW w:w="1129" w:type="dxa"/>
            <w:tcBorders>
              <w:top w:val="nil"/>
              <w:left w:val="nil"/>
              <w:bottom w:val="single" w:sz="8" w:space="0" w:color="4BACC6"/>
              <w:right w:val="single" w:sz="8" w:space="0" w:color="4BACC6"/>
            </w:tcBorders>
            <w:vAlign w:val="center"/>
          </w:tcPr>
          <w:p w14:paraId="60155F46" w14:textId="1FAC1B5B" w:rsidR="00B14383" w:rsidRPr="004B0715" w:rsidRDefault="00B14383" w:rsidP="00D427D1">
            <w:pPr>
              <w:pStyle w:val="xmsonormal"/>
              <w:spacing w:line="256" w:lineRule="auto"/>
              <w:jc w:val="center"/>
              <w:rPr>
                <w:rFonts w:ascii="Arial" w:hAnsi="Arial" w:cs="Arial"/>
                <w:b/>
                <w:bCs/>
                <w:color w:val="000000"/>
              </w:rPr>
            </w:pPr>
            <w:r w:rsidRPr="004B0715">
              <w:rPr>
                <w:rFonts w:ascii="Arial" w:hAnsi="Arial" w:cs="Arial"/>
                <w:b/>
                <w:bCs/>
                <w:color w:val="000000"/>
              </w:rPr>
              <w:t>5.3%</w:t>
            </w:r>
          </w:p>
        </w:tc>
      </w:tr>
      <w:tr w:rsidR="00B14383" w14:paraId="1B379706" w14:textId="7404A61F" w:rsidTr="005109C0">
        <w:trPr>
          <w:trHeight w:val="288"/>
        </w:trPr>
        <w:tc>
          <w:tcPr>
            <w:tcW w:w="625" w:type="dxa"/>
            <w:noWrap/>
            <w:tcMar>
              <w:top w:w="0" w:type="dxa"/>
              <w:left w:w="108" w:type="dxa"/>
              <w:bottom w:w="0" w:type="dxa"/>
              <w:right w:w="108" w:type="dxa"/>
            </w:tcMar>
            <w:vAlign w:val="bottom"/>
            <w:hideMark/>
          </w:tcPr>
          <w:p w14:paraId="29193FF5" w14:textId="77777777" w:rsidR="00B14383" w:rsidRDefault="00B14383" w:rsidP="00B14383"/>
        </w:tc>
        <w:tc>
          <w:tcPr>
            <w:tcW w:w="2880" w:type="dxa"/>
            <w:tcBorders>
              <w:top w:val="nil"/>
              <w:left w:val="single" w:sz="8" w:space="0" w:color="5B9BD5"/>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48B75366" w14:textId="77777777" w:rsidR="00B14383" w:rsidRPr="004B0715" w:rsidRDefault="00B14383" w:rsidP="004B0715">
            <w:pPr>
              <w:pStyle w:val="xmsonormal"/>
              <w:spacing w:line="256" w:lineRule="auto"/>
              <w:rPr>
                <w:rFonts w:ascii="Arial" w:hAnsi="Arial" w:cs="Arial"/>
                <w:b/>
                <w:bCs/>
              </w:rPr>
            </w:pPr>
            <w:r w:rsidRPr="004B0715">
              <w:rPr>
                <w:rFonts w:ascii="Arial" w:hAnsi="Arial" w:cs="Arial"/>
                <w:b/>
                <w:bCs/>
                <w:color w:val="000000"/>
              </w:rPr>
              <w:t xml:space="preserve">Average Wage </w:t>
            </w:r>
          </w:p>
        </w:tc>
        <w:tc>
          <w:tcPr>
            <w:tcW w:w="1418"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3C074F24" w14:textId="731041B3"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 xml:space="preserve">$14.11 </w:t>
            </w:r>
          </w:p>
        </w:tc>
        <w:tc>
          <w:tcPr>
            <w:tcW w:w="1296" w:type="dxa"/>
            <w:tcBorders>
              <w:top w:val="nil"/>
              <w:left w:val="nil"/>
              <w:bottom w:val="single" w:sz="8" w:space="0" w:color="5B9BD5"/>
              <w:right w:val="single" w:sz="8" w:space="0" w:color="5B9BD5"/>
            </w:tcBorders>
            <w:shd w:val="clear" w:color="auto" w:fill="DDEBF7"/>
            <w:noWrap/>
            <w:tcMar>
              <w:top w:w="0" w:type="dxa"/>
              <w:left w:w="108" w:type="dxa"/>
              <w:bottom w:w="0" w:type="dxa"/>
              <w:right w:w="108" w:type="dxa"/>
            </w:tcMar>
            <w:vAlign w:val="center"/>
            <w:hideMark/>
          </w:tcPr>
          <w:p w14:paraId="7F73DECF" w14:textId="397CAF26"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 xml:space="preserve">$15.17 </w:t>
            </w:r>
          </w:p>
        </w:tc>
        <w:tc>
          <w:tcPr>
            <w:tcW w:w="1129" w:type="dxa"/>
            <w:tcBorders>
              <w:top w:val="nil"/>
              <w:left w:val="nil"/>
              <w:bottom w:val="single" w:sz="8" w:space="0" w:color="4BACC6"/>
              <w:right w:val="single" w:sz="8" w:space="0" w:color="4BACC6"/>
            </w:tcBorders>
            <w:shd w:val="clear" w:color="auto" w:fill="DAEEF3"/>
            <w:vAlign w:val="center"/>
          </w:tcPr>
          <w:p w14:paraId="7165E227" w14:textId="7F5813C7" w:rsidR="00B14383" w:rsidRPr="004B0715" w:rsidRDefault="00B14383" w:rsidP="00D427D1">
            <w:pPr>
              <w:pStyle w:val="xmsonormal"/>
              <w:spacing w:line="256" w:lineRule="auto"/>
              <w:jc w:val="center"/>
              <w:rPr>
                <w:rFonts w:ascii="Arial" w:hAnsi="Arial" w:cs="Arial"/>
                <w:b/>
                <w:bCs/>
                <w:color w:val="000000"/>
              </w:rPr>
            </w:pPr>
            <w:r w:rsidRPr="004B0715">
              <w:rPr>
                <w:rFonts w:ascii="Arial" w:hAnsi="Arial" w:cs="Arial"/>
                <w:b/>
                <w:bCs/>
                <w:color w:val="000000"/>
              </w:rPr>
              <w:t>8%</w:t>
            </w:r>
          </w:p>
        </w:tc>
      </w:tr>
      <w:tr w:rsidR="00B14383" w14:paraId="32C1082E" w14:textId="789B7607" w:rsidTr="005109C0">
        <w:trPr>
          <w:trHeight w:val="288"/>
        </w:trPr>
        <w:tc>
          <w:tcPr>
            <w:tcW w:w="625" w:type="dxa"/>
            <w:noWrap/>
            <w:tcMar>
              <w:top w:w="0" w:type="dxa"/>
              <w:left w:w="108" w:type="dxa"/>
              <w:bottom w:w="0" w:type="dxa"/>
              <w:right w:w="108" w:type="dxa"/>
            </w:tcMar>
            <w:vAlign w:val="bottom"/>
            <w:hideMark/>
          </w:tcPr>
          <w:p w14:paraId="3EA98357" w14:textId="77777777" w:rsidR="00B14383" w:rsidRDefault="00B14383" w:rsidP="00B14383"/>
        </w:tc>
        <w:tc>
          <w:tcPr>
            <w:tcW w:w="2880" w:type="dxa"/>
            <w:tcBorders>
              <w:top w:val="nil"/>
              <w:left w:val="single" w:sz="8" w:space="0" w:color="5B9BD5"/>
              <w:bottom w:val="single" w:sz="8" w:space="0" w:color="5B9BD5"/>
              <w:right w:val="single" w:sz="8" w:space="0" w:color="5B9BD5"/>
            </w:tcBorders>
            <w:noWrap/>
            <w:tcMar>
              <w:top w:w="0" w:type="dxa"/>
              <w:left w:w="108" w:type="dxa"/>
              <w:bottom w:w="0" w:type="dxa"/>
              <w:right w:w="108" w:type="dxa"/>
            </w:tcMar>
            <w:vAlign w:val="center"/>
            <w:hideMark/>
          </w:tcPr>
          <w:p w14:paraId="0820895C" w14:textId="77777777" w:rsidR="00B14383" w:rsidRPr="004B0715" w:rsidRDefault="00B14383" w:rsidP="004B0715">
            <w:pPr>
              <w:pStyle w:val="xmsonormal"/>
              <w:spacing w:line="256" w:lineRule="auto"/>
              <w:rPr>
                <w:rFonts w:ascii="Arial" w:hAnsi="Arial" w:cs="Arial"/>
                <w:b/>
                <w:bCs/>
              </w:rPr>
            </w:pPr>
            <w:r w:rsidRPr="004B0715">
              <w:rPr>
                <w:rFonts w:ascii="Arial" w:hAnsi="Arial" w:cs="Arial"/>
                <w:b/>
                <w:bCs/>
                <w:color w:val="000000"/>
              </w:rPr>
              <w:t xml:space="preserve">Average Hours </w:t>
            </w:r>
          </w:p>
        </w:tc>
        <w:tc>
          <w:tcPr>
            <w:tcW w:w="1418" w:type="dxa"/>
            <w:tcBorders>
              <w:top w:val="nil"/>
              <w:left w:val="nil"/>
              <w:bottom w:val="single" w:sz="8" w:space="0" w:color="5B9BD5"/>
              <w:right w:val="single" w:sz="8" w:space="0" w:color="5B9BD5"/>
            </w:tcBorders>
            <w:noWrap/>
            <w:tcMar>
              <w:top w:w="0" w:type="dxa"/>
              <w:left w:w="108" w:type="dxa"/>
              <w:bottom w:w="0" w:type="dxa"/>
              <w:right w:w="108" w:type="dxa"/>
            </w:tcMar>
            <w:vAlign w:val="center"/>
            <w:hideMark/>
          </w:tcPr>
          <w:p w14:paraId="63423F59" w14:textId="00DD735C"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28.4</w:t>
            </w:r>
          </w:p>
        </w:tc>
        <w:tc>
          <w:tcPr>
            <w:tcW w:w="1296" w:type="dxa"/>
            <w:tcBorders>
              <w:top w:val="nil"/>
              <w:left w:val="nil"/>
              <w:bottom w:val="single" w:sz="8" w:space="0" w:color="5B9BD5"/>
              <w:right w:val="single" w:sz="8" w:space="0" w:color="5B9BD5"/>
            </w:tcBorders>
            <w:noWrap/>
            <w:tcMar>
              <w:top w:w="0" w:type="dxa"/>
              <w:left w:w="108" w:type="dxa"/>
              <w:bottom w:w="0" w:type="dxa"/>
              <w:right w:w="108" w:type="dxa"/>
            </w:tcMar>
            <w:vAlign w:val="center"/>
            <w:hideMark/>
          </w:tcPr>
          <w:p w14:paraId="7F852A9F" w14:textId="57E903A9" w:rsidR="00B14383" w:rsidRPr="004B0715" w:rsidRDefault="00B14383" w:rsidP="00B14383">
            <w:pPr>
              <w:pStyle w:val="xmsonormal"/>
              <w:spacing w:line="256" w:lineRule="auto"/>
              <w:jc w:val="both"/>
              <w:rPr>
                <w:rFonts w:ascii="Arial" w:hAnsi="Arial" w:cs="Arial"/>
                <w:b/>
                <w:bCs/>
              </w:rPr>
            </w:pPr>
            <w:r w:rsidRPr="004B0715">
              <w:rPr>
                <w:rFonts w:ascii="Arial" w:hAnsi="Arial" w:cs="Arial"/>
                <w:b/>
                <w:bCs/>
                <w:color w:val="000000"/>
              </w:rPr>
              <w:t>29.2</w:t>
            </w:r>
          </w:p>
        </w:tc>
        <w:tc>
          <w:tcPr>
            <w:tcW w:w="1129" w:type="dxa"/>
            <w:tcBorders>
              <w:top w:val="nil"/>
              <w:left w:val="nil"/>
              <w:bottom w:val="single" w:sz="8" w:space="0" w:color="4BACC6"/>
              <w:right w:val="single" w:sz="8" w:space="0" w:color="4BACC6"/>
            </w:tcBorders>
            <w:vAlign w:val="center"/>
          </w:tcPr>
          <w:p w14:paraId="7F0BE75F" w14:textId="213E5FE2" w:rsidR="00B14383" w:rsidRPr="004B0715" w:rsidRDefault="00B14383" w:rsidP="00D427D1">
            <w:pPr>
              <w:pStyle w:val="xmsonormal"/>
              <w:spacing w:line="256" w:lineRule="auto"/>
              <w:jc w:val="center"/>
              <w:rPr>
                <w:rFonts w:ascii="Arial" w:hAnsi="Arial" w:cs="Arial"/>
                <w:b/>
                <w:bCs/>
                <w:color w:val="000000"/>
              </w:rPr>
            </w:pPr>
            <w:r w:rsidRPr="004B0715">
              <w:rPr>
                <w:rFonts w:ascii="Arial" w:hAnsi="Arial" w:cs="Arial"/>
                <w:b/>
                <w:bCs/>
                <w:color w:val="000000"/>
              </w:rPr>
              <w:t>2.8%</w:t>
            </w:r>
          </w:p>
        </w:tc>
      </w:tr>
    </w:tbl>
    <w:p w14:paraId="32638E46" w14:textId="77777777" w:rsidR="00D256E3" w:rsidRDefault="00D256E3" w:rsidP="00D256E3">
      <w:pPr>
        <w:rPr>
          <w:rFonts w:ascii="Arial" w:eastAsia="Times New Roman" w:hAnsi="Arial" w:cs="Arial"/>
        </w:rPr>
      </w:pPr>
    </w:p>
    <w:p w14:paraId="286F81B5" w14:textId="6F919076" w:rsidR="004B0715" w:rsidRPr="005109C0" w:rsidRDefault="004B0715" w:rsidP="004B0715">
      <w:pPr>
        <w:rPr>
          <w:rFonts w:ascii="Arial" w:hAnsi="Arial" w:cs="Arial"/>
          <w:sz w:val="24"/>
          <w:szCs w:val="24"/>
        </w:rPr>
      </w:pPr>
      <w:r w:rsidRPr="005109C0">
        <w:rPr>
          <w:rFonts w:ascii="Arial" w:hAnsi="Arial" w:cs="Arial"/>
          <w:b/>
          <w:bCs/>
          <w:sz w:val="24"/>
          <w:szCs w:val="24"/>
        </w:rPr>
        <w:t>Programmatic Updates</w:t>
      </w:r>
      <w:r w:rsidRPr="005109C0">
        <w:rPr>
          <w:rFonts w:ascii="Arial" w:hAnsi="Arial" w:cs="Arial"/>
          <w:sz w:val="24"/>
          <w:szCs w:val="24"/>
        </w:rPr>
        <w:t>:</w:t>
      </w:r>
    </w:p>
    <w:p w14:paraId="3E5FF94D" w14:textId="472CAE9C" w:rsidR="00193BD7" w:rsidRPr="005109C0" w:rsidRDefault="00193BD7" w:rsidP="00193BD7">
      <w:pPr>
        <w:pStyle w:val="ListParagraph"/>
        <w:numPr>
          <w:ilvl w:val="0"/>
          <w:numId w:val="1"/>
        </w:numPr>
        <w:rPr>
          <w:rFonts w:ascii="Arial" w:hAnsi="Arial" w:cs="Arial"/>
          <w:sz w:val="24"/>
          <w:szCs w:val="24"/>
        </w:rPr>
      </w:pPr>
      <w:r w:rsidRPr="005109C0">
        <w:rPr>
          <w:rFonts w:ascii="Arial" w:hAnsi="Arial" w:cs="Arial"/>
          <w:sz w:val="24"/>
          <w:szCs w:val="24"/>
        </w:rPr>
        <w:t>OOD is working in partnership with The Ohio Channel to make transcripts from the Governor’s daily press conferences available to individuals who may not be able to access the information visually or auditorily, such as individuals who are deafblind. OOD staff receive the AI generated transcripts from The Ohio Channel late the same day, they are then edited to formatting and grammatical corrections. The</w:t>
      </w:r>
      <w:r w:rsidR="00E51546">
        <w:rPr>
          <w:rFonts w:ascii="Arial" w:hAnsi="Arial" w:cs="Arial"/>
          <w:sz w:val="24"/>
          <w:szCs w:val="24"/>
        </w:rPr>
        <w:t xml:space="preserve"> transcripts </w:t>
      </w:r>
      <w:r w:rsidRPr="005109C0">
        <w:rPr>
          <w:rFonts w:ascii="Arial" w:hAnsi="Arial" w:cs="Arial"/>
          <w:sz w:val="24"/>
          <w:szCs w:val="24"/>
        </w:rPr>
        <w:t>are then sent out to the deafblind advocacy groups, the CCD’s, and posted on OOD’s Newsline channel.</w:t>
      </w:r>
    </w:p>
    <w:p w14:paraId="3B8C7629" w14:textId="56221A4C" w:rsidR="00193BD7" w:rsidRPr="005109C0" w:rsidRDefault="00193BD7" w:rsidP="00193BD7">
      <w:pPr>
        <w:pStyle w:val="ListParagraph"/>
        <w:numPr>
          <w:ilvl w:val="0"/>
          <w:numId w:val="1"/>
        </w:numPr>
        <w:rPr>
          <w:rFonts w:ascii="Arial" w:hAnsi="Arial" w:cs="Arial"/>
          <w:sz w:val="24"/>
          <w:szCs w:val="24"/>
        </w:rPr>
      </w:pPr>
      <w:r w:rsidRPr="005109C0">
        <w:rPr>
          <w:rFonts w:ascii="Arial" w:hAnsi="Arial" w:cs="Arial"/>
          <w:sz w:val="24"/>
          <w:szCs w:val="24"/>
        </w:rPr>
        <w:t>As ODJFS develops and implements their new unemployment applicant systems, OOD staff (Katie Frederick and Leonard Rojas) are working in collaboration with ODJFS staff to test the accessibility of the system to ensure that it is accessible for all Ohioans.</w:t>
      </w:r>
    </w:p>
    <w:p w14:paraId="7557B13E" w14:textId="0D818516" w:rsidR="00193BD7" w:rsidRPr="005109C0" w:rsidRDefault="00193BD7" w:rsidP="00193BD7">
      <w:pPr>
        <w:pStyle w:val="ListParagraph"/>
        <w:numPr>
          <w:ilvl w:val="0"/>
          <w:numId w:val="1"/>
        </w:numPr>
        <w:rPr>
          <w:rFonts w:ascii="Arial" w:hAnsi="Arial" w:cs="Arial"/>
          <w:sz w:val="24"/>
          <w:szCs w:val="24"/>
        </w:rPr>
      </w:pPr>
      <w:r w:rsidRPr="005109C0">
        <w:rPr>
          <w:rFonts w:ascii="Arial" w:hAnsi="Arial" w:cs="Arial"/>
          <w:sz w:val="24"/>
          <w:szCs w:val="24"/>
        </w:rPr>
        <w:t xml:space="preserve">New guidance was developed and released to the providers of Orientation and Mobility services, allowing for remote assessment and </w:t>
      </w:r>
      <w:r w:rsidR="009F64BC" w:rsidRPr="005109C0">
        <w:rPr>
          <w:rFonts w:ascii="Arial" w:hAnsi="Arial" w:cs="Arial"/>
          <w:sz w:val="24"/>
          <w:szCs w:val="24"/>
        </w:rPr>
        <w:t xml:space="preserve">services under a limited scope. This might include instruction to family members in skills such as sighted guide and home organization/safety assessments. </w:t>
      </w:r>
    </w:p>
    <w:p w14:paraId="5B5DA5A7" w14:textId="3A1F49FD" w:rsidR="009F64BC" w:rsidRPr="005109C0" w:rsidRDefault="009F64BC" w:rsidP="00193BD7">
      <w:pPr>
        <w:pStyle w:val="ListParagraph"/>
        <w:numPr>
          <w:ilvl w:val="0"/>
          <w:numId w:val="1"/>
        </w:numPr>
        <w:rPr>
          <w:rFonts w:ascii="Arial" w:hAnsi="Arial" w:cs="Arial"/>
          <w:sz w:val="24"/>
          <w:szCs w:val="24"/>
        </w:rPr>
      </w:pPr>
      <w:r w:rsidRPr="005109C0">
        <w:rPr>
          <w:rFonts w:ascii="Arial" w:hAnsi="Arial" w:cs="Arial"/>
          <w:sz w:val="24"/>
          <w:szCs w:val="24"/>
        </w:rPr>
        <w:t>OOD is hosting weekly meetings for the CCD Directors to allow them to stay connected as a network and collectively problem solve similar issues such as remote interpreting and access to information.</w:t>
      </w:r>
    </w:p>
    <w:p w14:paraId="11BF852F" w14:textId="783EE6FE" w:rsidR="009F64BC" w:rsidRPr="005109C0" w:rsidRDefault="009F64BC" w:rsidP="00193BD7">
      <w:pPr>
        <w:pStyle w:val="ListParagraph"/>
        <w:numPr>
          <w:ilvl w:val="0"/>
          <w:numId w:val="1"/>
        </w:numPr>
        <w:rPr>
          <w:rFonts w:ascii="Arial" w:hAnsi="Arial" w:cs="Arial"/>
          <w:sz w:val="24"/>
          <w:szCs w:val="24"/>
        </w:rPr>
      </w:pPr>
      <w:r w:rsidRPr="005109C0">
        <w:rPr>
          <w:rFonts w:ascii="Arial" w:hAnsi="Arial" w:cs="Arial"/>
          <w:sz w:val="24"/>
          <w:szCs w:val="24"/>
        </w:rPr>
        <w:t xml:space="preserve">OOD staff have been collecting resources to share with consumers and community partners to help reduce isolation as individuals are required to stay in their homes. Resources have included national, state, and local resources to help individuals meet their basic needs. </w:t>
      </w:r>
    </w:p>
    <w:p w14:paraId="203087B3" w14:textId="3B463BB3" w:rsidR="009F64BC" w:rsidRPr="005109C0" w:rsidRDefault="009F64BC" w:rsidP="00193BD7">
      <w:pPr>
        <w:pStyle w:val="ListParagraph"/>
        <w:numPr>
          <w:ilvl w:val="0"/>
          <w:numId w:val="1"/>
        </w:numPr>
        <w:rPr>
          <w:rFonts w:ascii="Arial" w:hAnsi="Arial" w:cs="Arial"/>
          <w:sz w:val="24"/>
          <w:szCs w:val="24"/>
        </w:rPr>
      </w:pPr>
      <w:r w:rsidRPr="005109C0">
        <w:rPr>
          <w:rFonts w:ascii="Arial" w:hAnsi="Arial" w:cs="Arial"/>
          <w:sz w:val="24"/>
          <w:szCs w:val="24"/>
        </w:rPr>
        <w:t>BSVI is partnering with the National Federation of the Blind of Ohio on May 5 to engage with the blind community through a teleconference. The purpose is to connect with this group of individuals with vision loss to provide updates on services, remote delivery and availability of services, as well as what to expect from OOD during this time.</w:t>
      </w:r>
    </w:p>
    <w:p w14:paraId="13489797" w14:textId="06816DB9" w:rsidR="00D256E3" w:rsidRDefault="00D256E3" w:rsidP="3F7D4CF5">
      <w:pPr>
        <w:tabs>
          <w:tab w:val="left" w:pos="6074"/>
        </w:tabs>
        <w:rPr>
          <w:rFonts w:ascii="Times New Roman" w:eastAsia="Times New Roman" w:hAnsi="Times New Roman" w:cs="Times New Roman"/>
          <w:sz w:val="24"/>
          <w:szCs w:val="24"/>
        </w:rPr>
      </w:pPr>
    </w:p>
    <w:p w14:paraId="2E5B0024" w14:textId="77777777" w:rsidR="00166170" w:rsidRDefault="00166170" w:rsidP="3F7D4CF5">
      <w:pPr>
        <w:tabs>
          <w:tab w:val="left" w:pos="6074"/>
        </w:tabs>
        <w:rPr>
          <w:rFonts w:ascii="Times New Roman" w:eastAsia="Times New Roman" w:hAnsi="Times New Roman" w:cs="Times New Roman"/>
          <w:sz w:val="24"/>
          <w:szCs w:val="24"/>
        </w:rPr>
      </w:pPr>
    </w:p>
    <w:sectPr w:rsidR="00166170" w:rsidSect="00600D72">
      <w:headerReference w:type="default" r:id="rId11"/>
      <w:footerReference w:type="default" r:id="rId12"/>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805C" w14:textId="77777777" w:rsidR="00896BD6" w:rsidRDefault="00896BD6" w:rsidP="009D61C4">
      <w:pPr>
        <w:spacing w:after="0" w:line="240" w:lineRule="auto"/>
      </w:pPr>
      <w:r>
        <w:separator/>
      </w:r>
    </w:p>
  </w:endnote>
  <w:endnote w:type="continuationSeparator" w:id="0">
    <w:p w14:paraId="517FAE06" w14:textId="77777777" w:rsidR="00896BD6" w:rsidRDefault="00896BD6" w:rsidP="009D61C4">
      <w:pPr>
        <w:spacing w:after="0" w:line="240" w:lineRule="auto"/>
      </w:pPr>
      <w:r>
        <w:continuationSeparator/>
      </w:r>
    </w:p>
  </w:endnote>
  <w:endnote w:type="continuationNotice" w:id="1">
    <w:p w14:paraId="0DC8DDE7" w14:textId="77777777" w:rsidR="00896BD6" w:rsidRDefault="00896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906F" w14:textId="53380F57" w:rsidR="00687826" w:rsidRPr="00687826" w:rsidRDefault="00F957F6" w:rsidP="004F271D">
    <w:pPr>
      <w:tabs>
        <w:tab w:val="left" w:pos="3060"/>
        <w:tab w:val="left" w:pos="5400"/>
      </w:tabs>
      <w:autoSpaceDE w:val="0"/>
      <w:autoSpaceDN w:val="0"/>
      <w:adjustRightInd w:val="0"/>
      <w:spacing w:after="0" w:line="240" w:lineRule="auto"/>
      <w:ind w:left="1800"/>
      <w:rPr>
        <w:rFonts w:ascii="Arial" w:eastAsia="Times New Roman" w:hAnsi="Arial" w:cs="Arial"/>
        <w:color w:val="525051"/>
        <w:sz w:val="20"/>
        <w:szCs w:val="20"/>
      </w:rPr>
    </w:pPr>
    <w:r>
      <w:rPr>
        <w:rFonts w:ascii="Arial" w:eastAsia="Times New Roman" w:hAnsi="Arial" w:cs="Arial"/>
        <w:color w:val="525051"/>
        <w:sz w:val="20"/>
        <w:szCs w:val="20"/>
      </w:rPr>
      <w:t>400 E. Campus View Blvd.</w:t>
    </w:r>
    <w:r w:rsidR="007E0503">
      <w:rPr>
        <w:rFonts w:ascii="Arial" w:eastAsia="Times New Roman" w:hAnsi="Arial" w:cs="Arial"/>
        <w:color w:val="525051"/>
        <w:sz w:val="20"/>
        <w:szCs w:val="20"/>
      </w:rPr>
      <w:tab/>
    </w:r>
    <w:r w:rsidR="007E0503">
      <w:rPr>
        <w:rFonts w:ascii="Arial" w:eastAsia="Times New Roman" w:hAnsi="Arial" w:cs="Arial"/>
        <w:color w:val="525051"/>
        <w:sz w:val="20"/>
        <w:szCs w:val="20"/>
      </w:rPr>
      <w:tab/>
      <w:t xml:space="preserve">614 | </w:t>
    </w:r>
    <w:r w:rsidR="004F271D">
      <w:rPr>
        <w:rFonts w:ascii="Arial" w:eastAsia="Times New Roman" w:hAnsi="Arial" w:cs="Arial"/>
        <w:color w:val="525051"/>
        <w:sz w:val="20"/>
        <w:szCs w:val="20"/>
      </w:rPr>
      <w:t>438 1203</w:t>
    </w:r>
  </w:p>
  <w:p w14:paraId="7C459070" w14:textId="7B754546" w:rsidR="00687826" w:rsidRPr="00687826" w:rsidRDefault="004F271D" w:rsidP="00687826">
    <w:pPr>
      <w:tabs>
        <w:tab w:val="left" w:pos="3060"/>
        <w:tab w:val="left" w:pos="5400"/>
      </w:tabs>
      <w:autoSpaceDE w:val="0"/>
      <w:autoSpaceDN w:val="0"/>
      <w:adjustRightInd w:val="0"/>
      <w:spacing w:after="0" w:line="240" w:lineRule="auto"/>
      <w:ind w:left="1800"/>
      <w:rPr>
        <w:rFonts w:ascii="Arial" w:eastAsia="Times New Roman" w:hAnsi="Arial" w:cs="Arial"/>
        <w:color w:val="525051"/>
        <w:sz w:val="20"/>
        <w:szCs w:val="20"/>
      </w:rPr>
    </w:pPr>
    <w:r>
      <w:rPr>
        <w:rFonts w:ascii="Arial" w:eastAsia="Times New Roman" w:hAnsi="Arial" w:cs="Arial"/>
        <w:color w:val="525051"/>
        <w:sz w:val="20"/>
        <w:szCs w:val="20"/>
      </w:rPr>
      <w:t>Columbus, OH 43235-</w:t>
    </w:r>
    <w:proofErr w:type="gramStart"/>
    <w:r>
      <w:rPr>
        <w:rFonts w:ascii="Arial" w:eastAsia="Times New Roman" w:hAnsi="Arial" w:cs="Arial"/>
        <w:color w:val="525051"/>
        <w:sz w:val="20"/>
        <w:szCs w:val="20"/>
      </w:rPr>
      <w:t>4604</w:t>
    </w:r>
    <w:r w:rsidR="00014FD4">
      <w:rPr>
        <w:rFonts w:ascii="Arial" w:eastAsia="Times New Roman" w:hAnsi="Arial" w:cs="Arial"/>
        <w:color w:val="525051"/>
        <w:sz w:val="20"/>
        <w:szCs w:val="20"/>
      </w:rPr>
      <w:t xml:space="preserve">  </w:t>
    </w:r>
    <w:r w:rsidR="007E0503">
      <w:rPr>
        <w:rFonts w:ascii="Arial" w:eastAsia="Times New Roman" w:hAnsi="Arial" w:cs="Arial"/>
        <w:color w:val="525051"/>
        <w:sz w:val="20"/>
        <w:szCs w:val="20"/>
      </w:rPr>
      <w:t>U.S.A.</w:t>
    </w:r>
    <w:proofErr w:type="gramEnd"/>
    <w:r w:rsidR="007E0503">
      <w:rPr>
        <w:rFonts w:ascii="Arial" w:eastAsia="Times New Roman" w:hAnsi="Arial" w:cs="Arial"/>
        <w:color w:val="525051"/>
        <w:sz w:val="20"/>
        <w:szCs w:val="20"/>
      </w:rPr>
      <w:tab/>
    </w:r>
    <w:r w:rsidR="007E0503">
      <w:rPr>
        <w:rFonts w:ascii="Arial" w:eastAsia="Times New Roman" w:hAnsi="Arial" w:cs="Arial"/>
        <w:color w:val="525051"/>
        <w:sz w:val="20"/>
        <w:szCs w:val="20"/>
      </w:rPr>
      <w:tab/>
      <w:t xml:space="preserve">800 | </w:t>
    </w:r>
    <w:r>
      <w:rPr>
        <w:rFonts w:ascii="Arial" w:eastAsia="Times New Roman" w:hAnsi="Arial" w:cs="Arial"/>
        <w:color w:val="525051"/>
        <w:sz w:val="20"/>
        <w:szCs w:val="20"/>
      </w:rPr>
      <w:t>282 4536</w:t>
    </w:r>
  </w:p>
  <w:p w14:paraId="7C459071" w14:textId="67FE5F4E" w:rsidR="00687826" w:rsidRPr="00687826" w:rsidRDefault="00687826" w:rsidP="00687826">
    <w:pPr>
      <w:tabs>
        <w:tab w:val="left" w:pos="1710"/>
        <w:tab w:val="right" w:pos="6210"/>
        <w:tab w:val="left" w:pos="6300"/>
        <w:tab w:val="left" w:pos="7740"/>
      </w:tabs>
      <w:autoSpaceDE w:val="0"/>
      <w:autoSpaceDN w:val="0"/>
      <w:adjustRightInd w:val="0"/>
      <w:spacing w:after="0" w:line="240" w:lineRule="auto"/>
      <w:ind w:left="1440" w:right="-90"/>
      <w:rPr>
        <w:rFonts w:ascii="Arial" w:eastAsia="Times New Roman" w:hAnsi="Arial" w:cs="Arial"/>
        <w:color w:val="525051"/>
        <w:sz w:val="20"/>
        <w:szCs w:val="20"/>
      </w:rPr>
    </w:pPr>
    <w:r w:rsidRPr="00687826">
      <w:rPr>
        <w:rFonts w:ascii="Times New Roman" w:eastAsia="Times New Roman" w:hAnsi="Times New Roman" w:cs="Times New Roman"/>
        <w:sz w:val="24"/>
        <w:szCs w:val="24"/>
      </w:rPr>
      <w:t xml:space="preserve">      </w:t>
    </w:r>
    <w:hyperlink r:id="rId1" w:history="1">
      <w:r w:rsidRPr="00687826">
        <w:rPr>
          <w:rFonts w:ascii="Arial" w:eastAsia="Times New Roman" w:hAnsi="Arial" w:cs="Arial"/>
          <w:color w:val="525051"/>
          <w:sz w:val="20"/>
          <w:szCs w:val="20"/>
        </w:rPr>
        <w:t>www.ood.ohio.gov</w:t>
      </w:r>
    </w:hyperlink>
    <w:r w:rsidRPr="00687826">
      <w:rPr>
        <w:rFonts w:ascii="Arial" w:eastAsia="Times New Roman" w:hAnsi="Arial" w:cs="Arial"/>
        <w:color w:val="525051"/>
        <w:sz w:val="20"/>
        <w:szCs w:val="20"/>
      </w:rPr>
      <w:tab/>
      <w:t xml:space="preserve">                                          </w:t>
    </w:r>
  </w:p>
  <w:p w14:paraId="7C459072" w14:textId="77777777" w:rsidR="009D61C4" w:rsidRPr="00687826" w:rsidRDefault="009D61C4" w:rsidP="0068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B10E" w14:textId="77777777" w:rsidR="00896BD6" w:rsidRDefault="00896BD6" w:rsidP="009D61C4">
      <w:pPr>
        <w:spacing w:after="0" w:line="240" w:lineRule="auto"/>
      </w:pPr>
      <w:r>
        <w:separator/>
      </w:r>
    </w:p>
  </w:footnote>
  <w:footnote w:type="continuationSeparator" w:id="0">
    <w:p w14:paraId="5E156C9D" w14:textId="77777777" w:rsidR="00896BD6" w:rsidRDefault="00896BD6" w:rsidP="009D61C4">
      <w:pPr>
        <w:spacing w:after="0" w:line="240" w:lineRule="auto"/>
      </w:pPr>
      <w:r>
        <w:continuationSeparator/>
      </w:r>
    </w:p>
  </w:footnote>
  <w:footnote w:type="continuationNotice" w:id="1">
    <w:p w14:paraId="2092164B" w14:textId="77777777" w:rsidR="00896BD6" w:rsidRDefault="00896B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906E" w14:textId="5A48F4FA" w:rsidR="009D61C4" w:rsidRDefault="001255F1" w:rsidP="00600D72">
    <w:pPr>
      <w:pStyle w:val="Header"/>
      <w:ind w:left="-540"/>
    </w:pPr>
    <w:r>
      <w:rPr>
        <w:noProof/>
      </w:rPr>
      <w:drawing>
        <wp:inline distT="0" distB="0" distL="0" distR="0" wp14:anchorId="3BEB0FEF" wp14:editId="3C189E2B">
          <wp:extent cx="3474720" cy="1051560"/>
          <wp:effectExtent l="0" t="0" r="0" b="0"/>
          <wp:docPr id="1" name="Picture 1" descr="Ohio Opportunities for Ohioans with Disabilities&#10;Bureau of Services for the Visually Impaired&#10;Bureau of Vocational Rehabilation&#10;Division of Disability Determination" title="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 OOD medium w-bureaus and names_left justifi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4720" cy="1051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968CD"/>
    <w:multiLevelType w:val="hybridMultilevel"/>
    <w:tmpl w:val="8F8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1MjMxNDczsTAyNTZV0lEKTi0uzszPAymwrAUAF7UWPSwAAAA="/>
  </w:docVars>
  <w:rsids>
    <w:rsidRoot w:val="009D61C4"/>
    <w:rsid w:val="00005C30"/>
    <w:rsid w:val="00014FD4"/>
    <w:rsid w:val="0007204F"/>
    <w:rsid w:val="0012178C"/>
    <w:rsid w:val="001255F1"/>
    <w:rsid w:val="00166170"/>
    <w:rsid w:val="00193BD7"/>
    <w:rsid w:val="001D3D9A"/>
    <w:rsid w:val="00277CC7"/>
    <w:rsid w:val="003C36EA"/>
    <w:rsid w:val="004015D1"/>
    <w:rsid w:val="004303A0"/>
    <w:rsid w:val="00492CC5"/>
    <w:rsid w:val="004B0715"/>
    <w:rsid w:val="004D76FD"/>
    <w:rsid w:val="004F271D"/>
    <w:rsid w:val="005109C0"/>
    <w:rsid w:val="005779A7"/>
    <w:rsid w:val="00592444"/>
    <w:rsid w:val="005A5C7E"/>
    <w:rsid w:val="005B381B"/>
    <w:rsid w:val="00600D72"/>
    <w:rsid w:val="0060196B"/>
    <w:rsid w:val="00687826"/>
    <w:rsid w:val="00715C62"/>
    <w:rsid w:val="007E0503"/>
    <w:rsid w:val="00831D14"/>
    <w:rsid w:val="00896BD6"/>
    <w:rsid w:val="008C3EDA"/>
    <w:rsid w:val="008E1A34"/>
    <w:rsid w:val="00952AAD"/>
    <w:rsid w:val="009D61C4"/>
    <w:rsid w:val="009F64BC"/>
    <w:rsid w:val="00A27F4F"/>
    <w:rsid w:val="00AC11CE"/>
    <w:rsid w:val="00B06FA2"/>
    <w:rsid w:val="00B14383"/>
    <w:rsid w:val="00BC7E42"/>
    <w:rsid w:val="00BD6EBF"/>
    <w:rsid w:val="00C74588"/>
    <w:rsid w:val="00D256E3"/>
    <w:rsid w:val="00D427D1"/>
    <w:rsid w:val="00D64311"/>
    <w:rsid w:val="00E476D8"/>
    <w:rsid w:val="00E51546"/>
    <w:rsid w:val="00F41CE9"/>
    <w:rsid w:val="00F618AE"/>
    <w:rsid w:val="00F949D5"/>
    <w:rsid w:val="00F957F6"/>
    <w:rsid w:val="04E33E20"/>
    <w:rsid w:val="3F7D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59069"/>
  <w15:docId w15:val="{B7627E3D-BBEA-4999-A51C-E04786C2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4"/>
  </w:style>
  <w:style w:type="paragraph" w:styleId="Footer">
    <w:name w:val="footer"/>
    <w:basedOn w:val="Normal"/>
    <w:link w:val="FooterChar"/>
    <w:uiPriority w:val="99"/>
    <w:unhideWhenUsed/>
    <w:rsid w:val="009D6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4"/>
  </w:style>
  <w:style w:type="paragraph" w:styleId="BalloonText">
    <w:name w:val="Balloon Text"/>
    <w:basedOn w:val="Normal"/>
    <w:link w:val="BalloonTextChar"/>
    <w:uiPriority w:val="99"/>
    <w:semiHidden/>
    <w:unhideWhenUsed/>
    <w:rsid w:val="009D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C4"/>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xmsonormal">
    <w:name w:val="x_msonormal"/>
    <w:basedOn w:val="Normal"/>
    <w:rsid w:val="00D256E3"/>
    <w:pPr>
      <w:spacing w:after="0" w:line="240" w:lineRule="auto"/>
    </w:pPr>
    <w:rPr>
      <w:rFonts w:ascii="Calibri" w:hAnsi="Calibri" w:cs="Calibri"/>
    </w:rPr>
  </w:style>
  <w:style w:type="paragraph" w:styleId="ListParagraph">
    <w:name w:val="List Paragraph"/>
    <w:basedOn w:val="Normal"/>
    <w:uiPriority w:val="34"/>
    <w:qFormat/>
    <w:rsid w:val="0019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04501">
      <w:bodyDiv w:val="1"/>
      <w:marLeft w:val="0"/>
      <w:marRight w:val="0"/>
      <w:marTop w:val="0"/>
      <w:marBottom w:val="0"/>
      <w:divBdr>
        <w:top w:val="none" w:sz="0" w:space="0" w:color="auto"/>
        <w:left w:val="none" w:sz="0" w:space="0" w:color="auto"/>
        <w:bottom w:val="none" w:sz="0" w:space="0" w:color="auto"/>
        <w:right w:val="none" w:sz="0" w:space="0" w:color="auto"/>
      </w:divBdr>
    </w:div>
    <w:div w:id="9300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sc.ohi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7AD1EDA3DC743880FCEFEF3A5BDD7" ma:contentTypeVersion="3" ma:contentTypeDescription="Create a new document." ma:contentTypeScope="" ma:versionID="d1330a5fb4b44baca2cc28b164a4a3f1">
  <xsd:schema xmlns:xsd="http://www.w3.org/2001/XMLSchema" xmlns:xs="http://www.w3.org/2001/XMLSchema" xmlns:p="http://schemas.microsoft.com/office/2006/metadata/properties" xmlns:ns3="bd6985b5-018e-4a73-96c9-4c85e77608cc" targetNamespace="http://schemas.microsoft.com/office/2006/metadata/properties" ma:root="true" ma:fieldsID="9e2b019eab9a1a4d1259bc1dbfadfd9a" ns3:_="">
    <xsd:import namespace="bd6985b5-018e-4a73-96c9-4c85e77608cc"/>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985b5-018e-4a73-96c9-4c85e7760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9197-DFDB-4FA4-96D1-36FD932E647D}">
  <ds:schemaRefs>
    <ds:schemaRef ds:uri="http://schemas.microsoft.com/sharepoint/v3/contenttype/forms"/>
  </ds:schemaRefs>
</ds:datastoreItem>
</file>

<file path=customXml/itemProps2.xml><?xml version="1.0" encoding="utf-8"?>
<ds:datastoreItem xmlns:ds="http://schemas.openxmlformats.org/officeDocument/2006/customXml" ds:itemID="{8F115F4B-E3AA-48B8-A475-76A836F1892C}">
  <ds:schemaRefs>
    <ds:schemaRef ds:uri="http://schemas.microsoft.com/office/2006/metadata/properties"/>
  </ds:schemaRefs>
</ds:datastoreItem>
</file>

<file path=customXml/itemProps3.xml><?xml version="1.0" encoding="utf-8"?>
<ds:datastoreItem xmlns:ds="http://schemas.openxmlformats.org/officeDocument/2006/customXml" ds:itemID="{E1117FF7-7A46-4977-8293-70CE2BBB4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985b5-018e-4a73-96c9-4c85e7760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434C7-88A6-4705-9259-2436E908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Gregory Dormer</cp:lastModifiedBy>
  <cp:revision>2</cp:revision>
  <dcterms:created xsi:type="dcterms:W3CDTF">2020-04-30T14:59:00Z</dcterms:created>
  <dcterms:modified xsi:type="dcterms:W3CDTF">2020-04-30T14:59:00Z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0x01010057A7AD1EDA3DC743880FCEFEF3A5BDD7</vt:lpwstr>
  </property>
  <property fmtid="{D5CDD505-2E9C-101B-9397-08002B2CF9AE}" pid="3" name="_dlc_DocIdItemGuid">
    <vt:lpwstr>69b8d919-06c9-4f49-8a76-054283dc9596</vt:lpwstr>
  </property>
</Properties>
</file>