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B88C" w14:textId="53DBD43F" w:rsidR="00B06FA2" w:rsidRPr="00B06FA2" w:rsidRDefault="00B06FA2" w:rsidP="00B06FA2">
      <w:pPr>
        <w:tabs>
          <w:tab w:val="left" w:pos="39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6FA2">
        <w:rPr>
          <w:rFonts w:ascii="Arial" w:eastAsia="Times New Roman" w:hAnsi="Arial" w:cs="Arial"/>
          <w:b/>
          <w:sz w:val="24"/>
          <w:szCs w:val="24"/>
        </w:rPr>
        <w:t xml:space="preserve">Bureau of </w:t>
      </w:r>
      <w:r>
        <w:rPr>
          <w:rFonts w:ascii="Arial" w:eastAsia="Times New Roman" w:hAnsi="Arial" w:cs="Arial"/>
          <w:b/>
          <w:sz w:val="24"/>
          <w:szCs w:val="24"/>
        </w:rPr>
        <w:t>Services for the Visually Impaired</w:t>
      </w:r>
    </w:p>
    <w:p w14:paraId="5B74BC22" w14:textId="13D33F49" w:rsidR="00B06FA2" w:rsidRPr="00B06FA2" w:rsidRDefault="00B06FA2" w:rsidP="00B06FA2">
      <w:pPr>
        <w:tabs>
          <w:tab w:val="left" w:pos="39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6FA2">
        <w:rPr>
          <w:rFonts w:ascii="Arial" w:eastAsia="Times New Roman" w:hAnsi="Arial" w:cs="Arial"/>
          <w:b/>
          <w:sz w:val="24"/>
          <w:szCs w:val="24"/>
        </w:rPr>
        <w:t xml:space="preserve">OOD Council Briefing- </w:t>
      </w:r>
      <w:r w:rsidR="00FB693D">
        <w:rPr>
          <w:rFonts w:ascii="Arial" w:eastAsia="Times New Roman" w:hAnsi="Arial" w:cs="Arial"/>
          <w:b/>
          <w:sz w:val="24"/>
          <w:szCs w:val="24"/>
        </w:rPr>
        <w:t>November 18</w:t>
      </w:r>
      <w:r w:rsidRPr="00B06FA2">
        <w:rPr>
          <w:rFonts w:ascii="Arial" w:eastAsia="Times New Roman" w:hAnsi="Arial" w:cs="Arial"/>
          <w:b/>
          <w:sz w:val="24"/>
          <w:szCs w:val="24"/>
        </w:rPr>
        <w:t>, 2020</w:t>
      </w:r>
    </w:p>
    <w:p w14:paraId="28624622" w14:textId="77777777" w:rsidR="00B06FA2" w:rsidRPr="00B06FA2" w:rsidRDefault="00B06FA2" w:rsidP="00B06FA2">
      <w:pPr>
        <w:tabs>
          <w:tab w:val="left" w:pos="39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D2961C3" w14:textId="247DF46B" w:rsidR="00B06FA2" w:rsidRPr="00B06FA2" w:rsidRDefault="00B06FA2" w:rsidP="00B06FA2">
      <w:pPr>
        <w:tabs>
          <w:tab w:val="left" w:pos="39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6FA2">
        <w:rPr>
          <w:rFonts w:ascii="Arial" w:eastAsia="Times New Roman" w:hAnsi="Arial" w:cs="Arial"/>
          <w:b/>
          <w:sz w:val="24"/>
          <w:szCs w:val="24"/>
        </w:rPr>
        <w:t xml:space="preserve">Program Performance:  </w:t>
      </w:r>
      <w:r w:rsidRPr="00B06FA2">
        <w:rPr>
          <w:rFonts w:ascii="Arial" w:eastAsia="Times New Roman" w:hAnsi="Arial" w:cs="Arial"/>
          <w:sz w:val="24"/>
          <w:szCs w:val="24"/>
        </w:rPr>
        <w:t>The following table summarizes</w:t>
      </w:r>
      <w:r w:rsidR="005109C0">
        <w:rPr>
          <w:rFonts w:ascii="Arial" w:eastAsia="Times New Roman" w:hAnsi="Arial" w:cs="Arial"/>
          <w:sz w:val="24"/>
          <w:szCs w:val="24"/>
        </w:rPr>
        <w:t xml:space="preserve"> </w:t>
      </w:r>
      <w:r w:rsidRPr="00B06FA2">
        <w:rPr>
          <w:rFonts w:ascii="Arial" w:eastAsia="Times New Roman" w:hAnsi="Arial" w:cs="Arial"/>
          <w:sz w:val="24"/>
          <w:szCs w:val="24"/>
        </w:rPr>
        <w:t>Federal Fiscal Year 2020 performance for the Vocational Rehabilitation (VR) program:</w:t>
      </w:r>
    </w:p>
    <w:tbl>
      <w:tblPr>
        <w:tblW w:w="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15"/>
        <w:gridCol w:w="2880"/>
        <w:gridCol w:w="152"/>
        <w:gridCol w:w="1266"/>
        <w:gridCol w:w="185"/>
        <w:gridCol w:w="1111"/>
        <w:gridCol w:w="340"/>
        <w:gridCol w:w="789"/>
        <w:gridCol w:w="922"/>
      </w:tblGrid>
      <w:tr w:rsidR="00D256E3" w14:paraId="7807BFDF" w14:textId="243D64D8" w:rsidTr="00005551">
        <w:trPr>
          <w:gridAfter w:val="1"/>
          <w:wAfter w:w="922" w:type="dxa"/>
          <w:trHeight w:val="556"/>
        </w:trPr>
        <w:tc>
          <w:tcPr>
            <w:tcW w:w="62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34C93" w14:textId="77777777" w:rsidR="00D256E3" w:rsidRDefault="00D256E3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D89D4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D6F79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A262E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</w:tcPr>
          <w:p w14:paraId="625274A1" w14:textId="77777777" w:rsidR="00D256E3" w:rsidRDefault="00D256E3">
            <w:pPr>
              <w:spacing w:after="160" w:line="256" w:lineRule="auto"/>
              <w:rPr>
                <w:sz w:val="20"/>
                <w:szCs w:val="20"/>
              </w:rPr>
            </w:pPr>
          </w:p>
        </w:tc>
      </w:tr>
      <w:tr w:rsidR="004D3CDF" w14:paraId="7B6FB996" w14:textId="77777777" w:rsidTr="006464DE">
        <w:trPr>
          <w:gridBefore w:val="1"/>
          <w:wBefore w:w="10" w:type="dxa"/>
          <w:trHeight w:val="20"/>
        </w:trPr>
        <w:tc>
          <w:tcPr>
            <w:tcW w:w="3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11F32" w14:textId="77D1C1CF" w:rsidR="004D3CDF" w:rsidRPr="00930AC6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Metric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694B5" w14:textId="6E4DFA76" w:rsidR="004D3CDF" w:rsidRPr="00930AC6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9/30/2019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3D1E6" w14:textId="312EF86F" w:rsidR="004D3CDF" w:rsidRPr="00930AC6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9/30/2020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83ED8" w14:textId="27580A5F" w:rsidR="004D3CDF" w:rsidRPr="00930AC6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Percent Change</w:t>
            </w:r>
          </w:p>
        </w:tc>
      </w:tr>
      <w:tr w:rsidR="004D3CDF" w14:paraId="4E65013D" w14:textId="77777777" w:rsidTr="000D0BA2">
        <w:trPr>
          <w:gridBefore w:val="1"/>
          <w:wBefore w:w="10" w:type="dxa"/>
          <w:trHeight w:val="20"/>
        </w:trPr>
        <w:tc>
          <w:tcPr>
            <w:tcW w:w="3647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9686" w14:textId="51BFF17D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Eligibility Decisions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3CDE" w14:textId="5A9C33EB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CE3D" w14:textId="24643E60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1DFD8" w14:textId="4F98FB67" w:rsidR="004D3CDF" w:rsidRPr="007B01A9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-9%</w:t>
            </w:r>
          </w:p>
        </w:tc>
      </w:tr>
      <w:tr w:rsidR="004D3CDF" w14:paraId="6E4382E6" w14:textId="77777777" w:rsidTr="000D0BA2">
        <w:trPr>
          <w:gridBefore w:val="1"/>
          <w:wBefore w:w="10" w:type="dxa"/>
          <w:trHeight w:val="20"/>
        </w:trPr>
        <w:tc>
          <w:tcPr>
            <w:tcW w:w="3647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5B9B" w14:textId="5BBF17BC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Plans Written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F6A5" w14:textId="57FDB513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C74D" w14:textId="32EC5F68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B80A9" w14:textId="0814B8D2" w:rsidR="004D3CDF" w:rsidRPr="007B01A9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-3%</w:t>
            </w:r>
          </w:p>
        </w:tc>
      </w:tr>
      <w:tr w:rsidR="004D3CDF" w14:paraId="4AD5E9A9" w14:textId="77777777" w:rsidTr="000D0BA2">
        <w:trPr>
          <w:gridBefore w:val="1"/>
          <w:wBefore w:w="10" w:type="dxa"/>
          <w:trHeight w:val="20"/>
        </w:trPr>
        <w:tc>
          <w:tcPr>
            <w:tcW w:w="3647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918B" w14:textId="76CAEFD1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Eligible + Served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3FC2" w14:textId="772BB437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2,316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F382" w14:textId="38B56819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2,234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D89A2" w14:textId="70EA4754" w:rsidR="004D3CDF" w:rsidRPr="007B01A9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-4%</w:t>
            </w:r>
          </w:p>
        </w:tc>
      </w:tr>
      <w:tr w:rsidR="004D3CDF" w14:paraId="46896FE9" w14:textId="77777777" w:rsidTr="000D0BA2">
        <w:trPr>
          <w:gridBefore w:val="1"/>
          <w:wBefore w:w="10" w:type="dxa"/>
          <w:trHeight w:val="20"/>
        </w:trPr>
        <w:tc>
          <w:tcPr>
            <w:tcW w:w="3647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E21F" w14:textId="56488AB2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Rehabilitations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7E0E" w14:textId="1CBFA5CD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9ACE" w14:textId="16FFFDFE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BA1C2" w14:textId="5974E3D4" w:rsidR="004D3CDF" w:rsidRPr="007B01A9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-8.4%</w:t>
            </w:r>
          </w:p>
        </w:tc>
      </w:tr>
      <w:tr w:rsidR="004D3CDF" w14:paraId="1D1EF0C3" w14:textId="77777777" w:rsidTr="000D0BA2">
        <w:trPr>
          <w:gridBefore w:val="1"/>
          <w:wBefore w:w="10" w:type="dxa"/>
          <w:trHeight w:val="20"/>
        </w:trPr>
        <w:tc>
          <w:tcPr>
            <w:tcW w:w="3647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0EB8" w14:textId="01DAA5B7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Average Wage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70DA" w14:textId="66CA7079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$13.73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2406" w14:textId="4A58CB5F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$15.31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CE94D" w14:textId="5EF08B28" w:rsidR="004D3CDF" w:rsidRPr="007B01A9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4D3CDF" w14:paraId="22B8D879" w14:textId="77777777" w:rsidTr="000D0BA2">
        <w:trPr>
          <w:gridBefore w:val="1"/>
          <w:wBefore w:w="10" w:type="dxa"/>
          <w:trHeight w:val="20"/>
        </w:trPr>
        <w:tc>
          <w:tcPr>
            <w:tcW w:w="3647" w:type="dxa"/>
            <w:gridSpan w:val="3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2EBF" w14:textId="12FB6F23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Average Hours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4148" w14:textId="737ABF20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5694" w14:textId="5F539655" w:rsidR="004D3CDF" w:rsidRPr="006464DE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82324" w14:textId="38C600A1" w:rsidR="004D3CDF" w:rsidRPr="007B01A9" w:rsidRDefault="004D3CDF" w:rsidP="004D3C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3.2%</w:t>
            </w:r>
          </w:p>
        </w:tc>
      </w:tr>
    </w:tbl>
    <w:p w14:paraId="72418E86" w14:textId="79630758" w:rsidR="006464DE" w:rsidRDefault="006464DE" w:rsidP="004B0715">
      <w:pPr>
        <w:rPr>
          <w:rFonts w:ascii="Arial" w:hAnsi="Arial" w:cs="Arial"/>
          <w:b/>
          <w:bCs/>
          <w:sz w:val="24"/>
          <w:szCs w:val="24"/>
        </w:rPr>
      </w:pPr>
    </w:p>
    <w:p w14:paraId="671DACEF" w14:textId="2DE31AAE" w:rsidR="00560412" w:rsidRDefault="00560412" w:rsidP="004B0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reporting period </w:t>
      </w:r>
      <w:r w:rsidR="00FB67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/30/2019 through </w:t>
      </w:r>
      <w:r w:rsidR="00FB67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/30/2020, eligibility decisions </w:t>
      </w:r>
      <w:r w:rsidR="00FB676D">
        <w:rPr>
          <w:rFonts w:ascii="Arial" w:hAnsi="Arial" w:cs="Arial"/>
          <w:sz w:val="24"/>
          <w:szCs w:val="24"/>
        </w:rPr>
        <w:t>decreased</w:t>
      </w:r>
      <w:r>
        <w:rPr>
          <w:rFonts w:ascii="Arial" w:hAnsi="Arial" w:cs="Arial"/>
          <w:sz w:val="24"/>
          <w:szCs w:val="24"/>
        </w:rPr>
        <w:t xml:space="preserve"> by </w:t>
      </w:r>
      <w:r w:rsidR="00FB676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%, plans written </w:t>
      </w:r>
      <w:r w:rsidR="00FB676D">
        <w:rPr>
          <w:rFonts w:ascii="Arial" w:hAnsi="Arial" w:cs="Arial"/>
          <w:sz w:val="24"/>
          <w:szCs w:val="24"/>
        </w:rPr>
        <w:t xml:space="preserve">decreased </w:t>
      </w:r>
      <w:r>
        <w:rPr>
          <w:rFonts w:ascii="Arial" w:hAnsi="Arial" w:cs="Arial"/>
          <w:sz w:val="24"/>
          <w:szCs w:val="24"/>
        </w:rPr>
        <w:t xml:space="preserve">by 3%, the combined eligible and served decreased by </w:t>
      </w:r>
      <w:r w:rsidR="00FB676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%, rehabilitations </w:t>
      </w:r>
      <w:r w:rsidR="00FB676D">
        <w:rPr>
          <w:rFonts w:ascii="Arial" w:hAnsi="Arial" w:cs="Arial"/>
          <w:sz w:val="24"/>
          <w:szCs w:val="24"/>
        </w:rPr>
        <w:t>decreased by 8.4</w:t>
      </w:r>
      <w:r>
        <w:rPr>
          <w:rFonts w:ascii="Arial" w:hAnsi="Arial" w:cs="Arial"/>
          <w:sz w:val="24"/>
          <w:szCs w:val="24"/>
        </w:rPr>
        <w:t>%, the average wage increased by 1</w:t>
      </w:r>
      <w:r w:rsidR="00FB676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%, and the average hours increased by </w:t>
      </w:r>
      <w:r w:rsidR="00FB676D"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>%.</w:t>
      </w:r>
    </w:p>
    <w:p w14:paraId="7C8363C4" w14:textId="4E19E8B4" w:rsidR="00FB676D" w:rsidRDefault="00902E4C" w:rsidP="004B0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the overall program numbers for the year were down, BSVI </w:t>
      </w:r>
      <w:r w:rsidR="00482DC9">
        <w:rPr>
          <w:rFonts w:ascii="Arial" w:hAnsi="Arial" w:cs="Arial"/>
          <w:sz w:val="24"/>
          <w:szCs w:val="24"/>
        </w:rPr>
        <w:t xml:space="preserve">experienced a smaller decrease in performance numbers than many other states and </w:t>
      </w:r>
      <w:r w:rsidR="0023127E">
        <w:rPr>
          <w:rFonts w:ascii="Arial" w:hAnsi="Arial" w:cs="Arial"/>
          <w:sz w:val="24"/>
          <w:szCs w:val="24"/>
        </w:rPr>
        <w:t xml:space="preserve">saw a double digit increase in average hourly wages.  BSVI also did a better job of moving eligible individuals into plan in 2020 vs. 2019.  The program saw </w:t>
      </w:r>
      <w:r w:rsidR="00D021C7">
        <w:rPr>
          <w:rFonts w:ascii="Arial" w:hAnsi="Arial" w:cs="Arial"/>
          <w:sz w:val="24"/>
          <w:szCs w:val="24"/>
        </w:rPr>
        <w:t>a 5.5% increase in the area.</w:t>
      </w:r>
    </w:p>
    <w:p w14:paraId="056CAD4E" w14:textId="589F2E12" w:rsidR="00D021C7" w:rsidRPr="00560412" w:rsidRDefault="00D021C7" w:rsidP="004B0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forward into 2021, applications for BSVI services increased each month from July through September</w:t>
      </w:r>
      <w:r w:rsidR="001038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which is an encouraging trend.</w:t>
      </w:r>
    </w:p>
    <w:p w14:paraId="286F81B5" w14:textId="33918FAC" w:rsidR="004B0715" w:rsidRPr="005109C0" w:rsidRDefault="00141273" w:rsidP="004B0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0715" w:rsidRPr="005109C0">
        <w:rPr>
          <w:rFonts w:ascii="Arial" w:hAnsi="Arial" w:cs="Arial"/>
          <w:b/>
          <w:bCs/>
          <w:sz w:val="24"/>
          <w:szCs w:val="24"/>
        </w:rPr>
        <w:t>Programmatic Updates</w:t>
      </w:r>
      <w:r w:rsidR="004B0715" w:rsidRPr="005109C0">
        <w:rPr>
          <w:rFonts w:ascii="Arial" w:hAnsi="Arial" w:cs="Arial"/>
          <w:sz w:val="24"/>
          <w:szCs w:val="24"/>
        </w:rPr>
        <w:t>:</w:t>
      </w:r>
    </w:p>
    <w:p w14:paraId="219121A7" w14:textId="15AE8747" w:rsidR="004350CB" w:rsidRPr="00D64CF9" w:rsidRDefault="00571D36" w:rsidP="00571D3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64CF9">
        <w:rPr>
          <w:rFonts w:ascii="Arial" w:hAnsi="Arial" w:cs="Arial"/>
          <w:sz w:val="24"/>
          <w:szCs w:val="24"/>
        </w:rPr>
        <w:t>Berna King has moved into the BSVI Pr</w:t>
      </w:r>
      <w:r w:rsidR="00FE0D5C" w:rsidRPr="00D64CF9">
        <w:rPr>
          <w:rFonts w:ascii="Arial" w:hAnsi="Arial" w:cs="Arial"/>
          <w:sz w:val="24"/>
          <w:szCs w:val="24"/>
        </w:rPr>
        <w:t>o</w:t>
      </w:r>
      <w:r w:rsidRPr="00D64CF9">
        <w:rPr>
          <w:rFonts w:ascii="Arial" w:hAnsi="Arial" w:cs="Arial"/>
          <w:sz w:val="24"/>
          <w:szCs w:val="24"/>
        </w:rPr>
        <w:t xml:space="preserve">gram Manager role previously held by Sarah Kelly.  Berna </w:t>
      </w:r>
      <w:r w:rsidR="008B6019" w:rsidRPr="00D64CF9">
        <w:rPr>
          <w:rFonts w:ascii="Arial" w:hAnsi="Arial" w:cs="Arial"/>
          <w:sz w:val="24"/>
          <w:szCs w:val="24"/>
        </w:rPr>
        <w:t>has been with OOD for 20 plus years, most recently as a Vocational Rehabilitation Supervisor</w:t>
      </w:r>
      <w:r w:rsidR="00962AA4" w:rsidRPr="00D64CF9">
        <w:rPr>
          <w:rFonts w:ascii="Arial" w:hAnsi="Arial" w:cs="Arial"/>
          <w:sz w:val="24"/>
          <w:szCs w:val="24"/>
        </w:rPr>
        <w:t xml:space="preserve">.  </w:t>
      </w:r>
      <w:r w:rsidR="001B2D94" w:rsidRPr="00D64CF9">
        <w:rPr>
          <w:rFonts w:ascii="Arial" w:hAnsi="Arial" w:cs="Arial"/>
          <w:sz w:val="24"/>
          <w:szCs w:val="24"/>
        </w:rPr>
        <w:t>Since taking over she</w:t>
      </w:r>
      <w:r w:rsidR="00F22F6A" w:rsidRPr="00D64CF9">
        <w:rPr>
          <w:rFonts w:ascii="Arial" w:hAnsi="Arial" w:cs="Arial"/>
          <w:sz w:val="24"/>
          <w:szCs w:val="24"/>
        </w:rPr>
        <w:t xml:space="preserve"> has been meeting with </w:t>
      </w:r>
      <w:r w:rsidR="001D41FB" w:rsidRPr="00D64CF9">
        <w:rPr>
          <w:rFonts w:ascii="Arial" w:hAnsi="Arial" w:cs="Arial"/>
          <w:sz w:val="24"/>
          <w:szCs w:val="24"/>
        </w:rPr>
        <w:t xml:space="preserve">partners and providers over the last few weeks and has begun reviewing the BSVI Multi Point Plan to update and </w:t>
      </w:r>
      <w:r w:rsidR="00D64CF9" w:rsidRPr="00D64CF9">
        <w:rPr>
          <w:rFonts w:ascii="Arial" w:hAnsi="Arial" w:cs="Arial"/>
          <w:sz w:val="24"/>
          <w:szCs w:val="24"/>
        </w:rPr>
        <w:t xml:space="preserve">help </w:t>
      </w:r>
      <w:r w:rsidR="00FE0D5C" w:rsidRPr="00D64CF9">
        <w:rPr>
          <w:rFonts w:ascii="Arial" w:hAnsi="Arial" w:cs="Arial"/>
          <w:sz w:val="24"/>
          <w:szCs w:val="24"/>
        </w:rPr>
        <w:t>craft the direction of the division.</w:t>
      </w:r>
    </w:p>
    <w:p w14:paraId="449EFD02" w14:textId="77777777" w:rsidR="007761F4" w:rsidRPr="00D64CF9" w:rsidRDefault="007761F4" w:rsidP="007761F4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7C4C23B" w14:textId="2146BE8A" w:rsidR="004350CB" w:rsidRPr="00D64CF9" w:rsidRDefault="00FE0D5C" w:rsidP="004350CB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64CF9">
        <w:rPr>
          <w:rFonts w:ascii="Arial" w:hAnsi="Arial" w:cs="Arial"/>
          <w:sz w:val="24"/>
          <w:szCs w:val="24"/>
        </w:rPr>
        <w:t xml:space="preserve">Director Miller, </w:t>
      </w:r>
      <w:r w:rsidR="00CC005A" w:rsidRPr="00D64CF9">
        <w:rPr>
          <w:rFonts w:ascii="Arial" w:hAnsi="Arial" w:cs="Arial"/>
          <w:sz w:val="24"/>
          <w:szCs w:val="24"/>
        </w:rPr>
        <w:t xml:space="preserve">Erik Williamson, Greg Dormer and Berna King presented an update on the program </w:t>
      </w:r>
      <w:r w:rsidR="00D95C27" w:rsidRPr="00D64CF9">
        <w:rPr>
          <w:rFonts w:ascii="Arial" w:hAnsi="Arial" w:cs="Arial"/>
          <w:sz w:val="24"/>
          <w:szCs w:val="24"/>
        </w:rPr>
        <w:t>at the National Federation of the Blind Ohio Statewide Convention</w:t>
      </w:r>
      <w:r w:rsidR="00496DD2" w:rsidRPr="00D64CF9">
        <w:rPr>
          <w:rFonts w:ascii="Arial" w:hAnsi="Arial" w:cs="Arial"/>
          <w:sz w:val="24"/>
          <w:szCs w:val="24"/>
        </w:rPr>
        <w:t>.</w:t>
      </w:r>
    </w:p>
    <w:p w14:paraId="686A27FE" w14:textId="77777777" w:rsidR="007761F4" w:rsidRPr="00D64CF9" w:rsidRDefault="007761F4" w:rsidP="007761F4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DE08137" w14:textId="77777777" w:rsidR="008F015B" w:rsidRPr="008F015B" w:rsidRDefault="004350CB" w:rsidP="007761F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64CF9">
        <w:rPr>
          <w:rFonts w:ascii="Arial" w:hAnsi="Arial" w:cs="Arial"/>
          <w:sz w:val="24"/>
          <w:szCs w:val="24"/>
        </w:rPr>
        <w:t xml:space="preserve">BSVI </w:t>
      </w:r>
      <w:r w:rsidR="00892456" w:rsidRPr="00D64CF9">
        <w:rPr>
          <w:rFonts w:ascii="Arial" w:hAnsi="Arial" w:cs="Arial"/>
          <w:sz w:val="24"/>
          <w:szCs w:val="24"/>
        </w:rPr>
        <w:t>Staff held meetings in each of the 5 regions in August and September for all BSVI</w:t>
      </w:r>
      <w:r w:rsidR="00267D95" w:rsidRPr="00D64CF9">
        <w:rPr>
          <w:rFonts w:ascii="Arial" w:hAnsi="Arial" w:cs="Arial"/>
          <w:sz w:val="24"/>
          <w:szCs w:val="24"/>
        </w:rPr>
        <w:t xml:space="preserve">/ILOB </w:t>
      </w:r>
      <w:r w:rsidR="00D64CF9" w:rsidRPr="00D64CF9">
        <w:rPr>
          <w:rFonts w:ascii="Arial" w:hAnsi="Arial" w:cs="Arial"/>
          <w:sz w:val="24"/>
          <w:szCs w:val="24"/>
        </w:rPr>
        <w:t>c</w:t>
      </w:r>
      <w:r w:rsidR="00267D95" w:rsidRPr="00D64CF9">
        <w:rPr>
          <w:rFonts w:ascii="Arial" w:hAnsi="Arial" w:cs="Arial"/>
          <w:sz w:val="24"/>
          <w:szCs w:val="24"/>
        </w:rPr>
        <w:t xml:space="preserve">ounselors and </w:t>
      </w:r>
      <w:r w:rsidR="00D64CF9" w:rsidRPr="00D64CF9">
        <w:rPr>
          <w:rFonts w:ascii="Arial" w:hAnsi="Arial" w:cs="Arial"/>
          <w:sz w:val="24"/>
          <w:szCs w:val="24"/>
        </w:rPr>
        <w:t xml:space="preserve">their </w:t>
      </w:r>
      <w:r w:rsidR="00267D95" w:rsidRPr="00D64CF9">
        <w:rPr>
          <w:rFonts w:ascii="Arial" w:hAnsi="Arial" w:cs="Arial"/>
          <w:sz w:val="24"/>
          <w:szCs w:val="24"/>
        </w:rPr>
        <w:t>supervisors.  Th</w:t>
      </w:r>
      <w:r w:rsidR="00D64CF9" w:rsidRPr="00D64CF9">
        <w:rPr>
          <w:rFonts w:ascii="Arial" w:hAnsi="Arial" w:cs="Arial"/>
          <w:sz w:val="24"/>
          <w:szCs w:val="24"/>
        </w:rPr>
        <w:t>ese</w:t>
      </w:r>
      <w:r w:rsidR="00267D95" w:rsidRPr="00D64CF9">
        <w:rPr>
          <w:rFonts w:ascii="Arial" w:hAnsi="Arial" w:cs="Arial"/>
          <w:sz w:val="24"/>
          <w:szCs w:val="24"/>
        </w:rPr>
        <w:t xml:space="preserve"> meetings were done in lieu of the annual BSVI Stat</w:t>
      </w:r>
      <w:r w:rsidR="00D64CF9" w:rsidRPr="00D64CF9">
        <w:rPr>
          <w:rFonts w:ascii="Arial" w:hAnsi="Arial" w:cs="Arial"/>
          <w:sz w:val="24"/>
          <w:szCs w:val="24"/>
        </w:rPr>
        <w:t>ewide Meeting this year.</w:t>
      </w:r>
      <w:r w:rsidR="008F015B" w:rsidRPr="008F015B">
        <w:t xml:space="preserve"> </w:t>
      </w:r>
    </w:p>
    <w:p w14:paraId="68C9EEC0" w14:textId="77777777" w:rsidR="008F015B" w:rsidRPr="008F015B" w:rsidRDefault="008F015B" w:rsidP="008F015B">
      <w:pPr>
        <w:pStyle w:val="ListParagraph"/>
        <w:rPr>
          <w:rFonts w:ascii="Arial" w:hAnsi="Arial" w:cs="Arial"/>
          <w:sz w:val="24"/>
          <w:szCs w:val="24"/>
        </w:rPr>
      </w:pPr>
    </w:p>
    <w:p w14:paraId="03329460" w14:textId="20036904" w:rsidR="007761F4" w:rsidRDefault="008F015B" w:rsidP="007761F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F015B">
        <w:rPr>
          <w:rFonts w:ascii="Arial" w:hAnsi="Arial" w:cs="Arial"/>
          <w:sz w:val="24"/>
          <w:szCs w:val="24"/>
        </w:rPr>
        <w:t>Katie Frederick is presenting at OCALI-Con on Thursday Nov. 12 as part of a panel on “Travel Guide for Navigating Systems for Children with Deafness and Blindness”.</w:t>
      </w:r>
    </w:p>
    <w:p w14:paraId="74D3104C" w14:textId="77777777" w:rsidR="008F015B" w:rsidRPr="008F015B" w:rsidRDefault="008F015B" w:rsidP="008F015B">
      <w:pPr>
        <w:pStyle w:val="ListParagraph"/>
        <w:rPr>
          <w:rFonts w:ascii="Arial" w:hAnsi="Arial" w:cs="Arial"/>
          <w:sz w:val="24"/>
          <w:szCs w:val="24"/>
        </w:rPr>
      </w:pPr>
    </w:p>
    <w:p w14:paraId="32B8C10E" w14:textId="77777777" w:rsidR="008F015B" w:rsidRPr="00D64CF9" w:rsidRDefault="008F015B" w:rsidP="008F015B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F3985E3" w14:textId="77777777" w:rsidR="002A6837" w:rsidRPr="00496DD2" w:rsidRDefault="002A6837" w:rsidP="002A6837">
      <w:pPr>
        <w:pStyle w:val="ListParagraph"/>
        <w:spacing w:after="160" w:line="259" w:lineRule="auto"/>
        <w:rPr>
          <w:rFonts w:ascii="Arial" w:hAnsi="Arial" w:cs="Arial"/>
          <w:highlight w:val="yellow"/>
        </w:rPr>
      </w:pPr>
    </w:p>
    <w:sectPr w:rsidR="002A6837" w:rsidRPr="00496DD2" w:rsidSect="00600D72">
      <w:headerReference w:type="default" r:id="rId11"/>
      <w:footerReference w:type="default" r:id="rId12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30002" w14:textId="77777777" w:rsidR="00DB5625" w:rsidRDefault="00DB5625" w:rsidP="009D61C4">
      <w:pPr>
        <w:spacing w:after="0" w:line="240" w:lineRule="auto"/>
      </w:pPr>
      <w:r>
        <w:separator/>
      </w:r>
    </w:p>
  </w:endnote>
  <w:endnote w:type="continuationSeparator" w:id="0">
    <w:p w14:paraId="035E7B84" w14:textId="77777777" w:rsidR="00DB5625" w:rsidRDefault="00DB5625" w:rsidP="009D61C4">
      <w:pPr>
        <w:spacing w:after="0" w:line="240" w:lineRule="auto"/>
      </w:pPr>
      <w:r>
        <w:continuationSeparator/>
      </w:r>
    </w:p>
  </w:endnote>
  <w:endnote w:type="continuationNotice" w:id="1">
    <w:p w14:paraId="72EA527A" w14:textId="77777777" w:rsidR="00DB5625" w:rsidRDefault="00DB5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5906F" w14:textId="53380F57" w:rsidR="00687826" w:rsidRPr="00687826" w:rsidRDefault="00F957F6" w:rsidP="004F271D">
    <w:pPr>
      <w:tabs>
        <w:tab w:val="left" w:pos="3060"/>
        <w:tab w:val="left" w:pos="5400"/>
      </w:tabs>
      <w:autoSpaceDE w:val="0"/>
      <w:autoSpaceDN w:val="0"/>
      <w:adjustRightInd w:val="0"/>
      <w:spacing w:after="0" w:line="240" w:lineRule="auto"/>
      <w:ind w:left="1800"/>
      <w:rPr>
        <w:rFonts w:ascii="Arial" w:eastAsia="Times New Roman" w:hAnsi="Arial" w:cs="Arial"/>
        <w:color w:val="525051"/>
        <w:sz w:val="20"/>
        <w:szCs w:val="20"/>
      </w:rPr>
    </w:pPr>
    <w:r>
      <w:rPr>
        <w:rFonts w:ascii="Arial" w:eastAsia="Times New Roman" w:hAnsi="Arial" w:cs="Arial"/>
        <w:color w:val="525051"/>
        <w:sz w:val="20"/>
        <w:szCs w:val="20"/>
      </w:rPr>
      <w:t>400 E. Campus View Blvd.</w:t>
    </w:r>
    <w:r w:rsidR="007E0503">
      <w:rPr>
        <w:rFonts w:ascii="Arial" w:eastAsia="Times New Roman" w:hAnsi="Arial" w:cs="Arial"/>
        <w:color w:val="525051"/>
        <w:sz w:val="20"/>
        <w:szCs w:val="20"/>
      </w:rPr>
      <w:tab/>
    </w:r>
    <w:r w:rsidR="007E0503">
      <w:rPr>
        <w:rFonts w:ascii="Arial" w:eastAsia="Times New Roman" w:hAnsi="Arial" w:cs="Arial"/>
        <w:color w:val="525051"/>
        <w:sz w:val="20"/>
        <w:szCs w:val="20"/>
      </w:rPr>
      <w:tab/>
      <w:t xml:space="preserve">614 | </w:t>
    </w:r>
    <w:r w:rsidR="004F271D">
      <w:rPr>
        <w:rFonts w:ascii="Arial" w:eastAsia="Times New Roman" w:hAnsi="Arial" w:cs="Arial"/>
        <w:color w:val="525051"/>
        <w:sz w:val="20"/>
        <w:szCs w:val="20"/>
      </w:rPr>
      <w:t>438 1203</w:t>
    </w:r>
  </w:p>
  <w:p w14:paraId="7C459070" w14:textId="7B754546" w:rsidR="00687826" w:rsidRPr="00687826" w:rsidRDefault="004F271D" w:rsidP="00687826">
    <w:pPr>
      <w:tabs>
        <w:tab w:val="left" w:pos="3060"/>
        <w:tab w:val="left" w:pos="5400"/>
      </w:tabs>
      <w:autoSpaceDE w:val="0"/>
      <w:autoSpaceDN w:val="0"/>
      <w:adjustRightInd w:val="0"/>
      <w:spacing w:after="0" w:line="240" w:lineRule="auto"/>
      <w:ind w:left="1800"/>
      <w:rPr>
        <w:rFonts w:ascii="Arial" w:eastAsia="Times New Roman" w:hAnsi="Arial" w:cs="Arial"/>
        <w:color w:val="525051"/>
        <w:sz w:val="20"/>
        <w:szCs w:val="20"/>
      </w:rPr>
    </w:pPr>
    <w:r>
      <w:rPr>
        <w:rFonts w:ascii="Arial" w:eastAsia="Times New Roman" w:hAnsi="Arial" w:cs="Arial"/>
        <w:color w:val="525051"/>
        <w:sz w:val="20"/>
        <w:szCs w:val="20"/>
      </w:rPr>
      <w:t>Columbus, OH 43235-4604</w:t>
    </w:r>
    <w:r w:rsidR="00014FD4">
      <w:rPr>
        <w:rFonts w:ascii="Arial" w:eastAsia="Times New Roman" w:hAnsi="Arial" w:cs="Arial"/>
        <w:color w:val="525051"/>
        <w:sz w:val="20"/>
        <w:szCs w:val="20"/>
      </w:rPr>
      <w:t xml:space="preserve">  </w:t>
    </w:r>
    <w:r w:rsidR="007E0503">
      <w:rPr>
        <w:rFonts w:ascii="Arial" w:eastAsia="Times New Roman" w:hAnsi="Arial" w:cs="Arial"/>
        <w:color w:val="525051"/>
        <w:sz w:val="20"/>
        <w:szCs w:val="20"/>
      </w:rPr>
      <w:t>U.S.A.</w:t>
    </w:r>
    <w:r w:rsidR="007E0503">
      <w:rPr>
        <w:rFonts w:ascii="Arial" w:eastAsia="Times New Roman" w:hAnsi="Arial" w:cs="Arial"/>
        <w:color w:val="525051"/>
        <w:sz w:val="20"/>
        <w:szCs w:val="20"/>
      </w:rPr>
      <w:tab/>
    </w:r>
    <w:r w:rsidR="007E0503">
      <w:rPr>
        <w:rFonts w:ascii="Arial" w:eastAsia="Times New Roman" w:hAnsi="Arial" w:cs="Arial"/>
        <w:color w:val="525051"/>
        <w:sz w:val="20"/>
        <w:szCs w:val="20"/>
      </w:rPr>
      <w:tab/>
      <w:t xml:space="preserve">800 | </w:t>
    </w:r>
    <w:r>
      <w:rPr>
        <w:rFonts w:ascii="Arial" w:eastAsia="Times New Roman" w:hAnsi="Arial" w:cs="Arial"/>
        <w:color w:val="525051"/>
        <w:sz w:val="20"/>
        <w:szCs w:val="20"/>
      </w:rPr>
      <w:t>282 4536</w:t>
    </w:r>
  </w:p>
  <w:p w14:paraId="7C459071" w14:textId="67FE5F4E" w:rsidR="00687826" w:rsidRPr="00687826" w:rsidRDefault="00687826" w:rsidP="00687826">
    <w:pPr>
      <w:tabs>
        <w:tab w:val="left" w:pos="1710"/>
        <w:tab w:val="right" w:pos="6210"/>
        <w:tab w:val="left" w:pos="6300"/>
        <w:tab w:val="left" w:pos="7740"/>
      </w:tabs>
      <w:autoSpaceDE w:val="0"/>
      <w:autoSpaceDN w:val="0"/>
      <w:adjustRightInd w:val="0"/>
      <w:spacing w:after="0" w:line="240" w:lineRule="auto"/>
      <w:ind w:left="1440" w:right="-90"/>
      <w:rPr>
        <w:rFonts w:ascii="Arial" w:eastAsia="Times New Roman" w:hAnsi="Arial" w:cs="Arial"/>
        <w:color w:val="525051"/>
        <w:sz w:val="20"/>
        <w:szCs w:val="20"/>
      </w:rPr>
    </w:pPr>
    <w:r w:rsidRPr="00687826">
      <w:rPr>
        <w:rFonts w:ascii="Times New Roman" w:eastAsia="Times New Roman" w:hAnsi="Times New Roman" w:cs="Times New Roman"/>
        <w:sz w:val="24"/>
        <w:szCs w:val="24"/>
      </w:rPr>
      <w:t xml:space="preserve">      </w:t>
    </w:r>
    <w:hyperlink r:id="rId1" w:history="1">
      <w:r w:rsidRPr="00687826">
        <w:rPr>
          <w:rFonts w:ascii="Arial" w:eastAsia="Times New Roman" w:hAnsi="Arial" w:cs="Arial"/>
          <w:color w:val="525051"/>
          <w:sz w:val="20"/>
          <w:szCs w:val="20"/>
        </w:rPr>
        <w:t>www.ood.ohio.gov</w:t>
      </w:r>
    </w:hyperlink>
    <w:r w:rsidRPr="00687826">
      <w:rPr>
        <w:rFonts w:ascii="Arial" w:eastAsia="Times New Roman" w:hAnsi="Arial" w:cs="Arial"/>
        <w:color w:val="525051"/>
        <w:sz w:val="20"/>
        <w:szCs w:val="20"/>
      </w:rPr>
      <w:tab/>
      <w:t xml:space="preserve">                                          </w:t>
    </w:r>
  </w:p>
  <w:p w14:paraId="7C459072" w14:textId="77777777" w:rsidR="009D61C4" w:rsidRPr="00687826" w:rsidRDefault="009D61C4" w:rsidP="00687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67F34" w14:textId="77777777" w:rsidR="00DB5625" w:rsidRDefault="00DB5625" w:rsidP="009D61C4">
      <w:pPr>
        <w:spacing w:after="0" w:line="240" w:lineRule="auto"/>
      </w:pPr>
      <w:r>
        <w:separator/>
      </w:r>
    </w:p>
  </w:footnote>
  <w:footnote w:type="continuationSeparator" w:id="0">
    <w:p w14:paraId="67E01307" w14:textId="77777777" w:rsidR="00DB5625" w:rsidRDefault="00DB5625" w:rsidP="009D61C4">
      <w:pPr>
        <w:spacing w:after="0" w:line="240" w:lineRule="auto"/>
      </w:pPr>
      <w:r>
        <w:continuationSeparator/>
      </w:r>
    </w:p>
  </w:footnote>
  <w:footnote w:type="continuationNotice" w:id="1">
    <w:p w14:paraId="2CE27081" w14:textId="77777777" w:rsidR="00DB5625" w:rsidRDefault="00DB5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5906E" w14:textId="5A48F4FA" w:rsidR="009D61C4" w:rsidRDefault="001255F1" w:rsidP="00600D72">
    <w:pPr>
      <w:pStyle w:val="Header"/>
      <w:ind w:left="-540"/>
    </w:pPr>
    <w:r>
      <w:rPr>
        <w:noProof/>
      </w:rPr>
      <w:drawing>
        <wp:inline distT="0" distB="0" distL="0" distR="0" wp14:anchorId="3BEB0FEF" wp14:editId="3C189E2B">
          <wp:extent cx="3474720" cy="1051560"/>
          <wp:effectExtent l="0" t="0" r="0" b="0"/>
          <wp:docPr id="1" name="Picture 1" descr="Ohio Opportunities for Ohioans with Disabilities&#10;Bureau of Services for the Visually Impaired&#10;Bureau of Vocational Rehabilation&#10;Division of Disability Determination" title="OO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803F8"/>
    <w:multiLevelType w:val="hybridMultilevel"/>
    <w:tmpl w:val="D5C6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8CD"/>
    <w:multiLevelType w:val="hybridMultilevel"/>
    <w:tmpl w:val="8F8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45347"/>
    <w:multiLevelType w:val="hybridMultilevel"/>
    <w:tmpl w:val="0E42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1MjMxNDczsTAyNTZV0lEKTi0uzszPAymwrAUAF7UWPSwAAAA="/>
  </w:docVars>
  <w:rsids>
    <w:rsidRoot w:val="009D61C4"/>
    <w:rsid w:val="00005551"/>
    <w:rsid w:val="00005C30"/>
    <w:rsid w:val="00014FD4"/>
    <w:rsid w:val="00021BBD"/>
    <w:rsid w:val="0007204F"/>
    <w:rsid w:val="000C5597"/>
    <w:rsid w:val="0010381C"/>
    <w:rsid w:val="0012178C"/>
    <w:rsid w:val="001255F1"/>
    <w:rsid w:val="00141273"/>
    <w:rsid w:val="00166170"/>
    <w:rsid w:val="00193BD7"/>
    <w:rsid w:val="001B2D94"/>
    <w:rsid w:val="001D3D9A"/>
    <w:rsid w:val="001D41FB"/>
    <w:rsid w:val="001E5250"/>
    <w:rsid w:val="0023127E"/>
    <w:rsid w:val="002348BF"/>
    <w:rsid w:val="00267D95"/>
    <w:rsid w:val="00277CC7"/>
    <w:rsid w:val="002A6837"/>
    <w:rsid w:val="002C3381"/>
    <w:rsid w:val="00314EF3"/>
    <w:rsid w:val="003C36EA"/>
    <w:rsid w:val="004015D1"/>
    <w:rsid w:val="0040447C"/>
    <w:rsid w:val="004303A0"/>
    <w:rsid w:val="004350CB"/>
    <w:rsid w:val="00482DC9"/>
    <w:rsid w:val="00492CC5"/>
    <w:rsid w:val="004948EC"/>
    <w:rsid w:val="00496DD2"/>
    <w:rsid w:val="004B0715"/>
    <w:rsid w:val="004D3CDF"/>
    <w:rsid w:val="004D76FD"/>
    <w:rsid w:val="004F271D"/>
    <w:rsid w:val="004F73CA"/>
    <w:rsid w:val="005109C0"/>
    <w:rsid w:val="00560412"/>
    <w:rsid w:val="00571D36"/>
    <w:rsid w:val="005779A7"/>
    <w:rsid w:val="00592444"/>
    <w:rsid w:val="005A5C7E"/>
    <w:rsid w:val="005B381B"/>
    <w:rsid w:val="00600D72"/>
    <w:rsid w:val="0060196B"/>
    <w:rsid w:val="006464DE"/>
    <w:rsid w:val="00687826"/>
    <w:rsid w:val="006F295B"/>
    <w:rsid w:val="00715C62"/>
    <w:rsid w:val="0075320D"/>
    <w:rsid w:val="00763370"/>
    <w:rsid w:val="007761F4"/>
    <w:rsid w:val="007B01A9"/>
    <w:rsid w:val="007E0503"/>
    <w:rsid w:val="00831D14"/>
    <w:rsid w:val="00892456"/>
    <w:rsid w:val="008B6019"/>
    <w:rsid w:val="008C3EDA"/>
    <w:rsid w:val="008E1A34"/>
    <w:rsid w:val="008F015B"/>
    <w:rsid w:val="00902E4C"/>
    <w:rsid w:val="00930AC6"/>
    <w:rsid w:val="00952AAD"/>
    <w:rsid w:val="00962AA4"/>
    <w:rsid w:val="009D61C4"/>
    <w:rsid w:val="009F64BC"/>
    <w:rsid w:val="00A27F4F"/>
    <w:rsid w:val="00A66361"/>
    <w:rsid w:val="00AC11CE"/>
    <w:rsid w:val="00B06FA2"/>
    <w:rsid w:val="00B14383"/>
    <w:rsid w:val="00BC7E42"/>
    <w:rsid w:val="00BD6EBF"/>
    <w:rsid w:val="00C74588"/>
    <w:rsid w:val="00CC005A"/>
    <w:rsid w:val="00D021C7"/>
    <w:rsid w:val="00D256E3"/>
    <w:rsid w:val="00D427D1"/>
    <w:rsid w:val="00D64311"/>
    <w:rsid w:val="00D64CF9"/>
    <w:rsid w:val="00D95C27"/>
    <w:rsid w:val="00DB5625"/>
    <w:rsid w:val="00E476D8"/>
    <w:rsid w:val="00E51546"/>
    <w:rsid w:val="00E66435"/>
    <w:rsid w:val="00F200B4"/>
    <w:rsid w:val="00F22F6A"/>
    <w:rsid w:val="00F41CE9"/>
    <w:rsid w:val="00F55871"/>
    <w:rsid w:val="00F82E38"/>
    <w:rsid w:val="00F949D5"/>
    <w:rsid w:val="00F957F6"/>
    <w:rsid w:val="00F95E77"/>
    <w:rsid w:val="00FB676D"/>
    <w:rsid w:val="00FB693D"/>
    <w:rsid w:val="00FE0D5C"/>
    <w:rsid w:val="04E33E20"/>
    <w:rsid w:val="3F7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59069"/>
  <w15:docId w15:val="{B7627E3D-BBEA-4999-A51C-E04786C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C4"/>
  </w:style>
  <w:style w:type="paragraph" w:styleId="Footer">
    <w:name w:val="footer"/>
    <w:basedOn w:val="Normal"/>
    <w:link w:val="FooterChar"/>
    <w:uiPriority w:val="99"/>
    <w:unhideWhenUsed/>
    <w:rsid w:val="009D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C4"/>
  </w:style>
  <w:style w:type="paragraph" w:styleId="BalloonText">
    <w:name w:val="Balloon Text"/>
    <w:basedOn w:val="Normal"/>
    <w:link w:val="BalloonTextChar"/>
    <w:uiPriority w:val="99"/>
    <w:semiHidden/>
    <w:unhideWhenUsed/>
    <w:rsid w:val="009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256E3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9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c.ohio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7AD1EDA3DC743880FCEFEF3A5BDD7" ma:contentTypeVersion="3" ma:contentTypeDescription="Create a new document." ma:contentTypeScope="" ma:versionID="d1330a5fb4b44baca2cc28b164a4a3f1">
  <xsd:schema xmlns:xsd="http://www.w3.org/2001/XMLSchema" xmlns:xs="http://www.w3.org/2001/XMLSchema" xmlns:p="http://schemas.microsoft.com/office/2006/metadata/properties" xmlns:ns3="bd6985b5-018e-4a73-96c9-4c85e77608cc" targetNamespace="http://schemas.microsoft.com/office/2006/metadata/properties" ma:root="true" ma:fieldsID="9e2b019eab9a1a4d1259bc1dbfadfd9a" ns3:_="">
    <xsd:import namespace="bd6985b5-018e-4a73-96c9-4c85e7760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85b5-018e-4a73-96c9-4c85e7760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17BB-E549-48C3-9C5A-D254AE743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85b5-018e-4a73-96c9-4c85e7760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9197-DFDB-4FA4-96D1-36FD932E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15F4B-E3AA-48B8-A475-76A836F1892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02600E-BF91-48FD-9253-A7D3DEC9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Dormer, Gregory</cp:lastModifiedBy>
  <cp:revision>26</cp:revision>
  <dcterms:created xsi:type="dcterms:W3CDTF">2020-11-10T14:37:00Z</dcterms:created>
  <dcterms:modified xsi:type="dcterms:W3CDTF">2020-11-10T20:52:00Z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0x01010057A7AD1EDA3DC743880FCEFEF3A5BDD7</vt:lpwstr>
  </property>
  <property fmtid="{D5CDD505-2E9C-101B-9397-08002B2CF9AE}" pid="3" name="_dlc_DocIdItemGuid">
    <vt:lpwstr>69b8d919-06c9-4f49-8a76-054283dc9596</vt:lpwstr>
  </property>
</Properties>
</file>