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605A" w:rsidRPr="008D7031" w:rsidRDefault="00E9605A" w:rsidP="00E9605A">
      <w:pPr>
        <w:pStyle w:val="Heading1"/>
        <w:rPr>
          <w:sz w:val="20"/>
          <w:szCs w:val="20"/>
        </w:rPr>
      </w:pPr>
      <w:bookmarkStart w:id="0" w:name="OLE_LINK1"/>
      <w:bookmarkStart w:id="1" w:name="OLE_LINK2"/>
      <w:bookmarkStart w:id="2" w:name="_GoBack"/>
      <w:bookmarkEnd w:id="2"/>
      <w:r>
        <w:t xml:space="preserve">Access Technology </w:t>
      </w:r>
      <w:r w:rsidR="00F46D57">
        <w:t>Affordability</w:t>
      </w:r>
      <w:r>
        <w:t xml:space="preserve"> Act</w:t>
      </w:r>
      <w:r w:rsidR="00C048F4">
        <w:t xml:space="preserve"> (H.R. 1734</w:t>
      </w:r>
      <w:r w:rsidR="00062866">
        <w:t>, S. 732</w:t>
      </w:r>
      <w:r w:rsidR="00C048F4">
        <w:t>)</w:t>
      </w:r>
      <w:r>
        <w:br/>
      </w:r>
    </w:p>
    <w:bookmarkEnd w:id="0"/>
    <w:bookmarkEnd w:id="1"/>
    <w:p w:rsidR="00437EDC" w:rsidRDefault="00457757" w:rsidP="006048BD">
      <w:pPr>
        <w:pBdr>
          <w:top w:val="single" w:sz="36" w:space="1" w:color="800080"/>
          <w:left w:val="single" w:sz="36" w:space="0" w:color="800080"/>
          <w:bottom w:val="single" w:sz="36" w:space="1" w:color="800080"/>
          <w:right w:val="single" w:sz="36" w:space="10" w:color="800080"/>
        </w:pBdr>
        <w:jc w:val="center"/>
        <w:rPr>
          <w:rFonts w:cs="Helvetica"/>
          <w:b/>
          <w:sz w:val="24"/>
        </w:rPr>
      </w:pPr>
      <w:r>
        <w:rPr>
          <w:rFonts w:cs="Helvetica"/>
          <w:b/>
          <w:sz w:val="24"/>
        </w:rPr>
        <w:t>I</w:t>
      </w:r>
      <w:r w:rsidR="00E9605A" w:rsidRPr="00E9605A">
        <w:rPr>
          <w:rFonts w:cs="Helvetica"/>
          <w:b/>
          <w:sz w:val="24"/>
        </w:rPr>
        <w:t xml:space="preserve">ncrease the availability of access technology and promote </w:t>
      </w:r>
      <w:r w:rsidR="00F46D57">
        <w:rPr>
          <w:rFonts w:cs="Helvetica"/>
          <w:b/>
          <w:sz w:val="24"/>
        </w:rPr>
        <w:t xml:space="preserve">affordability of </w:t>
      </w:r>
      <w:r w:rsidR="00057DBA">
        <w:rPr>
          <w:rFonts w:cs="Helvetica"/>
          <w:b/>
          <w:sz w:val="24"/>
        </w:rPr>
        <w:t>that technology</w:t>
      </w:r>
      <w:r w:rsidR="00E9605A" w:rsidRPr="00E9605A">
        <w:rPr>
          <w:rFonts w:cs="Helvetica"/>
          <w:b/>
          <w:sz w:val="24"/>
        </w:rPr>
        <w:t xml:space="preserve"> for blind Americans</w:t>
      </w:r>
    </w:p>
    <w:p w:rsidR="00437EDC" w:rsidRPr="003B3C76" w:rsidRDefault="00437EDC" w:rsidP="00437EDC">
      <w:pPr>
        <w:rPr>
          <w:rFonts w:ascii="Arial" w:hAnsi="Arial" w:cs="Arial"/>
          <w:b/>
          <w:color w:val="FF0000"/>
          <w:sz w:val="20"/>
          <w:szCs w:val="20"/>
        </w:rPr>
      </w:pPr>
    </w:p>
    <w:p w:rsidR="00E9605A" w:rsidRDefault="00E9605A" w:rsidP="00E9605A">
      <w:pPr>
        <w:rPr>
          <w:rFonts w:cs="Helvetica"/>
          <w:sz w:val="24"/>
        </w:rPr>
      </w:pPr>
      <w:r w:rsidRPr="00C83C6A">
        <w:rPr>
          <w:rFonts w:cs="Helvetica"/>
          <w:b/>
          <w:color w:val="FF0000"/>
          <w:sz w:val="24"/>
        </w:rPr>
        <w:t>Access technology enable</w:t>
      </w:r>
      <w:r w:rsidR="00057DBA">
        <w:rPr>
          <w:rFonts w:cs="Helvetica"/>
          <w:b/>
          <w:color w:val="FF0000"/>
          <w:sz w:val="24"/>
        </w:rPr>
        <w:t>s</w:t>
      </w:r>
      <w:r w:rsidRPr="00C83C6A">
        <w:rPr>
          <w:rFonts w:cs="Helvetica"/>
          <w:b/>
          <w:color w:val="FF0000"/>
          <w:sz w:val="24"/>
        </w:rPr>
        <w:t xml:space="preserve"> blind Americans to </w:t>
      </w:r>
      <w:r w:rsidR="00F46D57">
        <w:rPr>
          <w:rFonts w:cs="Helvetica"/>
          <w:b/>
          <w:color w:val="FF0000"/>
          <w:sz w:val="24"/>
        </w:rPr>
        <w:t xml:space="preserve">participate in </w:t>
      </w:r>
      <w:r w:rsidR="00057DBA">
        <w:rPr>
          <w:rFonts w:cs="Helvetica"/>
          <w:b/>
          <w:color w:val="FF0000"/>
          <w:sz w:val="24"/>
        </w:rPr>
        <w:t>today’s</w:t>
      </w:r>
      <w:r w:rsidR="00BD6E38">
        <w:rPr>
          <w:rFonts w:cs="Helvetica"/>
          <w:b/>
          <w:color w:val="FF0000"/>
          <w:sz w:val="24"/>
        </w:rPr>
        <w:t xml:space="preserve"> </w:t>
      </w:r>
      <w:r w:rsidR="005B7CDB">
        <w:rPr>
          <w:rFonts w:cs="Helvetica"/>
          <w:b/>
          <w:color w:val="FF0000"/>
          <w:sz w:val="24"/>
        </w:rPr>
        <w:t>connected world</w:t>
      </w:r>
      <w:r>
        <w:rPr>
          <w:rFonts w:cs="Helvetica"/>
          <w:b/>
          <w:color w:val="FF0000"/>
          <w:sz w:val="24"/>
        </w:rPr>
        <w:t xml:space="preserve">. </w:t>
      </w:r>
      <w:r w:rsidR="00A84BB5">
        <w:rPr>
          <w:rFonts w:cs="Helvetica"/>
          <w:sz w:val="24"/>
        </w:rPr>
        <w:t xml:space="preserve">Blindness, unlike other disabilities, </w:t>
      </w:r>
      <w:bookmarkStart w:id="3" w:name="E6"/>
      <w:bookmarkEnd w:id="3"/>
      <w:r w:rsidR="00A84BB5">
        <w:rPr>
          <w:rFonts w:cs="Helvetica"/>
          <w:sz w:val="24"/>
        </w:rPr>
        <w:t>is easily measurable</w:t>
      </w:r>
      <w:hyperlink w:anchor="Six" w:history="1">
        <w:r w:rsidR="00A84BB5" w:rsidRPr="00DD6BAF">
          <w:rPr>
            <w:rStyle w:val="Hyperlink"/>
            <w:rFonts w:cs="Helvetica"/>
            <w:sz w:val="24"/>
            <w:vertAlign w:val="superscript"/>
          </w:rPr>
          <w:endnoteReference w:id="1"/>
        </w:r>
      </w:hyperlink>
      <w:r w:rsidR="00A84BB5">
        <w:rPr>
          <w:rFonts w:cs="Helvetica"/>
          <w:sz w:val="24"/>
        </w:rPr>
        <w:t xml:space="preserve"> but affects each person differently. </w:t>
      </w:r>
      <w:r w:rsidR="00C048F4">
        <w:rPr>
          <w:rFonts w:cs="Helvetica"/>
          <w:sz w:val="24"/>
        </w:rPr>
        <w:t>Desp</w:t>
      </w:r>
      <w:r w:rsidR="0028726E">
        <w:rPr>
          <w:rFonts w:cs="Helvetica"/>
          <w:sz w:val="24"/>
        </w:rPr>
        <w:t>ite these differences, manufacturers</w:t>
      </w:r>
      <w:r w:rsidR="00A84BB5">
        <w:rPr>
          <w:rFonts w:cs="Helvetica"/>
          <w:sz w:val="24"/>
        </w:rPr>
        <w:t xml:space="preserve"> have designed various tools that</w:t>
      </w:r>
      <w:r w:rsidRPr="00E25B77">
        <w:rPr>
          <w:rFonts w:cs="Helvetica"/>
          <w:sz w:val="24"/>
        </w:rPr>
        <w:t xml:space="preserve"> enable </w:t>
      </w:r>
      <w:r w:rsidR="0028726E">
        <w:rPr>
          <w:rFonts w:cs="Helvetica"/>
          <w:sz w:val="24"/>
        </w:rPr>
        <w:t xml:space="preserve">each </w:t>
      </w:r>
      <w:r w:rsidRPr="00E25B77">
        <w:rPr>
          <w:rFonts w:cs="Helvetica"/>
          <w:sz w:val="24"/>
        </w:rPr>
        <w:t xml:space="preserve">blind American to perform tasks that they were once unable to accomplish themselves due to their disability. </w:t>
      </w:r>
      <w:r w:rsidR="00550863">
        <w:rPr>
          <w:rFonts w:cs="Helvetica"/>
          <w:sz w:val="24"/>
        </w:rPr>
        <w:t>B</w:t>
      </w:r>
      <w:r>
        <w:rPr>
          <w:rFonts w:cs="Helvetica"/>
          <w:sz w:val="24"/>
        </w:rPr>
        <w:t>raille note</w:t>
      </w:r>
      <w:r w:rsidR="00F15B7C">
        <w:rPr>
          <w:rFonts w:cs="Helvetica"/>
          <w:sz w:val="24"/>
        </w:rPr>
        <w:t xml:space="preserve"> </w:t>
      </w:r>
      <w:r>
        <w:rPr>
          <w:rFonts w:cs="Helvetica"/>
          <w:sz w:val="24"/>
        </w:rPr>
        <w:t xml:space="preserve">takers are frequently used in schools, screen reading software allows workers to check their email at home, and screen magnification software can help seniors losing vision learn about community activities. Despite the need for access technology, </w:t>
      </w:r>
      <w:r w:rsidRPr="00771210">
        <w:rPr>
          <w:rFonts w:cs="Helvetica"/>
          <w:sz w:val="24"/>
        </w:rPr>
        <w:t xml:space="preserve">public and private entities </w:t>
      </w:r>
      <w:r>
        <w:rPr>
          <w:rFonts w:cs="Helvetica"/>
          <w:sz w:val="24"/>
        </w:rPr>
        <w:t>struggle to</w:t>
      </w:r>
      <w:r w:rsidRPr="00771210">
        <w:rPr>
          <w:rFonts w:cs="Helvetica"/>
          <w:sz w:val="24"/>
        </w:rPr>
        <w:t xml:space="preserve"> </w:t>
      </w:r>
      <w:r>
        <w:rPr>
          <w:rFonts w:cs="Helvetica"/>
          <w:sz w:val="24"/>
        </w:rPr>
        <w:t xml:space="preserve">meet the demands and </w:t>
      </w:r>
      <w:r w:rsidRPr="00771210">
        <w:rPr>
          <w:rFonts w:cs="Helvetica"/>
          <w:sz w:val="24"/>
        </w:rPr>
        <w:t xml:space="preserve">provide </w:t>
      </w:r>
      <w:r>
        <w:rPr>
          <w:rFonts w:cs="Helvetica"/>
          <w:sz w:val="24"/>
        </w:rPr>
        <w:t>adequate access technology to their clients, including blind Americans</w:t>
      </w:r>
      <w:hyperlink w:anchor="One" w:history="1">
        <w:r w:rsidRPr="00DD6BAF">
          <w:rPr>
            <w:rStyle w:val="Hyperlink"/>
            <w:rFonts w:cs="Helvetica"/>
            <w:sz w:val="24"/>
            <w:u w:val="none"/>
          </w:rPr>
          <w:t>.</w:t>
        </w:r>
        <w:r w:rsidRPr="0038336B">
          <w:rPr>
            <w:rStyle w:val="Hyperlink"/>
            <w:rFonts w:cs="Helvetica"/>
            <w:sz w:val="24"/>
            <w:vertAlign w:val="superscript"/>
          </w:rPr>
          <w:endnoteReference w:id="2"/>
        </w:r>
      </w:hyperlink>
      <w:bookmarkStart w:id="5" w:name="E1"/>
      <w:bookmarkEnd w:id="5"/>
      <w:r w:rsidRPr="00DD6BAF">
        <w:rPr>
          <w:rFonts w:cs="Helvetica"/>
          <w:sz w:val="24"/>
        </w:rPr>
        <w:t xml:space="preserve"> </w:t>
      </w:r>
      <w:r>
        <w:rPr>
          <w:rFonts w:cs="Helvetica"/>
          <w:sz w:val="24"/>
        </w:rPr>
        <w:t>This leads to</w:t>
      </w:r>
      <w:r w:rsidRPr="00BE441B">
        <w:rPr>
          <w:rFonts w:cs="Helvetica"/>
          <w:sz w:val="24"/>
        </w:rPr>
        <w:t xml:space="preserve"> untimely delays in </w:t>
      </w:r>
      <w:r>
        <w:rPr>
          <w:rFonts w:cs="Helvetica"/>
          <w:sz w:val="24"/>
        </w:rPr>
        <w:t>the delivery of</w:t>
      </w:r>
      <w:r w:rsidRPr="00BE441B">
        <w:rPr>
          <w:rFonts w:cs="Helvetica"/>
          <w:sz w:val="24"/>
        </w:rPr>
        <w:t xml:space="preserve"> necessary </w:t>
      </w:r>
      <w:r w:rsidR="00057DBA">
        <w:rPr>
          <w:rFonts w:cs="Helvetica"/>
          <w:sz w:val="24"/>
        </w:rPr>
        <w:t>technology</w:t>
      </w:r>
      <w:r w:rsidRPr="00BE441B">
        <w:rPr>
          <w:rFonts w:cs="Helvetica"/>
          <w:sz w:val="24"/>
        </w:rPr>
        <w:t xml:space="preserve"> </w:t>
      </w:r>
      <w:r>
        <w:rPr>
          <w:rFonts w:cs="Helvetica"/>
          <w:sz w:val="24"/>
        </w:rPr>
        <w:t>and ultimately harms the blind consumer</w:t>
      </w:r>
      <w:r w:rsidRPr="00BE441B">
        <w:rPr>
          <w:rFonts w:cs="Helvetica"/>
          <w:sz w:val="24"/>
        </w:rPr>
        <w:t>.</w:t>
      </w:r>
      <w:r>
        <w:rPr>
          <w:rFonts w:cs="Helvetica"/>
          <w:sz w:val="24"/>
        </w:rPr>
        <w:t xml:space="preserve"> </w:t>
      </w:r>
    </w:p>
    <w:p w:rsidR="00F15B7C" w:rsidRDefault="00F15B7C" w:rsidP="00E9605A">
      <w:pPr>
        <w:rPr>
          <w:rFonts w:cs="Helvetica"/>
          <w:b/>
          <w:color w:val="FF0000"/>
          <w:sz w:val="24"/>
        </w:rPr>
      </w:pPr>
    </w:p>
    <w:p w:rsidR="00E9605A" w:rsidRPr="005969CD" w:rsidRDefault="00E9605A" w:rsidP="00E9605A">
      <w:pPr>
        <w:rPr>
          <w:rFonts w:cs="Helvetica"/>
          <w:b/>
          <w:color w:val="E36C0A" w:themeColor="accent6" w:themeShade="BF"/>
          <w:sz w:val="24"/>
        </w:rPr>
      </w:pPr>
      <w:r w:rsidRPr="007A65CB">
        <w:rPr>
          <w:rFonts w:cs="Helvetica"/>
          <w:b/>
          <w:color w:val="FF0000"/>
          <w:sz w:val="24"/>
        </w:rPr>
        <w:t>Paying for access technology out-of-pocket creates a difficult</w:t>
      </w:r>
      <w:r w:rsidR="0007649B">
        <w:rPr>
          <w:rFonts w:cs="Helvetica"/>
          <w:b/>
          <w:color w:val="FF0000"/>
          <w:sz w:val="24"/>
        </w:rPr>
        <w:t xml:space="preserve"> economic</w:t>
      </w:r>
      <w:r w:rsidRPr="007A65CB">
        <w:rPr>
          <w:rFonts w:cs="Helvetica"/>
          <w:b/>
          <w:color w:val="FF0000"/>
          <w:sz w:val="24"/>
        </w:rPr>
        <w:t xml:space="preserve"> reality.</w:t>
      </w:r>
      <w:r w:rsidRPr="007A65CB">
        <w:rPr>
          <w:rFonts w:cs="Helvetica"/>
          <w:color w:val="FF0000"/>
          <w:sz w:val="24"/>
        </w:rPr>
        <w:t xml:space="preserve"> </w:t>
      </w:r>
      <w:r>
        <w:rPr>
          <w:rFonts w:cs="Helvetica"/>
          <w:sz w:val="24"/>
        </w:rPr>
        <w:t xml:space="preserve">Nearly </w:t>
      </w:r>
      <w:r w:rsidR="003145DD">
        <w:rPr>
          <w:rFonts w:cs="Helvetica"/>
          <w:sz w:val="24"/>
        </w:rPr>
        <w:t>60</w:t>
      </w:r>
      <w:r>
        <w:rPr>
          <w:rFonts w:cs="Helvetica"/>
          <w:sz w:val="24"/>
        </w:rPr>
        <w:t xml:space="preserve"> percent of blind Americans are unemployed</w:t>
      </w:r>
      <w:r w:rsidR="00A20669">
        <w:rPr>
          <w:rFonts w:cs="Helvetica"/>
          <w:sz w:val="24"/>
        </w:rPr>
        <w:t>,</w:t>
      </w:r>
      <w:hyperlink w:anchor="Two" w:history="1">
        <w:r w:rsidRPr="00DD6BAF">
          <w:rPr>
            <w:rStyle w:val="Hyperlink"/>
            <w:rFonts w:cs="Helvetica"/>
            <w:sz w:val="24"/>
            <w:vertAlign w:val="superscript"/>
          </w:rPr>
          <w:endnoteReference w:id="3"/>
        </w:r>
      </w:hyperlink>
      <w:bookmarkStart w:id="7" w:name="E2"/>
      <w:bookmarkStart w:id="8" w:name="E3"/>
      <w:bookmarkEnd w:id="7"/>
      <w:bookmarkEnd w:id="8"/>
      <w:r w:rsidR="00A20669">
        <w:rPr>
          <w:rFonts w:cs="Helvetica"/>
          <w:sz w:val="24"/>
        </w:rPr>
        <w:t xml:space="preserve"> yet most </w:t>
      </w:r>
      <w:r>
        <w:rPr>
          <w:rFonts w:cs="Helvetica"/>
          <w:sz w:val="24"/>
        </w:rPr>
        <w:t xml:space="preserve">access technology </w:t>
      </w:r>
      <w:r w:rsidR="005750D6">
        <w:rPr>
          <w:rFonts w:cs="Helvetica"/>
          <w:sz w:val="24"/>
        </w:rPr>
        <w:t>continues to range</w:t>
      </w:r>
      <w:r w:rsidR="000922DC">
        <w:rPr>
          <w:rFonts w:cs="Helvetica"/>
          <w:sz w:val="24"/>
        </w:rPr>
        <w:t xml:space="preserve"> from $1,000 to $6</w:t>
      </w:r>
      <w:r>
        <w:rPr>
          <w:rFonts w:cs="Helvetica"/>
          <w:sz w:val="24"/>
        </w:rPr>
        <w:t xml:space="preserve">,000. For example, </w:t>
      </w:r>
      <w:r w:rsidR="006F460C">
        <w:rPr>
          <w:rFonts w:cs="Helvetica"/>
          <w:sz w:val="24"/>
        </w:rPr>
        <w:t>a leading</w:t>
      </w:r>
      <w:r>
        <w:rPr>
          <w:rFonts w:cs="Helvetica"/>
          <w:sz w:val="24"/>
        </w:rPr>
        <w:t xml:space="preserve"> screen reader is $900, </w:t>
      </w:r>
      <w:r w:rsidR="006F460C">
        <w:rPr>
          <w:rFonts w:cs="Helvetica"/>
          <w:sz w:val="24"/>
        </w:rPr>
        <w:t>a popular</w:t>
      </w:r>
      <w:r w:rsidRPr="00C25791">
        <w:rPr>
          <w:rFonts w:cs="Helvetica"/>
          <w:sz w:val="24"/>
        </w:rPr>
        <w:t xml:space="preserve"> </w:t>
      </w:r>
      <w:r>
        <w:rPr>
          <w:rFonts w:cs="Helvetica"/>
          <w:sz w:val="24"/>
        </w:rPr>
        <w:t>B</w:t>
      </w:r>
      <w:r w:rsidRPr="00C25791">
        <w:rPr>
          <w:rFonts w:cs="Helvetica"/>
          <w:sz w:val="24"/>
        </w:rPr>
        <w:t>raille note</w:t>
      </w:r>
      <w:r w:rsidR="006F460C">
        <w:rPr>
          <w:rFonts w:cs="Helvetica"/>
          <w:sz w:val="24"/>
        </w:rPr>
        <w:t xml:space="preserve"> </w:t>
      </w:r>
      <w:r w:rsidRPr="00C25791">
        <w:rPr>
          <w:rFonts w:cs="Helvetica"/>
          <w:sz w:val="24"/>
        </w:rPr>
        <w:t>taker</w:t>
      </w:r>
      <w:r>
        <w:rPr>
          <w:rFonts w:cs="Helvetica"/>
          <w:sz w:val="24"/>
        </w:rPr>
        <w:t xml:space="preserve"> is $5,495,</w:t>
      </w:r>
      <w:r w:rsidR="006F460C">
        <w:rPr>
          <w:rFonts w:cs="Helvetica"/>
          <w:sz w:val="24"/>
        </w:rPr>
        <w:t xml:space="preserve"> one</w:t>
      </w:r>
      <w:r>
        <w:rPr>
          <w:rFonts w:cs="Helvetica"/>
          <w:sz w:val="24"/>
        </w:rPr>
        <w:t xml:space="preserve"> </w:t>
      </w:r>
      <w:r w:rsidR="006F460C">
        <w:rPr>
          <w:rFonts w:cs="Helvetica"/>
          <w:sz w:val="24"/>
        </w:rPr>
        <w:t xml:space="preserve">model of a </w:t>
      </w:r>
      <w:r>
        <w:rPr>
          <w:rFonts w:cs="Helvetica"/>
          <w:sz w:val="24"/>
        </w:rPr>
        <w:t xml:space="preserve">refreshable Braille display is $2,795, and </w:t>
      </w:r>
      <w:r w:rsidR="006F460C">
        <w:rPr>
          <w:rFonts w:cs="Helvetica"/>
          <w:sz w:val="24"/>
        </w:rPr>
        <w:t>a moderately priced Braille</w:t>
      </w:r>
      <w:r>
        <w:rPr>
          <w:rFonts w:cs="Helvetica"/>
          <w:sz w:val="24"/>
        </w:rPr>
        <w:t xml:space="preserve"> embosser is $3,695. Consequently, most blind Americans</w:t>
      </w:r>
      <w:r w:rsidRPr="00067D47">
        <w:rPr>
          <w:rFonts w:cs="Helvetica"/>
          <w:sz w:val="24"/>
        </w:rPr>
        <w:t xml:space="preserve"> do not have</w:t>
      </w:r>
      <w:r>
        <w:rPr>
          <w:rFonts w:cs="Helvetica"/>
          <w:sz w:val="24"/>
        </w:rPr>
        <w:t xml:space="preserve"> sufficient</w:t>
      </w:r>
      <w:r w:rsidRPr="00067D47">
        <w:rPr>
          <w:rFonts w:cs="Helvetica"/>
          <w:sz w:val="24"/>
        </w:rPr>
        <w:t xml:space="preserve"> </w:t>
      </w:r>
      <w:r>
        <w:rPr>
          <w:rFonts w:cs="Helvetica"/>
          <w:sz w:val="24"/>
        </w:rPr>
        <w:t>financial resources</w:t>
      </w:r>
      <w:r w:rsidRPr="00067D47">
        <w:rPr>
          <w:rFonts w:cs="Helvetica"/>
          <w:sz w:val="24"/>
        </w:rPr>
        <w:t xml:space="preserve"> </w:t>
      </w:r>
      <w:r>
        <w:rPr>
          <w:rFonts w:cs="Helvetica"/>
          <w:sz w:val="24"/>
        </w:rPr>
        <w:t xml:space="preserve">needed </w:t>
      </w:r>
      <w:r w:rsidRPr="00067D47">
        <w:rPr>
          <w:rFonts w:cs="Helvetica"/>
          <w:sz w:val="24"/>
        </w:rPr>
        <w:t xml:space="preserve">to purchase </w:t>
      </w:r>
      <w:r>
        <w:rPr>
          <w:rFonts w:cs="Helvetica"/>
          <w:sz w:val="24"/>
        </w:rPr>
        <w:t xml:space="preserve">these </w:t>
      </w:r>
      <w:r w:rsidR="00057DBA">
        <w:rPr>
          <w:rFonts w:cs="Helvetica"/>
          <w:sz w:val="24"/>
        </w:rPr>
        <w:t>items</w:t>
      </w:r>
      <w:r w:rsidRPr="00067D47">
        <w:rPr>
          <w:rFonts w:cs="Helvetica"/>
          <w:sz w:val="24"/>
        </w:rPr>
        <w:t>.</w:t>
      </w:r>
      <w:hyperlink w:anchor="Four" w:history="1">
        <w:r w:rsidRPr="00DD6BAF">
          <w:rPr>
            <w:rStyle w:val="Hyperlink"/>
            <w:rFonts w:cs="Helvetica"/>
            <w:sz w:val="24"/>
            <w:vertAlign w:val="superscript"/>
          </w:rPr>
          <w:endnoteReference w:id="4"/>
        </w:r>
      </w:hyperlink>
      <w:bookmarkStart w:id="11" w:name="E4"/>
      <w:bookmarkEnd w:id="11"/>
      <w:r w:rsidRPr="00067D47">
        <w:rPr>
          <w:rFonts w:cs="Helvetica"/>
          <w:sz w:val="24"/>
        </w:rPr>
        <w:t xml:space="preserve"> These </w:t>
      </w:r>
      <w:r>
        <w:rPr>
          <w:rFonts w:cs="Helvetica"/>
          <w:sz w:val="24"/>
        </w:rPr>
        <w:t xml:space="preserve">financial </w:t>
      </w:r>
      <w:r w:rsidRPr="00067D47">
        <w:rPr>
          <w:rFonts w:cs="Helvetica"/>
          <w:sz w:val="24"/>
        </w:rPr>
        <w:t xml:space="preserve">barriers </w:t>
      </w:r>
      <w:r>
        <w:rPr>
          <w:rFonts w:cs="Helvetica"/>
          <w:sz w:val="24"/>
        </w:rPr>
        <w:t>can ultimately lead to a</w:t>
      </w:r>
      <w:r w:rsidRPr="00067D47">
        <w:rPr>
          <w:rFonts w:cs="Helvetica"/>
          <w:sz w:val="24"/>
        </w:rPr>
        <w:t xml:space="preserve"> loss </w:t>
      </w:r>
      <w:r w:rsidR="00BD6E38">
        <w:rPr>
          <w:rFonts w:cs="Helvetica"/>
          <w:sz w:val="24"/>
        </w:rPr>
        <w:t>of</w:t>
      </w:r>
      <w:r>
        <w:rPr>
          <w:rFonts w:cs="Helvetica"/>
          <w:sz w:val="24"/>
        </w:rPr>
        <w:t xml:space="preserve"> employment</w:t>
      </w:r>
      <w:r w:rsidRPr="00067D47">
        <w:rPr>
          <w:rFonts w:cs="Helvetica"/>
          <w:sz w:val="24"/>
        </w:rPr>
        <w:t xml:space="preserve">, </w:t>
      </w:r>
      <w:r>
        <w:rPr>
          <w:rFonts w:cs="Helvetica"/>
          <w:sz w:val="24"/>
        </w:rPr>
        <w:t>insufficient</w:t>
      </w:r>
      <w:r w:rsidRPr="00067D47">
        <w:rPr>
          <w:rFonts w:cs="Helvetica"/>
          <w:sz w:val="24"/>
        </w:rPr>
        <w:t xml:space="preserve"> education, </w:t>
      </w:r>
      <w:r>
        <w:rPr>
          <w:rFonts w:cs="Helvetica"/>
          <w:sz w:val="24"/>
        </w:rPr>
        <w:t>or even</w:t>
      </w:r>
      <w:r w:rsidRPr="00067D47">
        <w:rPr>
          <w:rFonts w:cs="Helvetica"/>
          <w:sz w:val="24"/>
        </w:rPr>
        <w:t xml:space="preserve"> isolation from community activities. </w:t>
      </w:r>
    </w:p>
    <w:p w:rsidR="00E9605A" w:rsidRDefault="00E9605A" w:rsidP="00E9605A">
      <w:pPr>
        <w:rPr>
          <w:rFonts w:cs="Helvetica"/>
          <w:b/>
          <w:color w:val="E36C0A" w:themeColor="accent6" w:themeShade="BF"/>
          <w:sz w:val="24"/>
        </w:rPr>
      </w:pPr>
    </w:p>
    <w:p w:rsidR="00E9605A" w:rsidRPr="005969CD" w:rsidRDefault="005C6BDE" w:rsidP="00E9605A">
      <w:pPr>
        <w:rPr>
          <w:rFonts w:cs="Helvetica"/>
          <w:b/>
          <w:color w:val="E36C0A" w:themeColor="accent6" w:themeShade="BF"/>
          <w:sz w:val="24"/>
        </w:rPr>
      </w:pPr>
      <w:r>
        <w:rPr>
          <w:rFonts w:cs="Helvetica"/>
          <w:b/>
          <w:color w:val="FF0000"/>
          <w:sz w:val="24"/>
        </w:rPr>
        <w:t xml:space="preserve">Medical insurance will not cover the cost of access technology. </w:t>
      </w:r>
      <w:r w:rsidR="00E9605A" w:rsidRPr="005C6BDE">
        <w:rPr>
          <w:rFonts w:cs="Helvetica"/>
          <w:sz w:val="24"/>
        </w:rPr>
        <w:t>Current definitions of "medical care," "medical necessity," and "durable medical equipment" within common insurance policies do not include access technology.</w:t>
      </w:r>
      <w:r w:rsidR="00E9605A" w:rsidRPr="00C83C6A">
        <w:rPr>
          <w:rFonts w:cs="Helvetica"/>
          <w:b/>
          <w:color w:val="FF0000"/>
          <w:sz w:val="24"/>
        </w:rPr>
        <w:t xml:space="preserve"> </w:t>
      </w:r>
      <w:r w:rsidR="00E9605A">
        <w:rPr>
          <w:rFonts w:cs="Helvetica"/>
          <w:sz w:val="24"/>
        </w:rPr>
        <w:t xml:space="preserve">These definitions </w:t>
      </w:r>
      <w:r w:rsidR="00E9605A" w:rsidRPr="00982308">
        <w:rPr>
          <w:rFonts w:cs="Helvetica"/>
          <w:sz w:val="24"/>
        </w:rPr>
        <w:t xml:space="preserve">were </w:t>
      </w:r>
      <w:r w:rsidR="00E9605A">
        <w:rPr>
          <w:rFonts w:cs="Helvetica"/>
          <w:sz w:val="24"/>
        </w:rPr>
        <w:t>adopted</w:t>
      </w:r>
      <w:r w:rsidR="00E9605A" w:rsidRPr="00982308">
        <w:rPr>
          <w:rFonts w:cs="Helvetica"/>
          <w:sz w:val="24"/>
        </w:rPr>
        <w:t xml:space="preserve"> in the 1960s when medical care was viewed primarily as curative and palliative, with little or no consideration given to increasing an individual's functional status.</w:t>
      </w:r>
      <w:hyperlink w:anchor="Five" w:history="1">
        <w:r w:rsidR="00E9605A" w:rsidRPr="00DD6BAF">
          <w:rPr>
            <w:rStyle w:val="Hyperlink"/>
            <w:rFonts w:cs="Helvetica"/>
            <w:sz w:val="24"/>
            <w:vertAlign w:val="superscript"/>
          </w:rPr>
          <w:endnoteReference w:id="5"/>
        </w:r>
      </w:hyperlink>
      <w:bookmarkStart w:id="13" w:name="E5"/>
      <w:bookmarkEnd w:id="13"/>
      <w:r w:rsidR="00E9605A" w:rsidRPr="00982308">
        <w:rPr>
          <w:rFonts w:cs="Helvetica"/>
          <w:sz w:val="24"/>
        </w:rPr>
        <w:t xml:space="preserve"> </w:t>
      </w:r>
      <w:r w:rsidR="00E9605A" w:rsidRPr="00261A6A">
        <w:rPr>
          <w:rFonts w:cs="Helvetica"/>
          <w:sz w:val="24"/>
        </w:rPr>
        <w:t xml:space="preserve">Many states’ Medicaid programs and </w:t>
      </w:r>
      <w:r w:rsidR="00E9605A">
        <w:rPr>
          <w:rFonts w:cs="Helvetica"/>
          <w:sz w:val="24"/>
        </w:rPr>
        <w:t xml:space="preserve">individual </w:t>
      </w:r>
      <w:r w:rsidR="00E9605A" w:rsidRPr="00261A6A">
        <w:rPr>
          <w:rFonts w:cs="Helvetica"/>
          <w:sz w:val="24"/>
        </w:rPr>
        <w:t xml:space="preserve">health insurance plans have </w:t>
      </w:r>
      <w:r w:rsidR="00E9605A">
        <w:rPr>
          <w:rFonts w:cs="Helvetica"/>
          <w:sz w:val="24"/>
        </w:rPr>
        <w:t xml:space="preserve">adopted </w:t>
      </w:r>
      <w:r w:rsidR="00E9605A" w:rsidRPr="00261A6A">
        <w:rPr>
          <w:rFonts w:cs="Helvetica"/>
          <w:sz w:val="24"/>
        </w:rPr>
        <w:t xml:space="preserve">similar </w:t>
      </w:r>
      <w:r w:rsidR="00E9605A">
        <w:rPr>
          <w:rFonts w:cs="Helvetica"/>
          <w:sz w:val="24"/>
        </w:rPr>
        <w:t>definitions</w:t>
      </w:r>
      <w:r w:rsidR="00E9605A" w:rsidRPr="00261A6A">
        <w:rPr>
          <w:rFonts w:cs="Helvetica"/>
          <w:sz w:val="24"/>
        </w:rPr>
        <w:t xml:space="preserve"> </w:t>
      </w:r>
      <w:r w:rsidR="00E9605A">
        <w:rPr>
          <w:rFonts w:cs="Helvetica"/>
          <w:sz w:val="24"/>
        </w:rPr>
        <w:t>and</w:t>
      </w:r>
      <w:r w:rsidR="00E9605A" w:rsidRPr="00261A6A">
        <w:rPr>
          <w:rFonts w:cs="Helvetica"/>
          <w:sz w:val="24"/>
        </w:rPr>
        <w:t xml:space="preserve"> </w:t>
      </w:r>
      <w:r w:rsidR="0028726E">
        <w:rPr>
          <w:rFonts w:cs="Helvetica"/>
          <w:sz w:val="24"/>
        </w:rPr>
        <w:t xml:space="preserve">likewise </w:t>
      </w:r>
      <w:r w:rsidR="00E9605A" w:rsidRPr="00261A6A">
        <w:rPr>
          <w:rFonts w:cs="Helvetica"/>
          <w:sz w:val="24"/>
        </w:rPr>
        <w:t xml:space="preserve">will not cover </w:t>
      </w:r>
      <w:r w:rsidR="0028726E">
        <w:rPr>
          <w:rFonts w:cs="Helvetica"/>
          <w:sz w:val="24"/>
        </w:rPr>
        <w:t xml:space="preserve">the cost of </w:t>
      </w:r>
      <w:r w:rsidR="00E9605A">
        <w:rPr>
          <w:rFonts w:cs="Helvetica"/>
          <w:sz w:val="24"/>
        </w:rPr>
        <w:t>access technology</w:t>
      </w:r>
      <w:r w:rsidR="00E9605A" w:rsidRPr="00EF4081">
        <w:rPr>
          <w:rFonts w:cs="Helvetica"/>
          <w:sz w:val="24"/>
        </w:rPr>
        <w:t>.</w:t>
      </w:r>
      <w:bookmarkStart w:id="14" w:name="E7"/>
      <w:bookmarkEnd w:id="14"/>
      <w:r w:rsidR="00AF6C59">
        <w:fldChar w:fldCharType="begin"/>
      </w:r>
      <w:r w:rsidR="00AF6C59">
        <w:instrText xml:space="preserve"> HYPERLINK \l "Seven" </w:instrText>
      </w:r>
      <w:r w:rsidR="00AF6C59">
        <w:fldChar w:fldCharType="separate"/>
      </w:r>
      <w:r w:rsidR="00E9605A" w:rsidRPr="00DD6BAF">
        <w:rPr>
          <w:rStyle w:val="Hyperlink"/>
          <w:rFonts w:cs="Helvetica"/>
          <w:sz w:val="24"/>
          <w:vertAlign w:val="superscript"/>
        </w:rPr>
        <w:endnoteReference w:id="6"/>
      </w:r>
      <w:r w:rsidR="00AF6C59">
        <w:rPr>
          <w:rStyle w:val="Hyperlink"/>
          <w:rFonts w:cs="Helvetica"/>
          <w:sz w:val="24"/>
          <w:vertAlign w:val="superscript"/>
        </w:rPr>
        <w:fldChar w:fldCharType="end"/>
      </w:r>
    </w:p>
    <w:p w:rsidR="006048BD" w:rsidRDefault="006048BD">
      <w:pPr>
        <w:rPr>
          <w:rFonts w:cs="Helvetica"/>
          <w:b/>
          <w:bCs/>
          <w:color w:val="000000"/>
          <w:sz w:val="24"/>
        </w:rPr>
      </w:pPr>
      <w:r>
        <w:rPr>
          <w:rFonts w:cs="Helvetica"/>
          <w:b/>
          <w:bCs/>
          <w:color w:val="000000"/>
          <w:sz w:val="24"/>
        </w:rPr>
        <w:br w:type="page"/>
      </w:r>
    </w:p>
    <w:p w:rsidR="00E9605A" w:rsidRDefault="00E9605A" w:rsidP="00E9605A">
      <w:pPr>
        <w:rPr>
          <w:rFonts w:cs="Helvetica"/>
          <w:b/>
          <w:sz w:val="24"/>
        </w:rPr>
      </w:pPr>
      <w:r w:rsidRPr="00C25791">
        <w:rPr>
          <w:rFonts w:cs="Helvetica"/>
          <w:b/>
          <w:bCs/>
          <w:sz w:val="24"/>
        </w:rPr>
        <w:lastRenderedPageBreak/>
        <w:t>A</w:t>
      </w:r>
      <w:r w:rsidRPr="00C25791">
        <w:rPr>
          <w:rFonts w:cs="Helvetica"/>
          <w:b/>
          <w:sz w:val="24"/>
        </w:rPr>
        <w:t xml:space="preserve">ccess Technology </w:t>
      </w:r>
      <w:r w:rsidR="000C6CE0">
        <w:rPr>
          <w:rFonts w:cs="Helvetica"/>
          <w:b/>
          <w:sz w:val="24"/>
        </w:rPr>
        <w:t>Affordability</w:t>
      </w:r>
      <w:r w:rsidRPr="00C25791">
        <w:rPr>
          <w:rFonts w:cs="Helvetica"/>
          <w:b/>
          <w:sz w:val="24"/>
        </w:rPr>
        <w:t xml:space="preserve"> Act: </w:t>
      </w:r>
    </w:p>
    <w:p w:rsidR="00F15B7C" w:rsidRPr="00B24F09" w:rsidRDefault="00F15B7C" w:rsidP="00E9605A">
      <w:pPr>
        <w:rPr>
          <w:rFonts w:cs="Helvetica"/>
          <w:b/>
          <w:sz w:val="24"/>
        </w:rPr>
      </w:pPr>
    </w:p>
    <w:p w:rsidR="00E9605A" w:rsidRDefault="00E9605A" w:rsidP="00E9605A">
      <w:pPr>
        <w:rPr>
          <w:rFonts w:cs="Helvetica"/>
          <w:bCs/>
          <w:sz w:val="24"/>
        </w:rPr>
      </w:pPr>
      <w:r w:rsidRPr="00C83C6A">
        <w:rPr>
          <w:rFonts w:cs="Helvetica"/>
          <w:b/>
          <w:bCs/>
          <w:color w:val="548DD4" w:themeColor="text2" w:themeTint="99"/>
          <w:sz w:val="24"/>
        </w:rPr>
        <w:t xml:space="preserve">The Access Technology </w:t>
      </w:r>
      <w:r w:rsidR="000C6CE0">
        <w:rPr>
          <w:rFonts w:cs="Helvetica"/>
          <w:b/>
          <w:bCs/>
          <w:color w:val="548DD4" w:themeColor="text2" w:themeTint="99"/>
          <w:sz w:val="24"/>
        </w:rPr>
        <w:t>Affordability</w:t>
      </w:r>
      <w:r w:rsidRPr="00C83C6A">
        <w:rPr>
          <w:rFonts w:cs="Helvetica"/>
          <w:b/>
          <w:bCs/>
          <w:color w:val="548DD4" w:themeColor="text2" w:themeTint="99"/>
          <w:sz w:val="24"/>
        </w:rPr>
        <w:t xml:space="preserve"> Act provides a simple solution that will increase the availability of access technology so that blind Americans can procure these</w:t>
      </w:r>
      <w:r>
        <w:rPr>
          <w:rFonts w:cs="Helvetica"/>
          <w:b/>
          <w:bCs/>
          <w:color w:val="548DD4" w:themeColor="text2" w:themeTint="99"/>
          <w:sz w:val="24"/>
        </w:rPr>
        <w:t xml:space="preserve"> </w:t>
      </w:r>
      <w:r w:rsidR="00057DBA">
        <w:rPr>
          <w:rFonts w:cs="Helvetica"/>
          <w:b/>
          <w:bCs/>
          <w:color w:val="548DD4" w:themeColor="text2" w:themeTint="99"/>
          <w:sz w:val="24"/>
        </w:rPr>
        <w:t>items</w:t>
      </w:r>
      <w:r w:rsidRPr="00C83C6A">
        <w:rPr>
          <w:rFonts w:cs="Helvetica"/>
          <w:b/>
          <w:bCs/>
          <w:color w:val="548DD4" w:themeColor="text2" w:themeTint="99"/>
          <w:sz w:val="24"/>
        </w:rPr>
        <w:t xml:space="preserve"> for themselves. </w:t>
      </w:r>
      <w:r>
        <w:rPr>
          <w:rFonts w:cs="Helvetica"/>
          <w:bCs/>
          <w:sz w:val="24"/>
        </w:rPr>
        <w:t>It</w:t>
      </w:r>
      <w:r w:rsidRPr="009F5F70">
        <w:rPr>
          <w:rFonts w:cs="Helvetica"/>
          <w:b/>
          <w:bCs/>
          <w:sz w:val="24"/>
        </w:rPr>
        <w:t xml:space="preserve"> </w:t>
      </w:r>
      <w:r>
        <w:rPr>
          <w:rFonts w:cs="Helvetica"/>
          <w:bCs/>
          <w:sz w:val="24"/>
        </w:rPr>
        <w:t xml:space="preserve">establishes </w:t>
      </w:r>
      <w:r w:rsidRPr="006B4DCD">
        <w:rPr>
          <w:rFonts w:cs="Helvetica"/>
          <w:bCs/>
          <w:sz w:val="24"/>
        </w:rPr>
        <w:t>a</w:t>
      </w:r>
      <w:r w:rsidR="00A20669">
        <w:rPr>
          <w:rFonts w:cs="Helvetica"/>
          <w:bCs/>
          <w:sz w:val="24"/>
        </w:rPr>
        <w:t xml:space="preserve"> </w:t>
      </w:r>
      <w:r w:rsidRPr="009F5F70">
        <w:rPr>
          <w:rFonts w:cs="Helvetica"/>
          <w:bCs/>
          <w:sz w:val="24"/>
        </w:rPr>
        <w:t xml:space="preserve">refundable tax credit </w:t>
      </w:r>
      <w:r w:rsidR="00CB32E3">
        <w:rPr>
          <w:rFonts w:cs="Helvetica"/>
          <w:bCs/>
          <w:sz w:val="24"/>
        </w:rPr>
        <w:t xml:space="preserve">for blind Americans in the amount </w:t>
      </w:r>
      <w:r w:rsidR="00A20669">
        <w:rPr>
          <w:rFonts w:cs="Helvetica"/>
          <w:bCs/>
          <w:sz w:val="24"/>
        </w:rPr>
        <w:t xml:space="preserve">of $2,500 </w:t>
      </w:r>
      <w:r w:rsidR="007A2CCF">
        <w:rPr>
          <w:rFonts w:cs="Helvetica"/>
          <w:bCs/>
          <w:sz w:val="24"/>
        </w:rPr>
        <w:t xml:space="preserve">to be used </w:t>
      </w:r>
      <w:r w:rsidR="000C6CE0">
        <w:rPr>
          <w:rFonts w:cs="Helvetica"/>
          <w:bCs/>
          <w:sz w:val="24"/>
        </w:rPr>
        <w:t xml:space="preserve">over </w:t>
      </w:r>
      <w:r w:rsidR="007A2CCF">
        <w:rPr>
          <w:rFonts w:cs="Helvetica"/>
          <w:bCs/>
          <w:sz w:val="24"/>
        </w:rPr>
        <w:t xml:space="preserve">a </w:t>
      </w:r>
      <w:r w:rsidR="00A20669">
        <w:rPr>
          <w:rFonts w:cs="Helvetica"/>
          <w:bCs/>
          <w:sz w:val="24"/>
        </w:rPr>
        <w:t>3</w:t>
      </w:r>
      <w:r w:rsidR="007A2CCF">
        <w:rPr>
          <w:rFonts w:cs="Helvetica"/>
          <w:bCs/>
          <w:sz w:val="24"/>
        </w:rPr>
        <w:t>-year</w:t>
      </w:r>
      <w:r w:rsidR="000C6CE0">
        <w:rPr>
          <w:rFonts w:cs="Helvetica"/>
          <w:bCs/>
          <w:sz w:val="24"/>
        </w:rPr>
        <w:t xml:space="preserve"> period </w:t>
      </w:r>
      <w:r>
        <w:rPr>
          <w:rFonts w:cs="Helvetica"/>
          <w:bCs/>
          <w:sz w:val="24"/>
        </w:rPr>
        <w:t>to offset the cost of access technology</w:t>
      </w:r>
      <w:r w:rsidRPr="009F5F70">
        <w:rPr>
          <w:rFonts w:cs="Helvetica"/>
          <w:bCs/>
          <w:sz w:val="24"/>
        </w:rPr>
        <w:t>.</w:t>
      </w:r>
      <w:r>
        <w:rPr>
          <w:rFonts w:cs="Helvetica"/>
          <w:bCs/>
          <w:sz w:val="24"/>
        </w:rPr>
        <w:t xml:space="preserve"> </w:t>
      </w:r>
    </w:p>
    <w:p w:rsidR="00E9605A" w:rsidRDefault="00E9605A" w:rsidP="00E9605A">
      <w:pPr>
        <w:rPr>
          <w:rFonts w:cs="Helvetica"/>
          <w:bCs/>
          <w:sz w:val="24"/>
        </w:rPr>
      </w:pPr>
    </w:p>
    <w:p w:rsidR="00E9605A" w:rsidRDefault="00E9605A" w:rsidP="00E9605A">
      <w:pPr>
        <w:rPr>
          <w:rFonts w:cs="Helvetica"/>
          <w:bCs/>
          <w:sz w:val="24"/>
        </w:rPr>
      </w:pPr>
      <w:r w:rsidRPr="00C25791">
        <w:rPr>
          <w:rFonts w:cs="Helvetica"/>
          <w:b/>
          <w:bCs/>
          <w:color w:val="548DD4" w:themeColor="text2" w:themeTint="99"/>
          <w:sz w:val="24"/>
        </w:rPr>
        <w:t>Historically, Congress has created similar tax incentive</w:t>
      </w:r>
      <w:r w:rsidR="00410C10">
        <w:rPr>
          <w:rFonts w:cs="Helvetica"/>
          <w:b/>
          <w:bCs/>
          <w:color w:val="548DD4" w:themeColor="text2" w:themeTint="99"/>
          <w:sz w:val="24"/>
        </w:rPr>
        <w:t>s (e.g., Disabled Access Credit</w:t>
      </w:r>
      <w:r w:rsidRPr="00C25791">
        <w:rPr>
          <w:rFonts w:cs="Helvetica"/>
          <w:b/>
          <w:bCs/>
          <w:color w:val="548DD4" w:themeColor="text2" w:themeTint="99"/>
          <w:sz w:val="24"/>
        </w:rPr>
        <w:t>) for business owners required to make accommodations</w:t>
      </w:r>
      <w:r w:rsidR="0094386C">
        <w:rPr>
          <w:rFonts w:cs="Helvetica"/>
          <w:b/>
          <w:bCs/>
          <w:color w:val="548DD4" w:themeColor="text2" w:themeTint="99"/>
          <w:sz w:val="24"/>
        </w:rPr>
        <w:t>--</w:t>
      </w:r>
      <w:r w:rsidRPr="00C25791">
        <w:rPr>
          <w:rFonts w:cs="Helvetica"/>
          <w:b/>
          <w:bCs/>
          <w:color w:val="548DD4" w:themeColor="text2" w:themeTint="99"/>
          <w:sz w:val="24"/>
        </w:rPr>
        <w:t xml:space="preserve">including </w:t>
      </w:r>
      <w:r w:rsidR="00057DBA">
        <w:rPr>
          <w:rFonts w:cs="Helvetica"/>
          <w:b/>
          <w:bCs/>
          <w:color w:val="548DD4" w:themeColor="text2" w:themeTint="99"/>
          <w:sz w:val="24"/>
        </w:rPr>
        <w:t>access technology</w:t>
      </w:r>
      <w:r w:rsidR="0094386C">
        <w:rPr>
          <w:rFonts w:cs="Helvetica"/>
          <w:b/>
          <w:bCs/>
          <w:color w:val="548DD4" w:themeColor="text2" w:themeTint="99"/>
          <w:sz w:val="24"/>
        </w:rPr>
        <w:t>--</w:t>
      </w:r>
      <w:r w:rsidRPr="00C25791">
        <w:rPr>
          <w:rFonts w:cs="Helvetica"/>
          <w:b/>
          <w:bCs/>
          <w:color w:val="548DD4" w:themeColor="text2" w:themeTint="99"/>
          <w:sz w:val="24"/>
        </w:rPr>
        <w:t>for employees and patrons with disabilities.</w:t>
      </w:r>
      <w:r w:rsidRPr="00C25791">
        <w:rPr>
          <w:rFonts w:cs="Helvetica"/>
          <w:bCs/>
          <w:color w:val="548DD4" w:themeColor="text2" w:themeTint="99"/>
          <w:sz w:val="24"/>
        </w:rPr>
        <w:t xml:space="preserve"> </w:t>
      </w:r>
      <w:r w:rsidR="008948DB">
        <w:rPr>
          <w:rFonts w:cs="Helvetica"/>
          <w:bCs/>
          <w:sz w:val="24"/>
        </w:rPr>
        <w:t>Even though Congress</w:t>
      </w:r>
      <w:r w:rsidR="003776EE" w:rsidRPr="003776EE">
        <w:rPr>
          <w:rFonts w:cs="Helvetica"/>
          <w:bCs/>
          <w:sz w:val="24"/>
        </w:rPr>
        <w:t xml:space="preserve"> </w:t>
      </w:r>
      <w:r w:rsidR="0028726E">
        <w:rPr>
          <w:rFonts w:cs="Helvetica"/>
          <w:bCs/>
          <w:sz w:val="24"/>
        </w:rPr>
        <w:t>created</w:t>
      </w:r>
      <w:r w:rsidR="005750D6">
        <w:rPr>
          <w:rFonts w:cs="Helvetica"/>
          <w:bCs/>
          <w:sz w:val="24"/>
        </w:rPr>
        <w:t xml:space="preserve"> </w:t>
      </w:r>
      <w:r w:rsidR="008948DB">
        <w:rPr>
          <w:rFonts w:cs="Helvetica"/>
          <w:bCs/>
          <w:sz w:val="24"/>
        </w:rPr>
        <w:t xml:space="preserve">these </w:t>
      </w:r>
      <w:r w:rsidR="005750D6">
        <w:rPr>
          <w:rFonts w:cs="Helvetica"/>
          <w:bCs/>
          <w:sz w:val="24"/>
        </w:rPr>
        <w:t xml:space="preserve">tax incentives </w:t>
      </w:r>
      <w:r w:rsidR="008948DB">
        <w:rPr>
          <w:rFonts w:cs="Helvetica"/>
          <w:bCs/>
          <w:sz w:val="24"/>
        </w:rPr>
        <w:t xml:space="preserve">to increase accessibility in the community, these incentives </w:t>
      </w:r>
      <w:r w:rsidR="00DB58C4">
        <w:rPr>
          <w:rFonts w:cs="Helvetica"/>
          <w:bCs/>
          <w:sz w:val="24"/>
        </w:rPr>
        <w:t xml:space="preserve">are </w:t>
      </w:r>
      <w:r w:rsidR="008948DB">
        <w:rPr>
          <w:rFonts w:cs="Helvetica"/>
          <w:bCs/>
          <w:sz w:val="24"/>
        </w:rPr>
        <w:t>underutilized</w:t>
      </w:r>
      <w:r w:rsidR="003776EE" w:rsidRPr="003776EE">
        <w:rPr>
          <w:rFonts w:cs="Helvetica"/>
          <w:bCs/>
          <w:sz w:val="24"/>
        </w:rPr>
        <w:t>.</w:t>
      </w:r>
      <w:r w:rsidR="00FF259C">
        <w:rPr>
          <w:rStyle w:val="EndnoteReference"/>
          <w:rFonts w:cs="Helvetica"/>
          <w:bCs/>
          <w:sz w:val="24"/>
        </w:rPr>
        <w:endnoteReference w:id="7"/>
      </w:r>
      <w:r w:rsidR="008948DB">
        <w:rPr>
          <w:rFonts w:cs="Helvetica"/>
          <w:bCs/>
          <w:sz w:val="24"/>
        </w:rPr>
        <w:t xml:space="preserve"> </w:t>
      </w:r>
      <w:r w:rsidR="00DB58C4">
        <w:rPr>
          <w:rFonts w:cs="Helvetica"/>
          <w:bCs/>
          <w:sz w:val="24"/>
        </w:rPr>
        <w:t>Meanwhile,</w:t>
      </w:r>
      <w:r w:rsidR="00C31F25" w:rsidRPr="00C31F25">
        <w:rPr>
          <w:rFonts w:cs="Helvetica"/>
          <w:bCs/>
          <w:sz w:val="24"/>
        </w:rPr>
        <w:t xml:space="preserve"> blind Americans, for the most part, must depend on others to procure access technology for them.</w:t>
      </w:r>
    </w:p>
    <w:p w:rsidR="00E9605A" w:rsidRDefault="00E9605A" w:rsidP="00E9605A">
      <w:pPr>
        <w:rPr>
          <w:rFonts w:cs="Helvetica"/>
          <w:bCs/>
          <w:sz w:val="24"/>
        </w:rPr>
      </w:pPr>
    </w:p>
    <w:p w:rsidR="00E9605A" w:rsidRDefault="00C31F25" w:rsidP="00E9605A">
      <w:pPr>
        <w:rPr>
          <w:rFonts w:cs="Helvetica"/>
          <w:bCs/>
          <w:sz w:val="24"/>
        </w:rPr>
      </w:pPr>
      <w:r w:rsidRPr="00C31F25">
        <w:rPr>
          <w:rFonts w:cs="Helvetica"/>
          <w:b/>
          <w:bCs/>
          <w:color w:val="548DD4" w:themeColor="text2" w:themeTint="99"/>
          <w:sz w:val="24"/>
        </w:rPr>
        <w:t>T</w:t>
      </w:r>
      <w:r w:rsidR="00E9605A" w:rsidRPr="00C31F25">
        <w:rPr>
          <w:rFonts w:cs="Helvetica"/>
          <w:b/>
          <w:bCs/>
          <w:color w:val="548DD4" w:themeColor="text2" w:themeTint="99"/>
          <w:sz w:val="24"/>
        </w:rPr>
        <w:t xml:space="preserve">here is no one-size-fits-all solution to meet the access technology needs of all blind Americans. </w:t>
      </w:r>
      <w:r w:rsidR="00E9605A">
        <w:rPr>
          <w:rFonts w:cs="Helvetica"/>
          <w:bCs/>
          <w:sz w:val="24"/>
        </w:rPr>
        <w:t xml:space="preserve">Accessibility requires an individualized assessment of one’s own skills and </w:t>
      </w:r>
      <w:r w:rsidR="008948DB">
        <w:rPr>
          <w:rFonts w:cs="Helvetica"/>
          <w:bCs/>
          <w:sz w:val="24"/>
        </w:rPr>
        <w:t>needs</w:t>
      </w:r>
      <w:r w:rsidR="00E9605A">
        <w:rPr>
          <w:rFonts w:cs="Helvetica"/>
          <w:bCs/>
          <w:sz w:val="24"/>
        </w:rPr>
        <w:t xml:space="preserve">. Therefore, </w:t>
      </w:r>
      <w:r w:rsidR="00E9605A" w:rsidRPr="00FA0842">
        <w:rPr>
          <w:rFonts w:cs="Helvetica"/>
          <w:bCs/>
          <w:sz w:val="24"/>
        </w:rPr>
        <w:t xml:space="preserve">blind </w:t>
      </w:r>
      <w:r w:rsidR="00E9605A">
        <w:rPr>
          <w:rFonts w:cs="Helvetica"/>
          <w:bCs/>
          <w:sz w:val="24"/>
        </w:rPr>
        <w:t>Americans</w:t>
      </w:r>
      <w:r w:rsidR="00E9605A" w:rsidRPr="00FA0842">
        <w:rPr>
          <w:rFonts w:cs="Helvetica"/>
          <w:bCs/>
          <w:sz w:val="24"/>
        </w:rPr>
        <w:t xml:space="preserve"> </w:t>
      </w:r>
      <w:r w:rsidR="00E9605A">
        <w:rPr>
          <w:rFonts w:cs="Helvetica"/>
          <w:bCs/>
          <w:sz w:val="24"/>
        </w:rPr>
        <w:t>should be given the opportunity</w:t>
      </w:r>
      <w:r w:rsidR="00E9605A" w:rsidRPr="00FA0842">
        <w:rPr>
          <w:rFonts w:cs="Helvetica"/>
          <w:bCs/>
          <w:sz w:val="24"/>
        </w:rPr>
        <w:t xml:space="preserve"> to </w:t>
      </w:r>
      <w:r w:rsidR="00E9605A">
        <w:rPr>
          <w:rFonts w:cs="Helvetica"/>
          <w:bCs/>
          <w:sz w:val="24"/>
        </w:rPr>
        <w:t>procure</w:t>
      </w:r>
      <w:r w:rsidR="00E9605A" w:rsidRPr="00FA0842">
        <w:rPr>
          <w:rFonts w:cs="Helvetica"/>
          <w:bCs/>
          <w:sz w:val="24"/>
        </w:rPr>
        <w:t xml:space="preserve"> </w:t>
      </w:r>
      <w:r w:rsidR="00E9605A">
        <w:rPr>
          <w:rFonts w:cs="Helvetica"/>
          <w:bCs/>
          <w:sz w:val="24"/>
        </w:rPr>
        <w:t>access technology</w:t>
      </w:r>
      <w:r w:rsidR="00E9605A" w:rsidRPr="00FA0842">
        <w:rPr>
          <w:rFonts w:cs="Helvetica"/>
          <w:bCs/>
          <w:sz w:val="24"/>
        </w:rPr>
        <w:t xml:space="preserve"> </w:t>
      </w:r>
      <w:r w:rsidR="00E9605A">
        <w:rPr>
          <w:rFonts w:cs="Helvetica"/>
          <w:bCs/>
          <w:sz w:val="24"/>
        </w:rPr>
        <w:t xml:space="preserve">on their own to ensure that they are receiving the </w:t>
      </w:r>
      <w:r w:rsidR="00057DBA">
        <w:rPr>
          <w:rFonts w:cs="Helvetica"/>
          <w:bCs/>
          <w:sz w:val="24"/>
        </w:rPr>
        <w:t>tools</w:t>
      </w:r>
      <w:r w:rsidR="00E9605A">
        <w:rPr>
          <w:rFonts w:cs="Helvetica"/>
          <w:bCs/>
          <w:sz w:val="24"/>
        </w:rPr>
        <w:t xml:space="preserve"> that are most useful </w:t>
      </w:r>
      <w:r>
        <w:rPr>
          <w:rFonts w:cs="Helvetica"/>
          <w:bCs/>
          <w:sz w:val="24"/>
        </w:rPr>
        <w:t>for</w:t>
      </w:r>
      <w:r w:rsidR="00E9605A">
        <w:rPr>
          <w:rFonts w:cs="Helvetica"/>
          <w:bCs/>
          <w:sz w:val="24"/>
        </w:rPr>
        <w:t xml:space="preserve"> them</w:t>
      </w:r>
      <w:r w:rsidR="006F460C">
        <w:rPr>
          <w:rFonts w:cs="Helvetica"/>
          <w:bCs/>
          <w:sz w:val="24"/>
        </w:rPr>
        <w:t>.</w:t>
      </w:r>
      <w:r>
        <w:rPr>
          <w:rFonts w:cs="Helvetica"/>
          <w:bCs/>
          <w:sz w:val="24"/>
        </w:rPr>
        <w:t xml:space="preserve"> </w:t>
      </w:r>
    </w:p>
    <w:p w:rsidR="00437EDC" w:rsidRPr="00F63A24" w:rsidRDefault="00437EDC" w:rsidP="00437EDC">
      <w:pPr>
        <w:rPr>
          <w:rFonts w:cs="Helvetica"/>
          <w:sz w:val="24"/>
        </w:rPr>
      </w:pPr>
    </w:p>
    <w:p w:rsidR="00E9605A" w:rsidRPr="00E9605A" w:rsidRDefault="00E9605A" w:rsidP="00C048F4">
      <w:pPr>
        <w:pBdr>
          <w:top w:val="single" w:sz="36" w:space="0" w:color="800080"/>
          <w:left w:val="single" w:sz="36" w:space="0" w:color="800080"/>
          <w:bottom w:val="single" w:sz="36" w:space="0" w:color="800080"/>
          <w:right w:val="single" w:sz="36" w:space="4" w:color="800080"/>
        </w:pBdr>
        <w:jc w:val="center"/>
        <w:rPr>
          <w:rFonts w:cs="Helvetica"/>
          <w:b/>
          <w:sz w:val="24"/>
        </w:rPr>
      </w:pPr>
      <w:r w:rsidRPr="00E9605A">
        <w:rPr>
          <w:rFonts w:cs="Helvetica"/>
          <w:b/>
          <w:sz w:val="24"/>
        </w:rPr>
        <w:t>REMOVE FINANCIAL BARRIERS AND INCREASE THE AVAILABILITY OF ACCESS TECHNOLOGY</w:t>
      </w:r>
      <w:r w:rsidR="002C07C1">
        <w:rPr>
          <w:rFonts w:cs="Helvetica"/>
          <w:b/>
          <w:sz w:val="24"/>
        </w:rPr>
        <w:t>.</w:t>
      </w:r>
      <w:r w:rsidRPr="00E9605A">
        <w:rPr>
          <w:rFonts w:cs="Helvetica"/>
          <w:b/>
          <w:sz w:val="24"/>
        </w:rPr>
        <w:t xml:space="preserve"> </w:t>
      </w:r>
    </w:p>
    <w:p w:rsidR="00E9605A" w:rsidRPr="00E9605A" w:rsidRDefault="00E9605A" w:rsidP="00C048F4">
      <w:pPr>
        <w:pBdr>
          <w:top w:val="single" w:sz="36" w:space="0" w:color="800080"/>
          <w:left w:val="single" w:sz="36" w:space="0" w:color="800080"/>
          <w:bottom w:val="single" w:sz="36" w:space="0" w:color="800080"/>
          <w:right w:val="single" w:sz="36" w:space="4" w:color="800080"/>
        </w:pBdr>
        <w:jc w:val="center"/>
        <w:rPr>
          <w:rFonts w:cs="Helvetica"/>
          <w:b/>
          <w:sz w:val="24"/>
        </w:rPr>
      </w:pPr>
    </w:p>
    <w:p w:rsidR="00437EDC" w:rsidRDefault="00437EDC" w:rsidP="00437EDC">
      <w:pPr>
        <w:jc w:val="center"/>
        <w:rPr>
          <w:rFonts w:cs="Helvetica"/>
          <w:b/>
          <w:sz w:val="24"/>
        </w:rPr>
      </w:pPr>
    </w:p>
    <w:p w:rsidR="005770B2" w:rsidRPr="005770B2" w:rsidRDefault="005770B2" w:rsidP="005770B2">
      <w:pPr>
        <w:jc w:val="center"/>
        <w:rPr>
          <w:rFonts w:cs="Helvetica"/>
          <w:b/>
          <w:sz w:val="24"/>
        </w:rPr>
      </w:pPr>
      <w:r w:rsidRPr="005770B2">
        <w:rPr>
          <w:rFonts w:cs="Helvetica"/>
          <w:b/>
          <w:sz w:val="24"/>
        </w:rPr>
        <w:t>To cosponsor H</w:t>
      </w:r>
      <w:r w:rsidR="00C048F4">
        <w:rPr>
          <w:rFonts w:cs="Helvetica"/>
          <w:b/>
          <w:sz w:val="24"/>
        </w:rPr>
        <w:t>.</w:t>
      </w:r>
      <w:r w:rsidRPr="005770B2">
        <w:rPr>
          <w:rFonts w:cs="Helvetica"/>
          <w:b/>
          <w:sz w:val="24"/>
        </w:rPr>
        <w:t>R</w:t>
      </w:r>
      <w:r w:rsidR="00C048F4">
        <w:rPr>
          <w:rFonts w:cs="Helvetica"/>
          <w:b/>
          <w:sz w:val="24"/>
        </w:rPr>
        <w:t>.</w:t>
      </w:r>
      <w:r w:rsidRPr="005770B2">
        <w:rPr>
          <w:rFonts w:cs="Helvetica"/>
          <w:b/>
          <w:sz w:val="24"/>
        </w:rPr>
        <w:t xml:space="preserve"> 1734 in the House of Representatives, contact:</w:t>
      </w:r>
    </w:p>
    <w:p w:rsidR="005770B2" w:rsidRPr="005770B2" w:rsidRDefault="005770B2" w:rsidP="005770B2">
      <w:pPr>
        <w:jc w:val="center"/>
        <w:rPr>
          <w:rFonts w:cs="Helvetica"/>
          <w:sz w:val="24"/>
        </w:rPr>
      </w:pPr>
      <w:r w:rsidRPr="005770B2">
        <w:rPr>
          <w:rFonts w:cs="Helvetica"/>
          <w:sz w:val="24"/>
        </w:rPr>
        <w:t>Jacob Olson, Legislative Director, Office of Congressman David Young (R-IA)</w:t>
      </w:r>
    </w:p>
    <w:p w:rsidR="005770B2" w:rsidRPr="005770B2" w:rsidRDefault="005770B2" w:rsidP="005770B2">
      <w:pPr>
        <w:jc w:val="center"/>
        <w:rPr>
          <w:rFonts w:cs="Helvetica"/>
          <w:b/>
          <w:sz w:val="24"/>
        </w:rPr>
      </w:pPr>
      <w:r w:rsidRPr="005770B2">
        <w:rPr>
          <w:rFonts w:cs="Helvetica"/>
          <w:sz w:val="24"/>
        </w:rPr>
        <w:t>Phone: (202) 225-5476, Email: jacob.olson@mail.house.gov</w:t>
      </w:r>
    </w:p>
    <w:p w:rsidR="005770B2" w:rsidRPr="005770B2" w:rsidRDefault="005770B2" w:rsidP="005770B2">
      <w:pPr>
        <w:jc w:val="center"/>
        <w:rPr>
          <w:rFonts w:cs="Helvetica"/>
          <w:b/>
          <w:sz w:val="24"/>
        </w:rPr>
      </w:pPr>
    </w:p>
    <w:p w:rsidR="005770B2" w:rsidRPr="005770B2" w:rsidRDefault="005770B2" w:rsidP="005770B2">
      <w:pPr>
        <w:jc w:val="center"/>
        <w:rPr>
          <w:rFonts w:cs="Helvetica"/>
          <w:b/>
          <w:sz w:val="24"/>
        </w:rPr>
      </w:pPr>
      <w:r w:rsidRPr="005770B2">
        <w:rPr>
          <w:rFonts w:cs="Helvetica"/>
          <w:b/>
          <w:sz w:val="24"/>
        </w:rPr>
        <w:t>To cosponsor S</w:t>
      </w:r>
      <w:r w:rsidR="00C048F4">
        <w:rPr>
          <w:rFonts w:cs="Helvetica"/>
          <w:b/>
          <w:sz w:val="24"/>
        </w:rPr>
        <w:t>.</w:t>
      </w:r>
      <w:r w:rsidRPr="005770B2">
        <w:rPr>
          <w:rFonts w:cs="Helvetica"/>
          <w:b/>
          <w:sz w:val="24"/>
        </w:rPr>
        <w:t xml:space="preserve"> 732 in the Senate, contact:</w:t>
      </w:r>
    </w:p>
    <w:p w:rsidR="005770B2" w:rsidRPr="005770B2" w:rsidRDefault="005770B2" w:rsidP="005770B2">
      <w:pPr>
        <w:jc w:val="center"/>
        <w:rPr>
          <w:rFonts w:cs="Helvetica"/>
          <w:sz w:val="24"/>
        </w:rPr>
      </w:pPr>
      <w:r w:rsidRPr="005770B2">
        <w:rPr>
          <w:rFonts w:cs="Helvetica"/>
          <w:sz w:val="24"/>
        </w:rPr>
        <w:t>Ryan Losak, Legislative Correspondent, Office of Senator John Boozman (R-AR)</w:t>
      </w:r>
    </w:p>
    <w:p w:rsidR="005770B2" w:rsidRPr="005770B2" w:rsidRDefault="005770B2" w:rsidP="005770B2">
      <w:pPr>
        <w:jc w:val="center"/>
        <w:rPr>
          <w:rFonts w:cs="Helvetica"/>
          <w:sz w:val="24"/>
        </w:rPr>
      </w:pPr>
      <w:r w:rsidRPr="005770B2">
        <w:rPr>
          <w:rFonts w:cs="Helvetica"/>
          <w:sz w:val="24"/>
        </w:rPr>
        <w:t>Phone: (202)224-4843, Email: ryan_losak@boozman.senate.gov</w:t>
      </w:r>
    </w:p>
    <w:p w:rsidR="005770B2" w:rsidRDefault="005770B2" w:rsidP="00E9605A">
      <w:pPr>
        <w:jc w:val="center"/>
        <w:rPr>
          <w:rFonts w:cs="Helvetica"/>
          <w:b/>
          <w:sz w:val="24"/>
        </w:rPr>
      </w:pPr>
    </w:p>
    <w:p w:rsidR="00E9605A" w:rsidRDefault="00E9605A" w:rsidP="00E9605A">
      <w:pPr>
        <w:jc w:val="center"/>
        <w:rPr>
          <w:rFonts w:cs="Helvetica"/>
          <w:b/>
          <w:sz w:val="24"/>
        </w:rPr>
      </w:pPr>
      <w:r w:rsidRPr="00F63A24">
        <w:rPr>
          <w:rFonts w:cs="Helvetica"/>
          <w:b/>
          <w:sz w:val="24"/>
        </w:rPr>
        <w:t>For more information</w:t>
      </w:r>
      <w:r>
        <w:rPr>
          <w:rFonts w:cs="Helvetica"/>
          <w:b/>
          <w:sz w:val="24"/>
        </w:rPr>
        <w:t>,</w:t>
      </w:r>
      <w:r w:rsidRPr="00F63A24">
        <w:rPr>
          <w:rFonts w:cs="Helvetica"/>
          <w:b/>
          <w:sz w:val="24"/>
        </w:rPr>
        <w:t xml:space="preserve"> contact:</w:t>
      </w:r>
    </w:p>
    <w:p w:rsidR="00E9605A" w:rsidRPr="00F63A24" w:rsidRDefault="00E9605A" w:rsidP="00E9605A">
      <w:pPr>
        <w:jc w:val="center"/>
        <w:rPr>
          <w:rFonts w:cs="Helvetica"/>
          <w:sz w:val="24"/>
        </w:rPr>
      </w:pPr>
      <w:r>
        <w:rPr>
          <w:rFonts w:cs="Helvetica"/>
          <w:sz w:val="24"/>
        </w:rPr>
        <w:t>Kimie Beverly</w:t>
      </w:r>
      <w:r w:rsidRPr="00F63A24">
        <w:rPr>
          <w:rFonts w:cs="Helvetica"/>
          <w:sz w:val="24"/>
        </w:rPr>
        <w:t xml:space="preserve">, </w:t>
      </w:r>
      <w:r>
        <w:rPr>
          <w:rFonts w:cs="Helvetica"/>
          <w:sz w:val="24"/>
        </w:rPr>
        <w:t xml:space="preserve">Government Affairs Specialist, </w:t>
      </w:r>
      <w:r w:rsidRPr="00F63A24">
        <w:rPr>
          <w:rFonts w:cs="Helvetica"/>
          <w:sz w:val="24"/>
        </w:rPr>
        <w:t>National Federation of the Blind</w:t>
      </w:r>
    </w:p>
    <w:p w:rsidR="00E9605A" w:rsidRDefault="00E9605A" w:rsidP="00E9605A">
      <w:pPr>
        <w:jc w:val="center"/>
        <w:rPr>
          <w:rFonts w:cs="Helvetica"/>
          <w:sz w:val="24"/>
        </w:rPr>
      </w:pPr>
      <w:r w:rsidRPr="00F63A24">
        <w:rPr>
          <w:rFonts w:cs="Helvetica"/>
          <w:sz w:val="24"/>
        </w:rPr>
        <w:t xml:space="preserve">Phone: (410) 659-9314, </w:t>
      </w:r>
      <w:r>
        <w:rPr>
          <w:rFonts w:cs="Helvetica"/>
          <w:sz w:val="24"/>
        </w:rPr>
        <w:t>e</w:t>
      </w:r>
      <w:r w:rsidRPr="00F63A24">
        <w:rPr>
          <w:rFonts w:cs="Helvetica"/>
          <w:sz w:val="24"/>
        </w:rPr>
        <w:t>xt</w:t>
      </w:r>
      <w:r>
        <w:rPr>
          <w:rFonts w:cs="Helvetica"/>
          <w:sz w:val="24"/>
        </w:rPr>
        <w:t>ension</w:t>
      </w:r>
      <w:r w:rsidRPr="00F63A24">
        <w:rPr>
          <w:rFonts w:cs="Helvetica"/>
          <w:sz w:val="24"/>
        </w:rPr>
        <w:t xml:space="preserve"> </w:t>
      </w:r>
      <w:r>
        <w:rPr>
          <w:rFonts w:cs="Helvetica"/>
          <w:sz w:val="24"/>
        </w:rPr>
        <w:t>2441, E</w:t>
      </w:r>
      <w:r w:rsidRPr="00F63A24">
        <w:rPr>
          <w:rFonts w:cs="Helvetica"/>
          <w:sz w:val="24"/>
        </w:rPr>
        <w:t xml:space="preserve">mail: </w:t>
      </w:r>
      <w:hyperlink r:id="rId8" w:history="1">
        <w:r w:rsidRPr="00024869">
          <w:rPr>
            <w:rStyle w:val="Hyperlink"/>
            <w:rFonts w:cs="Helvetica"/>
            <w:sz w:val="24"/>
          </w:rPr>
          <w:t>kbeverly@nfb.org</w:t>
        </w:r>
      </w:hyperlink>
    </w:p>
    <w:p w:rsidR="00E9605A" w:rsidRPr="00266AAE" w:rsidRDefault="00E9605A" w:rsidP="00E9605A">
      <w:pPr>
        <w:rPr>
          <w:rFonts w:cs="Helvetica"/>
          <w:sz w:val="24"/>
        </w:rPr>
      </w:pPr>
    </w:p>
    <w:p w:rsidR="00E9605A" w:rsidRDefault="00E9605A" w:rsidP="00E9605A">
      <w:pPr>
        <w:jc w:val="center"/>
        <w:rPr>
          <w:rFonts w:cs="Helvetica"/>
          <w:i/>
          <w:sz w:val="24"/>
        </w:rPr>
      </w:pPr>
      <w:r w:rsidRPr="00B24F09">
        <w:rPr>
          <w:rFonts w:cs="Helvetica"/>
          <w:i/>
          <w:sz w:val="24"/>
        </w:rPr>
        <w:t xml:space="preserve">For more information visit www.nfb.org </w:t>
      </w:r>
    </w:p>
    <w:sectPr w:rsidR="00E9605A" w:rsidSect="009F0608">
      <w:footerReference w:type="default" r:id="rId9"/>
      <w:headerReference w:type="first" r:id="rId10"/>
      <w:footerReference w:type="first" r:id="rId11"/>
      <w:endnotePr>
        <w:numFmt w:val="decimal"/>
      </w:endnotePr>
      <w:pgSz w:w="12240" w:h="15840" w:code="1"/>
      <w:pgMar w:top="1440" w:right="900" w:bottom="1440" w:left="9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3267" w:rsidRDefault="00123267">
      <w:r>
        <w:separator/>
      </w:r>
    </w:p>
  </w:endnote>
  <w:endnote w:type="continuationSeparator" w:id="0">
    <w:p w:rsidR="00123267" w:rsidRDefault="00123267">
      <w:r>
        <w:continuationSeparator/>
      </w:r>
    </w:p>
  </w:endnote>
  <w:endnote w:id="1">
    <w:bookmarkStart w:id="4" w:name="One"/>
    <w:bookmarkEnd w:id="4"/>
    <w:p w:rsidR="00A84BB5" w:rsidRPr="00CC53EB" w:rsidRDefault="00A84BB5" w:rsidP="00A84BB5">
      <w:pPr>
        <w:pStyle w:val="EndnoteText"/>
        <w:rPr>
          <w:sz w:val="16"/>
          <w:szCs w:val="16"/>
        </w:rPr>
      </w:pPr>
      <w:r>
        <w:rPr>
          <w:sz w:val="16"/>
          <w:szCs w:val="16"/>
        </w:rPr>
        <w:fldChar w:fldCharType="begin"/>
      </w:r>
      <w:r>
        <w:rPr>
          <w:sz w:val="16"/>
          <w:szCs w:val="16"/>
        </w:rPr>
        <w:instrText xml:space="preserve"> HYPERLINK  \l "E6" </w:instrText>
      </w:r>
      <w:r>
        <w:rPr>
          <w:sz w:val="16"/>
          <w:szCs w:val="16"/>
        </w:rPr>
        <w:fldChar w:fldCharType="separate"/>
      </w:r>
      <w:r w:rsidRPr="00AF6C59">
        <w:rPr>
          <w:rStyle w:val="Hyperlink"/>
          <w:sz w:val="16"/>
          <w:szCs w:val="16"/>
          <w:vertAlign w:val="superscript"/>
        </w:rPr>
        <w:endnoteRef/>
      </w:r>
      <w:r>
        <w:rPr>
          <w:sz w:val="16"/>
          <w:szCs w:val="16"/>
        </w:rPr>
        <w:fldChar w:fldCharType="end"/>
      </w:r>
      <w:r w:rsidRPr="00CC53EB">
        <w:rPr>
          <w:sz w:val="16"/>
          <w:szCs w:val="16"/>
        </w:rPr>
        <w:t xml:space="preserve"> 26 U.S.C § 63(f)(4)</w:t>
      </w:r>
    </w:p>
  </w:endnote>
  <w:endnote w:id="2">
    <w:p w:rsidR="00E9605A" w:rsidRPr="00CC53EB" w:rsidRDefault="007871AB" w:rsidP="00E9605A">
      <w:pPr>
        <w:pStyle w:val="EndnoteText"/>
        <w:rPr>
          <w:sz w:val="16"/>
          <w:szCs w:val="16"/>
        </w:rPr>
      </w:pPr>
      <w:hyperlink w:anchor="E1" w:history="1">
        <w:r w:rsidR="00E9605A" w:rsidRPr="00AF6C59">
          <w:rPr>
            <w:rStyle w:val="Hyperlink"/>
            <w:sz w:val="16"/>
            <w:szCs w:val="16"/>
            <w:vertAlign w:val="superscript"/>
          </w:rPr>
          <w:endnoteRef/>
        </w:r>
      </w:hyperlink>
      <w:r w:rsidR="00E9605A" w:rsidRPr="00CC53EB">
        <w:rPr>
          <w:sz w:val="16"/>
          <w:szCs w:val="16"/>
        </w:rPr>
        <w:t xml:space="preserve"> Department of Education, Rehabilitation Services and Disability Research, “Fiscal Year 2017 Budget Request,” </w:t>
      </w:r>
      <w:hyperlink r:id="rId1" w:history="1">
        <w:r w:rsidR="00E9605A" w:rsidRPr="00CC53EB">
          <w:rPr>
            <w:rStyle w:val="Hyperlink"/>
            <w:sz w:val="16"/>
            <w:szCs w:val="16"/>
          </w:rPr>
          <w:t>https://www2.ed.gov/about/overview/budget/budget17/justifications/i-rehab.pdf</w:t>
        </w:r>
      </w:hyperlink>
      <w:r w:rsidR="00E9605A" w:rsidRPr="00CC53EB">
        <w:rPr>
          <w:sz w:val="16"/>
          <w:szCs w:val="16"/>
        </w:rPr>
        <w:t>, p. I-66.</w:t>
      </w:r>
    </w:p>
  </w:endnote>
  <w:endnote w:id="3">
    <w:bookmarkStart w:id="6" w:name="Two"/>
    <w:bookmarkEnd w:id="6"/>
    <w:p w:rsidR="00E9605A" w:rsidRPr="00CC53EB" w:rsidRDefault="00AF6C59" w:rsidP="00E9605A">
      <w:pPr>
        <w:pStyle w:val="EndnoteText"/>
        <w:rPr>
          <w:sz w:val="16"/>
          <w:szCs w:val="16"/>
        </w:rPr>
      </w:pPr>
      <w:r>
        <w:rPr>
          <w:sz w:val="16"/>
          <w:szCs w:val="16"/>
        </w:rPr>
        <w:fldChar w:fldCharType="begin"/>
      </w:r>
      <w:r>
        <w:rPr>
          <w:sz w:val="16"/>
          <w:szCs w:val="16"/>
        </w:rPr>
        <w:instrText xml:space="preserve"> HYPERLINK  \l "E2" </w:instrText>
      </w:r>
      <w:r>
        <w:rPr>
          <w:sz w:val="16"/>
          <w:szCs w:val="16"/>
        </w:rPr>
        <w:fldChar w:fldCharType="separate"/>
      </w:r>
      <w:r w:rsidR="00E9605A" w:rsidRPr="00AF6C59">
        <w:rPr>
          <w:rStyle w:val="Hyperlink"/>
          <w:sz w:val="16"/>
          <w:szCs w:val="16"/>
          <w:vertAlign w:val="superscript"/>
        </w:rPr>
        <w:endnoteRef/>
      </w:r>
      <w:r>
        <w:rPr>
          <w:sz w:val="16"/>
          <w:szCs w:val="16"/>
        </w:rPr>
        <w:fldChar w:fldCharType="end"/>
      </w:r>
      <w:r w:rsidR="00E9605A" w:rsidRPr="00CC53EB">
        <w:rPr>
          <w:sz w:val="16"/>
          <w:szCs w:val="16"/>
        </w:rPr>
        <w:t xml:space="preserve"> </w:t>
      </w:r>
      <w:proofErr w:type="gramStart"/>
      <w:r w:rsidR="00E9605A" w:rsidRPr="00CC53EB">
        <w:rPr>
          <w:sz w:val="16"/>
          <w:szCs w:val="16"/>
        </w:rPr>
        <w:t>American Community Survey.</w:t>
      </w:r>
      <w:proofErr w:type="gramEnd"/>
      <w:r w:rsidR="00E9605A" w:rsidRPr="00CC53EB">
        <w:rPr>
          <w:sz w:val="16"/>
          <w:szCs w:val="16"/>
        </w:rPr>
        <w:t xml:space="preserve"> </w:t>
      </w:r>
      <w:hyperlink r:id="rId2" w:history="1">
        <w:r w:rsidR="00E9605A" w:rsidRPr="00CC53EB">
          <w:rPr>
            <w:rStyle w:val="Hyperlink"/>
            <w:sz w:val="16"/>
            <w:szCs w:val="16"/>
          </w:rPr>
          <w:t>www.disabilitystatistics.org</w:t>
        </w:r>
      </w:hyperlink>
      <w:r w:rsidR="00E9605A" w:rsidRPr="00CC53EB">
        <w:rPr>
          <w:sz w:val="16"/>
          <w:szCs w:val="16"/>
        </w:rPr>
        <w:t xml:space="preserve">. </w:t>
      </w:r>
    </w:p>
  </w:endnote>
  <w:endnote w:id="4">
    <w:bookmarkStart w:id="9" w:name="Three"/>
    <w:bookmarkStart w:id="10" w:name="Four"/>
    <w:bookmarkEnd w:id="9"/>
    <w:bookmarkEnd w:id="10"/>
    <w:p w:rsidR="00E9605A" w:rsidRPr="00CC53EB" w:rsidRDefault="00AF6C59" w:rsidP="00E9605A">
      <w:pPr>
        <w:pStyle w:val="EndnoteText"/>
        <w:rPr>
          <w:sz w:val="16"/>
          <w:szCs w:val="16"/>
        </w:rPr>
      </w:pPr>
      <w:r>
        <w:rPr>
          <w:sz w:val="16"/>
          <w:szCs w:val="16"/>
        </w:rPr>
        <w:fldChar w:fldCharType="begin"/>
      </w:r>
      <w:r>
        <w:rPr>
          <w:sz w:val="16"/>
          <w:szCs w:val="16"/>
        </w:rPr>
        <w:instrText xml:space="preserve"> HYPERLINK  \l "E4" </w:instrText>
      </w:r>
      <w:r>
        <w:rPr>
          <w:sz w:val="16"/>
          <w:szCs w:val="16"/>
        </w:rPr>
        <w:fldChar w:fldCharType="separate"/>
      </w:r>
      <w:r w:rsidR="00E9605A" w:rsidRPr="00AF6C59">
        <w:rPr>
          <w:rStyle w:val="Hyperlink"/>
          <w:sz w:val="16"/>
          <w:szCs w:val="16"/>
          <w:vertAlign w:val="superscript"/>
        </w:rPr>
        <w:endnoteRef/>
      </w:r>
      <w:r>
        <w:rPr>
          <w:sz w:val="16"/>
          <w:szCs w:val="16"/>
        </w:rPr>
        <w:fldChar w:fldCharType="end"/>
      </w:r>
      <w:r w:rsidR="00E9605A" w:rsidRPr="00CC53EB">
        <w:rPr>
          <w:sz w:val="16"/>
          <w:szCs w:val="16"/>
        </w:rPr>
        <w:t xml:space="preserve"> </w:t>
      </w:r>
      <w:proofErr w:type="gramStart"/>
      <w:r w:rsidR="00E9605A" w:rsidRPr="00CC53EB">
        <w:rPr>
          <w:sz w:val="16"/>
          <w:szCs w:val="16"/>
        </w:rPr>
        <w:t>Erickson, W., Lee, C., von Schrader, S. (2016).</w:t>
      </w:r>
      <w:proofErr w:type="gramEnd"/>
      <w:r w:rsidR="00E9605A" w:rsidRPr="00CC53EB">
        <w:rPr>
          <w:sz w:val="16"/>
          <w:szCs w:val="16"/>
        </w:rPr>
        <w:t xml:space="preserve"> </w:t>
      </w:r>
      <w:proofErr w:type="gramStart"/>
      <w:r w:rsidR="00E9605A" w:rsidRPr="00CC53EB">
        <w:rPr>
          <w:sz w:val="16"/>
          <w:szCs w:val="16"/>
        </w:rPr>
        <w:t>"Disability Statistics from the 2014 American Community Survey (ACS)."</w:t>
      </w:r>
      <w:proofErr w:type="gramEnd"/>
      <w:r w:rsidR="00E9605A" w:rsidRPr="00CC53EB">
        <w:rPr>
          <w:sz w:val="16"/>
          <w:szCs w:val="16"/>
        </w:rPr>
        <w:t xml:space="preserve"> Ithaca, NY: Cornell University Employment and Disability Institute (EDI). </w:t>
      </w:r>
      <w:proofErr w:type="gramStart"/>
      <w:r w:rsidR="00E9605A" w:rsidRPr="00CC53EB">
        <w:rPr>
          <w:sz w:val="16"/>
          <w:szCs w:val="16"/>
        </w:rPr>
        <w:t xml:space="preserve">Retrieved November 11, 2016, from </w:t>
      </w:r>
      <w:hyperlink r:id="rId3" w:history="1">
        <w:r w:rsidR="00E9605A" w:rsidRPr="00CC53EB">
          <w:rPr>
            <w:rStyle w:val="Hyperlink"/>
            <w:sz w:val="16"/>
            <w:szCs w:val="16"/>
          </w:rPr>
          <w:t>www.disabilitystatistics.org</w:t>
        </w:r>
      </w:hyperlink>
      <w:r w:rsidR="00E9605A" w:rsidRPr="00CC53EB">
        <w:rPr>
          <w:sz w:val="16"/>
          <w:szCs w:val="16"/>
        </w:rPr>
        <w:t>.</w:t>
      </w:r>
      <w:proofErr w:type="gramEnd"/>
    </w:p>
  </w:endnote>
  <w:endnote w:id="5">
    <w:bookmarkStart w:id="12" w:name="Five"/>
    <w:bookmarkEnd w:id="12"/>
    <w:p w:rsidR="00E9605A" w:rsidRPr="00CC53EB" w:rsidRDefault="00AF6C59" w:rsidP="00E9605A">
      <w:pPr>
        <w:pStyle w:val="EndnoteText"/>
        <w:rPr>
          <w:sz w:val="16"/>
          <w:szCs w:val="16"/>
        </w:rPr>
      </w:pPr>
      <w:r>
        <w:rPr>
          <w:sz w:val="16"/>
          <w:szCs w:val="16"/>
        </w:rPr>
        <w:fldChar w:fldCharType="begin"/>
      </w:r>
      <w:r>
        <w:rPr>
          <w:sz w:val="16"/>
          <w:szCs w:val="16"/>
        </w:rPr>
        <w:instrText xml:space="preserve"> HYPERLINK  \l "E5" </w:instrText>
      </w:r>
      <w:r>
        <w:rPr>
          <w:sz w:val="16"/>
          <w:szCs w:val="16"/>
        </w:rPr>
        <w:fldChar w:fldCharType="separate"/>
      </w:r>
      <w:r w:rsidR="00E9605A" w:rsidRPr="00AF6C59">
        <w:rPr>
          <w:rStyle w:val="Hyperlink"/>
          <w:sz w:val="16"/>
          <w:szCs w:val="16"/>
          <w:vertAlign w:val="superscript"/>
        </w:rPr>
        <w:endnoteRef/>
      </w:r>
      <w:r>
        <w:rPr>
          <w:sz w:val="16"/>
          <w:szCs w:val="16"/>
        </w:rPr>
        <w:fldChar w:fldCharType="end"/>
      </w:r>
      <w:r w:rsidR="00E9605A" w:rsidRPr="00CC53EB">
        <w:rPr>
          <w:sz w:val="16"/>
          <w:szCs w:val="16"/>
        </w:rPr>
        <w:t xml:space="preserve"> </w:t>
      </w:r>
      <w:proofErr w:type="gramStart"/>
      <w:r w:rsidR="00E9605A" w:rsidRPr="00CC53EB">
        <w:rPr>
          <w:sz w:val="16"/>
          <w:szCs w:val="16"/>
        </w:rPr>
        <w:t xml:space="preserve">National Council on Disability, “Federal Policy Barriers to Assistive Technology,” (May 31, 2000) 8, </w:t>
      </w:r>
      <w:hyperlink r:id="rId4" w:history="1">
        <w:r w:rsidR="00E9605A" w:rsidRPr="00CC53EB">
          <w:rPr>
            <w:rStyle w:val="Hyperlink"/>
            <w:sz w:val="16"/>
            <w:szCs w:val="16"/>
          </w:rPr>
          <w:t>http://www.ncd.gov/rawmedia_repository/c9e48e89_261b_4dda_bc74_203d5915519f.pdf</w:t>
        </w:r>
      </w:hyperlink>
      <w:r w:rsidR="00E9605A" w:rsidRPr="00CC53EB">
        <w:rPr>
          <w:sz w:val="16"/>
          <w:szCs w:val="16"/>
        </w:rPr>
        <w:t>.</w:t>
      </w:r>
      <w:proofErr w:type="gramEnd"/>
    </w:p>
  </w:endnote>
  <w:endnote w:id="6">
    <w:bookmarkStart w:id="15" w:name="Six"/>
    <w:bookmarkStart w:id="16" w:name="Seven"/>
    <w:bookmarkEnd w:id="15"/>
    <w:bookmarkEnd w:id="16"/>
    <w:p w:rsidR="00E9605A" w:rsidRPr="00CC53EB" w:rsidRDefault="00AF6C59" w:rsidP="00E9605A">
      <w:pPr>
        <w:pStyle w:val="EndnoteText"/>
        <w:rPr>
          <w:sz w:val="16"/>
          <w:szCs w:val="16"/>
        </w:rPr>
      </w:pPr>
      <w:r>
        <w:rPr>
          <w:sz w:val="16"/>
          <w:szCs w:val="16"/>
        </w:rPr>
        <w:fldChar w:fldCharType="begin"/>
      </w:r>
      <w:r>
        <w:rPr>
          <w:sz w:val="16"/>
          <w:szCs w:val="16"/>
        </w:rPr>
        <w:instrText xml:space="preserve"> HYPERLINK  \l "E7" </w:instrText>
      </w:r>
      <w:r>
        <w:rPr>
          <w:sz w:val="16"/>
          <w:szCs w:val="16"/>
        </w:rPr>
        <w:fldChar w:fldCharType="separate"/>
      </w:r>
      <w:r w:rsidR="00E9605A" w:rsidRPr="00AF6C59">
        <w:rPr>
          <w:rStyle w:val="Hyperlink"/>
          <w:sz w:val="16"/>
          <w:szCs w:val="16"/>
          <w:vertAlign w:val="superscript"/>
        </w:rPr>
        <w:endnoteRef/>
      </w:r>
      <w:r>
        <w:rPr>
          <w:sz w:val="16"/>
          <w:szCs w:val="16"/>
        </w:rPr>
        <w:fldChar w:fldCharType="end"/>
      </w:r>
      <w:r w:rsidR="00E9605A" w:rsidRPr="00CC53EB">
        <w:rPr>
          <w:sz w:val="16"/>
          <w:szCs w:val="16"/>
        </w:rPr>
        <w:t xml:space="preserve"> </w:t>
      </w:r>
      <w:proofErr w:type="gramStart"/>
      <w:r w:rsidR="00E9605A" w:rsidRPr="00CC53EB">
        <w:rPr>
          <w:sz w:val="16"/>
          <w:szCs w:val="16"/>
        </w:rPr>
        <w:t xml:space="preserve">Assistive Technology Industry Associates, “AT Resources Funding Guide,” </w:t>
      </w:r>
      <w:hyperlink r:id="rId5" w:history="1">
        <w:r w:rsidR="00E9605A" w:rsidRPr="00CC53EB">
          <w:rPr>
            <w:rStyle w:val="Hyperlink"/>
            <w:sz w:val="16"/>
            <w:szCs w:val="16"/>
          </w:rPr>
          <w:t>https://www.atia.org/at-resources/what-is-at/resources-funding-guide/</w:t>
        </w:r>
      </w:hyperlink>
      <w:r w:rsidR="00E9605A" w:rsidRPr="00CC53EB">
        <w:rPr>
          <w:sz w:val="16"/>
          <w:szCs w:val="16"/>
        </w:rPr>
        <w:t xml:space="preserve"> (last accessed December 15, 2016).</w:t>
      </w:r>
      <w:proofErr w:type="gramEnd"/>
    </w:p>
  </w:endnote>
  <w:endnote w:id="7">
    <w:p w:rsidR="00DB58C4" w:rsidRDefault="00FF259C" w:rsidP="00DB58C4">
      <w:pPr>
        <w:pStyle w:val="EndnoteText"/>
      </w:pPr>
      <w:r>
        <w:rPr>
          <w:rStyle w:val="EndnoteReference"/>
        </w:rPr>
        <w:endnoteRef/>
      </w:r>
      <w:r>
        <w:t xml:space="preserve"> U.S. Gen. Accounting Office, </w:t>
      </w:r>
      <w:r w:rsidRPr="00DB58C4">
        <w:rPr>
          <w:i/>
        </w:rPr>
        <w:t>Business Tax Incentives: Incentives to Employ Workers with Disabilities Receive Limited use and have an Uncertain Impact 1</w:t>
      </w:r>
      <w:r w:rsidR="00DB58C4">
        <w:rPr>
          <w:i/>
        </w:rPr>
        <w:t xml:space="preserve">, </w:t>
      </w:r>
      <w:r w:rsidR="00DB58C4" w:rsidRPr="00DB58C4">
        <w:t>at 14,</w:t>
      </w:r>
      <w:r w:rsidR="00DB58C4">
        <w:rPr>
          <w:i/>
        </w:rPr>
        <w:t xml:space="preserve"> </w:t>
      </w:r>
      <w:r>
        <w:t xml:space="preserve">(Dec. 12, 2002) </w:t>
      </w:r>
    </w:p>
    <w:p w:rsidR="00DB58C4" w:rsidRDefault="007871AB" w:rsidP="00DB58C4">
      <w:pPr>
        <w:pStyle w:val="EndnoteText"/>
      </w:pPr>
      <w:hyperlink r:id="rId6" w:history="1">
        <w:r w:rsidR="00DB58C4" w:rsidRPr="001F40D7">
          <w:rPr>
            <w:rStyle w:val="Hyperlink"/>
          </w:rPr>
          <w:t>http://www.unclefed.com/GAOReports/d0339_sum.pdf</w:t>
        </w:r>
      </w:hyperlink>
      <w:r w:rsidR="00DB58C4">
        <w:t>.</w:t>
      </w:r>
    </w:p>
    <w:p w:rsidR="00FF259C" w:rsidRDefault="00FF259C" w:rsidP="00FF259C">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FA7" w:rsidRDefault="001912EB">
    <w:pPr>
      <w:pStyle w:val="Footer"/>
    </w:pPr>
    <w:r>
      <w:rPr>
        <w:noProof/>
      </w:rPr>
      <mc:AlternateContent>
        <mc:Choice Requires="wps">
          <w:drawing>
            <wp:anchor distT="0" distB="0" distL="114300" distR="114300" simplePos="0" relativeHeight="251663360" behindDoc="0" locked="0" layoutInCell="1" allowOverlap="1" wp14:anchorId="4F04C7F3" wp14:editId="05779437">
              <wp:simplePos x="0" y="0"/>
              <wp:positionH relativeFrom="column">
                <wp:posOffset>-342900</wp:posOffset>
              </wp:positionH>
              <wp:positionV relativeFrom="paragraph">
                <wp:posOffset>-32385</wp:posOffset>
              </wp:positionV>
              <wp:extent cx="7324725" cy="495300"/>
              <wp:effectExtent l="0" t="0" r="0"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472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12EB" w:rsidRPr="0000720F" w:rsidRDefault="001912EB" w:rsidP="001912EB">
                          <w:pPr>
                            <w:spacing w:line="260" w:lineRule="exact"/>
                            <w:jc w:val="center"/>
                            <w:rPr>
                              <w:rFonts w:ascii="Arial" w:hAnsi="Arial" w:cs="Arial"/>
                              <w:b/>
                              <w:color w:val="4F81BD" w:themeColor="accent1"/>
                              <w:sz w:val="19"/>
                              <w:szCs w:val="19"/>
                            </w:rPr>
                          </w:pPr>
                          <w:r w:rsidRPr="0000720F">
                            <w:rPr>
                              <w:rFonts w:ascii="Arial" w:hAnsi="Arial" w:cs="Arial"/>
                              <w:b/>
                              <w:color w:val="4F81BD" w:themeColor="accent1"/>
                              <w:sz w:val="19"/>
                              <w:szCs w:val="19"/>
                            </w:rPr>
                            <w:t>National Federation of the Blind</w:t>
                          </w:r>
                        </w:p>
                        <w:p w:rsidR="001912EB" w:rsidRPr="0000720F" w:rsidRDefault="0000720F" w:rsidP="001912EB">
                          <w:pPr>
                            <w:spacing w:line="260" w:lineRule="exact"/>
                            <w:jc w:val="center"/>
                            <w:rPr>
                              <w:rFonts w:ascii="Arial" w:hAnsi="Arial" w:cs="Arial"/>
                              <w:sz w:val="19"/>
                              <w:szCs w:val="19"/>
                            </w:rPr>
                          </w:pPr>
                          <w:r>
                            <w:rPr>
                              <w:rFonts w:ascii="Arial" w:hAnsi="Arial" w:cs="Arial"/>
                              <w:b/>
                              <w:color w:val="4F81BD" w:themeColor="accent1"/>
                              <w:sz w:val="19"/>
                              <w:szCs w:val="19"/>
                            </w:rPr>
                            <w:t>Mark Riccobono</w:t>
                          </w:r>
                          <w:r w:rsidR="001912EB" w:rsidRPr="0000720F">
                            <w:rPr>
                              <w:rFonts w:ascii="Arial" w:hAnsi="Arial" w:cs="Arial"/>
                              <w:b/>
                              <w:color w:val="4F81BD" w:themeColor="accent1"/>
                              <w:sz w:val="19"/>
                              <w:szCs w:val="19"/>
                            </w:rPr>
                            <w:t xml:space="preserve">, </w:t>
                          </w:r>
                          <w:proofErr w:type="gramStart"/>
                          <w:r w:rsidR="001912EB" w:rsidRPr="0000720F">
                            <w:rPr>
                              <w:rFonts w:ascii="Arial" w:hAnsi="Arial" w:cs="Arial"/>
                              <w:b/>
                              <w:i/>
                              <w:color w:val="4F81BD" w:themeColor="accent1"/>
                              <w:sz w:val="19"/>
                              <w:szCs w:val="19"/>
                            </w:rPr>
                            <w:t>President</w:t>
                          </w:r>
                          <w:r w:rsidR="001912EB" w:rsidRPr="0000720F">
                            <w:rPr>
                              <w:rFonts w:ascii="Arial" w:hAnsi="Arial" w:cs="Arial"/>
                              <w:color w:val="4F81BD" w:themeColor="accent1"/>
                              <w:sz w:val="19"/>
                              <w:szCs w:val="19"/>
                            </w:rPr>
                            <w:t xml:space="preserve">  |</w:t>
                          </w:r>
                          <w:proofErr w:type="gramEnd"/>
                          <w:r w:rsidR="001912EB" w:rsidRPr="0000720F">
                            <w:rPr>
                              <w:rFonts w:ascii="Arial" w:hAnsi="Arial" w:cs="Arial"/>
                              <w:color w:val="4F81BD" w:themeColor="accent1"/>
                              <w:sz w:val="19"/>
                              <w:szCs w:val="19"/>
                            </w:rPr>
                            <w:t xml:space="preserve"> </w:t>
                          </w:r>
                          <w:r w:rsidR="001912EB" w:rsidRPr="0000720F">
                            <w:rPr>
                              <w:rFonts w:ascii="Arial" w:hAnsi="Arial" w:cs="Arial"/>
                              <w:sz w:val="19"/>
                              <w:szCs w:val="19"/>
                            </w:rPr>
                            <w:t xml:space="preserve"> 200 East Wells Street </w:t>
                          </w:r>
                          <w:r w:rsidR="001912EB" w:rsidRPr="0000720F">
                            <w:rPr>
                              <w:rFonts w:ascii="Arial" w:hAnsi="Arial" w:cs="Arial"/>
                              <w:i/>
                              <w:sz w:val="19"/>
                              <w:szCs w:val="19"/>
                            </w:rPr>
                            <w:t>at Jernigan Place</w:t>
                          </w:r>
                          <w:r w:rsidR="001912EB" w:rsidRPr="0000720F">
                            <w:rPr>
                              <w:rFonts w:ascii="Arial" w:hAnsi="Arial" w:cs="Arial"/>
                              <w:sz w:val="19"/>
                              <w:szCs w:val="19"/>
                            </w:rPr>
                            <w:t xml:space="preserve"> Baltimore, MD 21230</w:t>
                          </w:r>
                          <w:r w:rsidR="001912EB" w:rsidRPr="0000720F">
                            <w:rPr>
                              <w:rFonts w:ascii="Arial" w:hAnsi="Arial" w:cs="Arial"/>
                              <w:color w:val="4F81BD" w:themeColor="accent1"/>
                              <w:sz w:val="19"/>
                              <w:szCs w:val="19"/>
                            </w:rPr>
                            <w:t xml:space="preserve">  | </w:t>
                          </w:r>
                          <w:r w:rsidR="001912EB" w:rsidRPr="0000720F">
                            <w:rPr>
                              <w:rFonts w:ascii="Arial" w:hAnsi="Arial" w:cs="Arial"/>
                              <w:sz w:val="19"/>
                              <w:szCs w:val="19"/>
                            </w:rPr>
                            <w:t xml:space="preserve"> 410 659 9314</w:t>
                          </w:r>
                          <w:r w:rsidR="001912EB" w:rsidRPr="0000720F">
                            <w:rPr>
                              <w:rFonts w:ascii="Arial" w:hAnsi="Arial" w:cs="Arial"/>
                              <w:color w:val="4F81BD" w:themeColor="accent1"/>
                              <w:sz w:val="19"/>
                              <w:szCs w:val="19"/>
                            </w:rPr>
                            <w:t xml:space="preserve">  | </w:t>
                          </w:r>
                          <w:r w:rsidR="001912EB" w:rsidRPr="0000720F">
                            <w:rPr>
                              <w:rFonts w:ascii="Arial" w:hAnsi="Arial" w:cs="Arial"/>
                              <w:sz w:val="19"/>
                              <w:szCs w:val="19"/>
                            </w:rPr>
                            <w:t xml:space="preserve"> </w:t>
                          </w:r>
                          <w:r w:rsidR="001912EB" w:rsidRPr="0000720F">
                            <w:rPr>
                              <w:rFonts w:ascii="Arial" w:hAnsi="Arial" w:cs="Arial"/>
                              <w:b/>
                              <w:color w:val="4F81BD" w:themeColor="accent1"/>
                              <w:sz w:val="19"/>
                              <w:szCs w:val="19"/>
                            </w:rPr>
                            <w:t>www.nfb.org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27pt;margin-top:-2.55pt;width:576.75pt;height:3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" filled="f" stroked="f">
              <v:textbox>
                <w:txbxContent>
                  <w:p w:rsidR="001912EB" w:rsidRPr="0000720F" w:rsidRDefault="001912EB" w:rsidP="001912EB">
                    <w:pPr>
                      <w:spacing w:line="260" w:lineRule="exact"/>
                      <w:jc w:val="center"/>
                      <w:rPr>
                        <w:rFonts w:ascii="Arial" w:hAnsi="Arial" w:cs="Arial"/>
                        <w:b/>
                        <w:color w:val="4F81BD" w:themeColor="accent1"/>
                        <w:sz w:val="19"/>
                        <w:szCs w:val="19"/>
                      </w:rPr>
                    </w:pPr>
                    <w:r w:rsidRPr="0000720F">
                      <w:rPr>
                        <w:rFonts w:ascii="Arial" w:hAnsi="Arial" w:cs="Arial"/>
                        <w:b/>
                        <w:color w:val="4F81BD" w:themeColor="accent1"/>
                        <w:sz w:val="19"/>
                        <w:szCs w:val="19"/>
                      </w:rPr>
                      <w:t>National Federation of the Blind</w:t>
                    </w:r>
                  </w:p>
                  <w:p w:rsidR="001912EB" w:rsidRPr="0000720F" w:rsidRDefault="0000720F" w:rsidP="001912EB">
                    <w:pPr>
                      <w:spacing w:line="260" w:lineRule="exact"/>
                      <w:jc w:val="center"/>
                      <w:rPr>
                        <w:rFonts w:ascii="Arial" w:hAnsi="Arial" w:cs="Arial"/>
                        <w:sz w:val="19"/>
                        <w:szCs w:val="19"/>
                      </w:rPr>
                    </w:pPr>
                    <w:r>
                      <w:rPr>
                        <w:rFonts w:ascii="Arial" w:hAnsi="Arial" w:cs="Arial"/>
                        <w:b/>
                        <w:color w:val="4F81BD" w:themeColor="accent1"/>
                        <w:sz w:val="19"/>
                        <w:szCs w:val="19"/>
                      </w:rPr>
                      <w:t>Mark Riccobono</w:t>
                    </w:r>
                    <w:r w:rsidR="001912EB" w:rsidRPr="0000720F">
                      <w:rPr>
                        <w:rFonts w:ascii="Arial" w:hAnsi="Arial" w:cs="Arial"/>
                        <w:b/>
                        <w:color w:val="4F81BD" w:themeColor="accent1"/>
                        <w:sz w:val="19"/>
                        <w:szCs w:val="19"/>
                      </w:rPr>
                      <w:t xml:space="preserve">, </w:t>
                    </w:r>
                    <w:proofErr w:type="gramStart"/>
                    <w:r w:rsidR="001912EB" w:rsidRPr="0000720F">
                      <w:rPr>
                        <w:rFonts w:ascii="Arial" w:hAnsi="Arial" w:cs="Arial"/>
                        <w:b/>
                        <w:i/>
                        <w:color w:val="4F81BD" w:themeColor="accent1"/>
                        <w:sz w:val="19"/>
                        <w:szCs w:val="19"/>
                      </w:rPr>
                      <w:t>President</w:t>
                    </w:r>
                    <w:r w:rsidR="001912EB" w:rsidRPr="0000720F">
                      <w:rPr>
                        <w:rFonts w:ascii="Arial" w:hAnsi="Arial" w:cs="Arial"/>
                        <w:color w:val="4F81BD" w:themeColor="accent1"/>
                        <w:sz w:val="19"/>
                        <w:szCs w:val="19"/>
                      </w:rPr>
                      <w:t xml:space="preserve">  |</w:t>
                    </w:r>
                    <w:proofErr w:type="gramEnd"/>
                    <w:r w:rsidR="001912EB" w:rsidRPr="0000720F">
                      <w:rPr>
                        <w:rFonts w:ascii="Arial" w:hAnsi="Arial" w:cs="Arial"/>
                        <w:color w:val="4F81BD" w:themeColor="accent1"/>
                        <w:sz w:val="19"/>
                        <w:szCs w:val="19"/>
                      </w:rPr>
                      <w:t xml:space="preserve"> </w:t>
                    </w:r>
                    <w:r w:rsidR="001912EB" w:rsidRPr="0000720F">
                      <w:rPr>
                        <w:rFonts w:ascii="Arial" w:hAnsi="Arial" w:cs="Arial"/>
                        <w:sz w:val="19"/>
                        <w:szCs w:val="19"/>
                      </w:rPr>
                      <w:t xml:space="preserve"> 200 East Wells Street </w:t>
                    </w:r>
                    <w:r w:rsidR="001912EB" w:rsidRPr="0000720F">
                      <w:rPr>
                        <w:rFonts w:ascii="Arial" w:hAnsi="Arial" w:cs="Arial"/>
                        <w:i/>
                        <w:sz w:val="19"/>
                        <w:szCs w:val="19"/>
                      </w:rPr>
                      <w:t>at Jernigan Place</w:t>
                    </w:r>
                    <w:r w:rsidR="001912EB" w:rsidRPr="0000720F">
                      <w:rPr>
                        <w:rFonts w:ascii="Arial" w:hAnsi="Arial" w:cs="Arial"/>
                        <w:sz w:val="19"/>
                        <w:szCs w:val="19"/>
                      </w:rPr>
                      <w:t xml:space="preserve"> Baltimore, MD 21230</w:t>
                    </w:r>
                    <w:r w:rsidR="001912EB" w:rsidRPr="0000720F">
                      <w:rPr>
                        <w:rFonts w:ascii="Arial" w:hAnsi="Arial" w:cs="Arial"/>
                        <w:color w:val="4F81BD" w:themeColor="accent1"/>
                        <w:sz w:val="19"/>
                        <w:szCs w:val="19"/>
                      </w:rPr>
                      <w:t xml:space="preserve">  | </w:t>
                    </w:r>
                    <w:r w:rsidR="001912EB" w:rsidRPr="0000720F">
                      <w:rPr>
                        <w:rFonts w:ascii="Arial" w:hAnsi="Arial" w:cs="Arial"/>
                        <w:sz w:val="19"/>
                        <w:szCs w:val="19"/>
                      </w:rPr>
                      <w:t xml:space="preserve"> 410 659 9314</w:t>
                    </w:r>
                    <w:r w:rsidR="001912EB" w:rsidRPr="0000720F">
                      <w:rPr>
                        <w:rFonts w:ascii="Arial" w:hAnsi="Arial" w:cs="Arial"/>
                        <w:color w:val="4F81BD" w:themeColor="accent1"/>
                        <w:sz w:val="19"/>
                        <w:szCs w:val="19"/>
                      </w:rPr>
                      <w:t xml:space="preserve">  | </w:t>
                    </w:r>
                    <w:r w:rsidR="001912EB" w:rsidRPr="0000720F">
                      <w:rPr>
                        <w:rFonts w:ascii="Arial" w:hAnsi="Arial" w:cs="Arial"/>
                        <w:sz w:val="19"/>
                        <w:szCs w:val="19"/>
                      </w:rPr>
                      <w:t xml:space="preserve"> </w:t>
                    </w:r>
                    <w:r w:rsidR="001912EB" w:rsidRPr="0000720F">
                      <w:rPr>
                        <w:rFonts w:ascii="Arial" w:hAnsi="Arial" w:cs="Arial"/>
                        <w:b/>
                        <w:color w:val="4F81BD" w:themeColor="accent1"/>
                        <w:sz w:val="19"/>
                        <w:szCs w:val="19"/>
                      </w:rPr>
                      <w:t>www.nfb.org</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FA7" w:rsidRDefault="0024227C">
    <w:pPr>
      <w:pStyle w:val="Footer"/>
    </w:pPr>
    <w:r>
      <w:rPr>
        <w:noProof/>
      </w:rPr>
      <mc:AlternateContent>
        <mc:Choice Requires="wps">
          <w:drawing>
            <wp:anchor distT="0" distB="0" distL="114300" distR="114300" simplePos="0" relativeHeight="251660288" behindDoc="0" locked="0" layoutInCell="1" allowOverlap="1" wp14:anchorId="1751C4FA" wp14:editId="36FE6D48">
              <wp:simplePos x="0" y="0"/>
              <wp:positionH relativeFrom="column">
                <wp:posOffset>-352425</wp:posOffset>
              </wp:positionH>
              <wp:positionV relativeFrom="paragraph">
                <wp:posOffset>129540</wp:posOffset>
              </wp:positionV>
              <wp:extent cx="7324725" cy="34290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472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227C" w:rsidRPr="0000720F" w:rsidRDefault="0000720F" w:rsidP="001912EB">
                          <w:pPr>
                            <w:spacing w:line="260" w:lineRule="exact"/>
                            <w:jc w:val="center"/>
                            <w:rPr>
                              <w:rFonts w:ascii="Arial" w:hAnsi="Arial" w:cs="Arial"/>
                              <w:sz w:val="19"/>
                              <w:szCs w:val="19"/>
                            </w:rPr>
                          </w:pPr>
                          <w:r>
                            <w:rPr>
                              <w:rFonts w:ascii="Arial" w:hAnsi="Arial" w:cs="Arial"/>
                              <w:b/>
                              <w:color w:val="4F81BD" w:themeColor="accent1"/>
                              <w:sz w:val="19"/>
                              <w:szCs w:val="19"/>
                            </w:rPr>
                            <w:t>Mark Riccobono</w:t>
                          </w:r>
                          <w:r w:rsidR="009F0608" w:rsidRPr="0000720F">
                            <w:rPr>
                              <w:rFonts w:ascii="Arial" w:hAnsi="Arial" w:cs="Arial"/>
                              <w:b/>
                              <w:color w:val="4F81BD" w:themeColor="accent1"/>
                              <w:sz w:val="19"/>
                              <w:szCs w:val="19"/>
                            </w:rPr>
                            <w:t>,</w:t>
                          </w:r>
                          <w:r w:rsidR="001912EB" w:rsidRPr="0000720F">
                            <w:rPr>
                              <w:rFonts w:ascii="Arial" w:hAnsi="Arial" w:cs="Arial"/>
                              <w:b/>
                              <w:color w:val="4F81BD" w:themeColor="accent1"/>
                              <w:sz w:val="19"/>
                              <w:szCs w:val="19"/>
                            </w:rPr>
                            <w:t xml:space="preserve"> </w:t>
                          </w:r>
                          <w:proofErr w:type="gramStart"/>
                          <w:r w:rsidR="009F0608" w:rsidRPr="0000720F">
                            <w:rPr>
                              <w:rFonts w:ascii="Arial" w:hAnsi="Arial" w:cs="Arial"/>
                              <w:b/>
                              <w:i/>
                              <w:color w:val="4F81BD" w:themeColor="accent1"/>
                              <w:sz w:val="19"/>
                              <w:szCs w:val="19"/>
                            </w:rPr>
                            <w:t>President</w:t>
                          </w:r>
                          <w:r w:rsidR="001912EB" w:rsidRPr="0000720F">
                            <w:rPr>
                              <w:rFonts w:ascii="Arial" w:hAnsi="Arial" w:cs="Arial"/>
                              <w:color w:val="4F81BD" w:themeColor="accent1"/>
                              <w:sz w:val="19"/>
                              <w:szCs w:val="19"/>
                            </w:rPr>
                            <w:t xml:space="preserve">  |</w:t>
                          </w:r>
                          <w:proofErr w:type="gramEnd"/>
                          <w:r w:rsidR="001912EB" w:rsidRPr="0000720F">
                            <w:rPr>
                              <w:rFonts w:ascii="Arial" w:hAnsi="Arial" w:cs="Arial"/>
                              <w:color w:val="4F81BD" w:themeColor="accent1"/>
                              <w:sz w:val="19"/>
                              <w:szCs w:val="19"/>
                            </w:rPr>
                            <w:t xml:space="preserve"> </w:t>
                          </w:r>
                          <w:r w:rsidR="001912EB" w:rsidRPr="0000720F">
                            <w:rPr>
                              <w:rFonts w:ascii="Arial" w:hAnsi="Arial" w:cs="Arial"/>
                              <w:sz w:val="19"/>
                              <w:szCs w:val="19"/>
                            </w:rPr>
                            <w:t xml:space="preserve"> </w:t>
                          </w:r>
                          <w:r w:rsidR="0024227C" w:rsidRPr="0000720F">
                            <w:rPr>
                              <w:rFonts w:ascii="Arial" w:hAnsi="Arial" w:cs="Arial"/>
                              <w:sz w:val="19"/>
                              <w:szCs w:val="19"/>
                            </w:rPr>
                            <w:t xml:space="preserve">200 East Wells Street </w:t>
                          </w:r>
                          <w:r w:rsidR="0024227C" w:rsidRPr="0000720F">
                            <w:rPr>
                              <w:rFonts w:ascii="Arial" w:hAnsi="Arial" w:cs="Arial"/>
                              <w:i/>
                              <w:sz w:val="19"/>
                              <w:szCs w:val="19"/>
                            </w:rPr>
                            <w:t>at Jernigan Place</w:t>
                          </w:r>
                          <w:r w:rsidR="001912EB" w:rsidRPr="0000720F">
                            <w:rPr>
                              <w:rFonts w:ascii="Arial" w:hAnsi="Arial" w:cs="Arial"/>
                              <w:sz w:val="19"/>
                              <w:szCs w:val="19"/>
                            </w:rPr>
                            <w:t xml:space="preserve"> </w:t>
                          </w:r>
                          <w:r w:rsidR="0024227C" w:rsidRPr="0000720F">
                            <w:rPr>
                              <w:rFonts w:ascii="Arial" w:hAnsi="Arial" w:cs="Arial"/>
                              <w:sz w:val="19"/>
                              <w:szCs w:val="19"/>
                            </w:rPr>
                            <w:t>Baltimore, M</w:t>
                          </w:r>
                          <w:r w:rsidR="00584CF9" w:rsidRPr="0000720F">
                            <w:rPr>
                              <w:rFonts w:ascii="Arial" w:hAnsi="Arial" w:cs="Arial"/>
                              <w:sz w:val="19"/>
                              <w:szCs w:val="19"/>
                            </w:rPr>
                            <w:t>D</w:t>
                          </w:r>
                          <w:r w:rsidR="0024227C" w:rsidRPr="0000720F">
                            <w:rPr>
                              <w:rFonts w:ascii="Arial" w:hAnsi="Arial" w:cs="Arial"/>
                              <w:sz w:val="19"/>
                              <w:szCs w:val="19"/>
                            </w:rPr>
                            <w:t xml:space="preserve"> 21230</w:t>
                          </w:r>
                          <w:r w:rsidR="0024227C" w:rsidRPr="0000720F">
                            <w:rPr>
                              <w:rFonts w:ascii="Arial" w:hAnsi="Arial" w:cs="Arial"/>
                              <w:color w:val="4F81BD" w:themeColor="accent1"/>
                              <w:sz w:val="19"/>
                              <w:szCs w:val="19"/>
                            </w:rPr>
                            <w:t xml:space="preserve">  | </w:t>
                          </w:r>
                          <w:r w:rsidR="0024227C" w:rsidRPr="0000720F">
                            <w:rPr>
                              <w:rFonts w:ascii="Arial" w:hAnsi="Arial" w:cs="Arial"/>
                              <w:sz w:val="19"/>
                              <w:szCs w:val="19"/>
                            </w:rPr>
                            <w:t xml:space="preserve"> 410 659 9314</w:t>
                          </w:r>
                          <w:r w:rsidR="0024227C" w:rsidRPr="0000720F">
                            <w:rPr>
                              <w:rFonts w:ascii="Arial" w:hAnsi="Arial" w:cs="Arial"/>
                              <w:color w:val="4F81BD" w:themeColor="accent1"/>
                              <w:sz w:val="19"/>
                              <w:szCs w:val="19"/>
                            </w:rPr>
                            <w:t xml:space="preserve">  | </w:t>
                          </w:r>
                          <w:r w:rsidR="0024227C" w:rsidRPr="0000720F">
                            <w:rPr>
                              <w:rFonts w:ascii="Arial" w:hAnsi="Arial" w:cs="Arial"/>
                              <w:sz w:val="19"/>
                              <w:szCs w:val="19"/>
                            </w:rPr>
                            <w:t xml:space="preserve"> </w:t>
                          </w:r>
                          <w:r w:rsidR="0024227C" w:rsidRPr="0000720F">
                            <w:rPr>
                              <w:rFonts w:ascii="Arial" w:hAnsi="Arial" w:cs="Arial"/>
                              <w:b/>
                              <w:color w:val="4F81BD" w:themeColor="accent1"/>
                              <w:sz w:val="19"/>
                              <w:szCs w:val="19"/>
                            </w:rPr>
                            <w:t>www.nfb.org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27.75pt;margin-top:10.2pt;width:576.7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" filled="f" stroked="f">
              <v:textbox>
                <w:txbxContent>
                  <w:p w:rsidR="0024227C" w:rsidRPr="0000720F" w:rsidRDefault="0000720F" w:rsidP="001912EB">
                    <w:pPr>
                      <w:spacing w:line="260" w:lineRule="exact"/>
                      <w:jc w:val="center"/>
                      <w:rPr>
                        <w:rFonts w:ascii="Arial" w:hAnsi="Arial" w:cs="Arial"/>
                        <w:sz w:val="19"/>
                        <w:szCs w:val="19"/>
                      </w:rPr>
                    </w:pPr>
                    <w:r>
                      <w:rPr>
                        <w:rFonts w:ascii="Arial" w:hAnsi="Arial" w:cs="Arial"/>
                        <w:b/>
                        <w:color w:val="4F81BD" w:themeColor="accent1"/>
                        <w:sz w:val="19"/>
                        <w:szCs w:val="19"/>
                      </w:rPr>
                      <w:t>Mark Riccobono</w:t>
                    </w:r>
                    <w:r w:rsidR="009F0608" w:rsidRPr="0000720F">
                      <w:rPr>
                        <w:rFonts w:ascii="Arial" w:hAnsi="Arial" w:cs="Arial"/>
                        <w:b/>
                        <w:color w:val="4F81BD" w:themeColor="accent1"/>
                        <w:sz w:val="19"/>
                        <w:szCs w:val="19"/>
                      </w:rPr>
                      <w:t>,</w:t>
                    </w:r>
                    <w:r w:rsidR="001912EB" w:rsidRPr="0000720F">
                      <w:rPr>
                        <w:rFonts w:ascii="Arial" w:hAnsi="Arial" w:cs="Arial"/>
                        <w:b/>
                        <w:color w:val="4F81BD" w:themeColor="accent1"/>
                        <w:sz w:val="19"/>
                        <w:szCs w:val="19"/>
                      </w:rPr>
                      <w:t xml:space="preserve"> </w:t>
                    </w:r>
                    <w:proofErr w:type="gramStart"/>
                    <w:r w:rsidR="009F0608" w:rsidRPr="0000720F">
                      <w:rPr>
                        <w:rFonts w:ascii="Arial" w:hAnsi="Arial" w:cs="Arial"/>
                        <w:b/>
                        <w:i/>
                        <w:color w:val="4F81BD" w:themeColor="accent1"/>
                        <w:sz w:val="19"/>
                        <w:szCs w:val="19"/>
                      </w:rPr>
                      <w:t>President</w:t>
                    </w:r>
                    <w:r w:rsidR="001912EB" w:rsidRPr="0000720F">
                      <w:rPr>
                        <w:rFonts w:ascii="Arial" w:hAnsi="Arial" w:cs="Arial"/>
                        <w:color w:val="4F81BD" w:themeColor="accent1"/>
                        <w:sz w:val="19"/>
                        <w:szCs w:val="19"/>
                      </w:rPr>
                      <w:t xml:space="preserve">  |</w:t>
                    </w:r>
                    <w:proofErr w:type="gramEnd"/>
                    <w:r w:rsidR="001912EB" w:rsidRPr="0000720F">
                      <w:rPr>
                        <w:rFonts w:ascii="Arial" w:hAnsi="Arial" w:cs="Arial"/>
                        <w:color w:val="4F81BD" w:themeColor="accent1"/>
                        <w:sz w:val="19"/>
                        <w:szCs w:val="19"/>
                      </w:rPr>
                      <w:t xml:space="preserve"> </w:t>
                    </w:r>
                    <w:r w:rsidR="001912EB" w:rsidRPr="0000720F">
                      <w:rPr>
                        <w:rFonts w:ascii="Arial" w:hAnsi="Arial" w:cs="Arial"/>
                        <w:sz w:val="19"/>
                        <w:szCs w:val="19"/>
                      </w:rPr>
                      <w:t xml:space="preserve"> </w:t>
                    </w:r>
                    <w:r w:rsidR="0024227C" w:rsidRPr="0000720F">
                      <w:rPr>
                        <w:rFonts w:ascii="Arial" w:hAnsi="Arial" w:cs="Arial"/>
                        <w:sz w:val="19"/>
                        <w:szCs w:val="19"/>
                      </w:rPr>
                      <w:t xml:space="preserve">200 East Wells Street </w:t>
                    </w:r>
                    <w:r w:rsidR="0024227C" w:rsidRPr="0000720F">
                      <w:rPr>
                        <w:rFonts w:ascii="Arial" w:hAnsi="Arial" w:cs="Arial"/>
                        <w:i/>
                        <w:sz w:val="19"/>
                        <w:szCs w:val="19"/>
                      </w:rPr>
                      <w:t>at Jernigan Place</w:t>
                    </w:r>
                    <w:r w:rsidR="001912EB" w:rsidRPr="0000720F">
                      <w:rPr>
                        <w:rFonts w:ascii="Arial" w:hAnsi="Arial" w:cs="Arial"/>
                        <w:sz w:val="19"/>
                        <w:szCs w:val="19"/>
                      </w:rPr>
                      <w:t xml:space="preserve"> </w:t>
                    </w:r>
                    <w:r w:rsidR="0024227C" w:rsidRPr="0000720F">
                      <w:rPr>
                        <w:rFonts w:ascii="Arial" w:hAnsi="Arial" w:cs="Arial"/>
                        <w:sz w:val="19"/>
                        <w:szCs w:val="19"/>
                      </w:rPr>
                      <w:t>Baltimore, M</w:t>
                    </w:r>
                    <w:r w:rsidR="00584CF9" w:rsidRPr="0000720F">
                      <w:rPr>
                        <w:rFonts w:ascii="Arial" w:hAnsi="Arial" w:cs="Arial"/>
                        <w:sz w:val="19"/>
                        <w:szCs w:val="19"/>
                      </w:rPr>
                      <w:t>D</w:t>
                    </w:r>
                    <w:r w:rsidR="0024227C" w:rsidRPr="0000720F">
                      <w:rPr>
                        <w:rFonts w:ascii="Arial" w:hAnsi="Arial" w:cs="Arial"/>
                        <w:sz w:val="19"/>
                        <w:szCs w:val="19"/>
                      </w:rPr>
                      <w:t xml:space="preserve"> 21230</w:t>
                    </w:r>
                    <w:r w:rsidR="0024227C" w:rsidRPr="0000720F">
                      <w:rPr>
                        <w:rFonts w:ascii="Arial" w:hAnsi="Arial" w:cs="Arial"/>
                        <w:color w:val="4F81BD" w:themeColor="accent1"/>
                        <w:sz w:val="19"/>
                        <w:szCs w:val="19"/>
                      </w:rPr>
                      <w:t xml:space="preserve">  | </w:t>
                    </w:r>
                    <w:r w:rsidR="0024227C" w:rsidRPr="0000720F">
                      <w:rPr>
                        <w:rFonts w:ascii="Arial" w:hAnsi="Arial" w:cs="Arial"/>
                        <w:sz w:val="19"/>
                        <w:szCs w:val="19"/>
                      </w:rPr>
                      <w:t xml:space="preserve"> 410 659 9314</w:t>
                    </w:r>
                    <w:r w:rsidR="0024227C" w:rsidRPr="0000720F">
                      <w:rPr>
                        <w:rFonts w:ascii="Arial" w:hAnsi="Arial" w:cs="Arial"/>
                        <w:color w:val="4F81BD" w:themeColor="accent1"/>
                        <w:sz w:val="19"/>
                        <w:szCs w:val="19"/>
                      </w:rPr>
                      <w:t xml:space="preserve">  | </w:t>
                    </w:r>
                    <w:r w:rsidR="0024227C" w:rsidRPr="0000720F">
                      <w:rPr>
                        <w:rFonts w:ascii="Arial" w:hAnsi="Arial" w:cs="Arial"/>
                        <w:sz w:val="19"/>
                        <w:szCs w:val="19"/>
                      </w:rPr>
                      <w:t xml:space="preserve"> </w:t>
                    </w:r>
                    <w:r w:rsidR="0024227C" w:rsidRPr="0000720F">
                      <w:rPr>
                        <w:rFonts w:ascii="Arial" w:hAnsi="Arial" w:cs="Arial"/>
                        <w:b/>
                        <w:color w:val="4F81BD" w:themeColor="accent1"/>
                        <w:sz w:val="19"/>
                        <w:szCs w:val="19"/>
                      </w:rPr>
                      <w:t>www.nfb.org</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3267" w:rsidRDefault="00123267">
      <w:r>
        <w:separator/>
      </w:r>
    </w:p>
  </w:footnote>
  <w:footnote w:type="continuationSeparator" w:id="0">
    <w:p w:rsidR="00123267" w:rsidRDefault="001232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FA7" w:rsidRDefault="009D1D64">
    <w:pPr>
      <w:pStyle w:val="Header"/>
    </w:pPr>
    <w:r>
      <w:rPr>
        <w:noProof/>
      </w:rPr>
      <w:drawing>
        <wp:anchor distT="0" distB="0" distL="114300" distR="114300" simplePos="0" relativeHeight="251661312" behindDoc="0" locked="0" layoutInCell="1" allowOverlap="1" wp14:anchorId="577DBAC6" wp14:editId="0D7331FF">
          <wp:simplePos x="0" y="0"/>
          <wp:positionH relativeFrom="column">
            <wp:posOffset>1409700</wp:posOffset>
          </wp:positionH>
          <wp:positionV relativeFrom="paragraph">
            <wp:posOffset>-190500</wp:posOffset>
          </wp:positionV>
          <wp:extent cx="3593592" cy="1389888"/>
          <wp:effectExtent l="0" t="0" r="6985" b="1270"/>
          <wp:wrapTopAndBottom/>
          <wp:docPr id="6" name="Picture 6" title="National Federation of the Blind logo and tagline live the life you w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NFB Logo RGB Rec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592" cy="1389888"/>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EDC"/>
    <w:rsid w:val="000047AE"/>
    <w:rsid w:val="0000720F"/>
    <w:rsid w:val="00033796"/>
    <w:rsid w:val="00057DBA"/>
    <w:rsid w:val="00062866"/>
    <w:rsid w:val="0007649B"/>
    <w:rsid w:val="000922DC"/>
    <w:rsid w:val="000C6CE0"/>
    <w:rsid w:val="001029DB"/>
    <w:rsid w:val="00116D40"/>
    <w:rsid w:val="00121B17"/>
    <w:rsid w:val="00123267"/>
    <w:rsid w:val="001912EB"/>
    <w:rsid w:val="001D45D2"/>
    <w:rsid w:val="00205811"/>
    <w:rsid w:val="00221611"/>
    <w:rsid w:val="00226FA7"/>
    <w:rsid w:val="0024227C"/>
    <w:rsid w:val="0028726E"/>
    <w:rsid w:val="002C07C1"/>
    <w:rsid w:val="003145DD"/>
    <w:rsid w:val="0032488D"/>
    <w:rsid w:val="003776EE"/>
    <w:rsid w:val="0038336B"/>
    <w:rsid w:val="0039030A"/>
    <w:rsid w:val="003C7FE2"/>
    <w:rsid w:val="003E1E01"/>
    <w:rsid w:val="003F265C"/>
    <w:rsid w:val="00410C10"/>
    <w:rsid w:val="00437EDC"/>
    <w:rsid w:val="00457757"/>
    <w:rsid w:val="00550863"/>
    <w:rsid w:val="005750D6"/>
    <w:rsid w:val="005770B2"/>
    <w:rsid w:val="00584CF9"/>
    <w:rsid w:val="005B7CDB"/>
    <w:rsid w:val="005C6BDE"/>
    <w:rsid w:val="005E77BB"/>
    <w:rsid w:val="005F6D84"/>
    <w:rsid w:val="006048BD"/>
    <w:rsid w:val="006357D0"/>
    <w:rsid w:val="006E426A"/>
    <w:rsid w:val="006F460C"/>
    <w:rsid w:val="007871AB"/>
    <w:rsid w:val="007A2CCF"/>
    <w:rsid w:val="007C056B"/>
    <w:rsid w:val="00830537"/>
    <w:rsid w:val="00870902"/>
    <w:rsid w:val="008948DB"/>
    <w:rsid w:val="008B033E"/>
    <w:rsid w:val="008C1875"/>
    <w:rsid w:val="0094386C"/>
    <w:rsid w:val="009D1D64"/>
    <w:rsid w:val="009F0608"/>
    <w:rsid w:val="00A10D47"/>
    <w:rsid w:val="00A20669"/>
    <w:rsid w:val="00A46F3F"/>
    <w:rsid w:val="00A734F7"/>
    <w:rsid w:val="00A84BB5"/>
    <w:rsid w:val="00AF6C59"/>
    <w:rsid w:val="00B179B5"/>
    <w:rsid w:val="00B403AC"/>
    <w:rsid w:val="00B43E35"/>
    <w:rsid w:val="00BA1499"/>
    <w:rsid w:val="00BD6E38"/>
    <w:rsid w:val="00BE2C5A"/>
    <w:rsid w:val="00C048F4"/>
    <w:rsid w:val="00C31F25"/>
    <w:rsid w:val="00C709A1"/>
    <w:rsid w:val="00CB32E3"/>
    <w:rsid w:val="00CC53EB"/>
    <w:rsid w:val="00DA487D"/>
    <w:rsid w:val="00DB58C4"/>
    <w:rsid w:val="00DD6BAF"/>
    <w:rsid w:val="00E03B89"/>
    <w:rsid w:val="00E9605A"/>
    <w:rsid w:val="00EB5698"/>
    <w:rsid w:val="00EC6A59"/>
    <w:rsid w:val="00F15B7C"/>
    <w:rsid w:val="00F46D57"/>
    <w:rsid w:val="00F6746A"/>
    <w:rsid w:val="00FC406C"/>
    <w:rsid w:val="00FD6E94"/>
    <w:rsid w:val="00FE2AFA"/>
    <w:rsid w:val="00FF25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7EDC"/>
    <w:rPr>
      <w:rFonts w:ascii="Helvetica" w:hAnsi="Helvetica"/>
      <w:sz w:val="28"/>
      <w:szCs w:val="24"/>
    </w:rPr>
  </w:style>
  <w:style w:type="paragraph" w:styleId="Heading1">
    <w:name w:val="heading 1"/>
    <w:basedOn w:val="Normal"/>
    <w:next w:val="Normal"/>
    <w:link w:val="Heading1Char"/>
    <w:qFormat/>
    <w:rsid w:val="00E9605A"/>
    <w:pPr>
      <w:jc w:val="center"/>
      <w:outlineLvl w:val="0"/>
    </w:pPr>
    <w:rPr>
      <w:rFonts w:cs="Helvetica"/>
      <w:b/>
      <w:sz w:val="26"/>
      <w:szCs w:val="26"/>
    </w:rPr>
  </w:style>
  <w:style w:type="paragraph" w:styleId="Heading4">
    <w:name w:val="heading 4"/>
    <w:basedOn w:val="Normal"/>
    <w:next w:val="Normal"/>
    <w:link w:val="Heading4Char"/>
    <w:semiHidden/>
    <w:unhideWhenUsed/>
    <w:qFormat/>
    <w:rsid w:val="00CC53EB"/>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basedOn w:val="DefaultParagraphFont"/>
    <w:rsid w:val="00226FA7"/>
    <w:rPr>
      <w:color w:val="0000FF"/>
      <w:u w:val="single"/>
    </w:rPr>
  </w:style>
  <w:style w:type="paragraph" w:styleId="Signature">
    <w:name w:val="Signature"/>
    <w:basedOn w:val="Normal"/>
  </w:style>
  <w:style w:type="paragraph" w:styleId="Date">
    <w:name w:val="Date"/>
    <w:basedOn w:val="Normal"/>
    <w:next w:val="Normal"/>
  </w:style>
  <w:style w:type="paragraph" w:styleId="BalloonText">
    <w:name w:val="Balloon Text"/>
    <w:basedOn w:val="Normal"/>
    <w:link w:val="BalloonTextChar"/>
    <w:rsid w:val="00B403AC"/>
    <w:rPr>
      <w:rFonts w:ascii="Tahoma" w:hAnsi="Tahoma" w:cs="Tahoma"/>
      <w:sz w:val="16"/>
      <w:szCs w:val="16"/>
    </w:rPr>
  </w:style>
  <w:style w:type="character" w:customStyle="1" w:styleId="BalloonTextChar">
    <w:name w:val="Balloon Text Char"/>
    <w:basedOn w:val="DefaultParagraphFont"/>
    <w:link w:val="BalloonText"/>
    <w:rsid w:val="00B403AC"/>
    <w:rPr>
      <w:rFonts w:ascii="Tahoma" w:hAnsi="Tahoma" w:cs="Tahoma"/>
      <w:sz w:val="16"/>
      <w:szCs w:val="16"/>
    </w:rPr>
  </w:style>
  <w:style w:type="paragraph" w:styleId="EndnoteText">
    <w:name w:val="endnote text"/>
    <w:basedOn w:val="Normal"/>
    <w:link w:val="EndnoteTextChar"/>
    <w:rsid w:val="00437EDC"/>
    <w:rPr>
      <w:sz w:val="20"/>
      <w:szCs w:val="20"/>
    </w:rPr>
  </w:style>
  <w:style w:type="character" w:customStyle="1" w:styleId="EndnoteTextChar">
    <w:name w:val="Endnote Text Char"/>
    <w:basedOn w:val="DefaultParagraphFont"/>
    <w:link w:val="EndnoteText"/>
    <w:rsid w:val="00437EDC"/>
    <w:rPr>
      <w:rFonts w:ascii="Helvetica" w:hAnsi="Helvetica"/>
    </w:rPr>
  </w:style>
  <w:style w:type="character" w:styleId="EndnoteReference">
    <w:name w:val="endnote reference"/>
    <w:basedOn w:val="DefaultParagraphFont"/>
    <w:rsid w:val="00437EDC"/>
    <w:rPr>
      <w:vertAlign w:val="superscript"/>
    </w:rPr>
  </w:style>
  <w:style w:type="character" w:customStyle="1" w:styleId="Heading1Char">
    <w:name w:val="Heading 1 Char"/>
    <w:basedOn w:val="DefaultParagraphFont"/>
    <w:link w:val="Heading1"/>
    <w:rsid w:val="00E9605A"/>
    <w:rPr>
      <w:rFonts w:ascii="Helvetica" w:hAnsi="Helvetica" w:cs="Helvetica"/>
      <w:b/>
      <w:sz w:val="26"/>
      <w:szCs w:val="26"/>
    </w:rPr>
  </w:style>
  <w:style w:type="character" w:styleId="FollowedHyperlink">
    <w:name w:val="FollowedHyperlink"/>
    <w:basedOn w:val="DefaultParagraphFont"/>
    <w:rsid w:val="00F6746A"/>
    <w:rPr>
      <w:color w:val="800080" w:themeColor="followedHyperlink"/>
      <w:u w:val="single"/>
    </w:rPr>
  </w:style>
  <w:style w:type="character" w:customStyle="1" w:styleId="Heading4Char">
    <w:name w:val="Heading 4 Char"/>
    <w:basedOn w:val="DefaultParagraphFont"/>
    <w:link w:val="Heading4"/>
    <w:semiHidden/>
    <w:rsid w:val="00CC53EB"/>
    <w:rPr>
      <w:rFonts w:asciiTheme="majorHAnsi" w:eastAsiaTheme="majorEastAsia" w:hAnsiTheme="majorHAnsi" w:cstheme="majorBidi"/>
      <w:b/>
      <w:bCs/>
      <w:i/>
      <w:iCs/>
      <w:color w:val="4F81BD" w:themeColor="accent1"/>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7EDC"/>
    <w:rPr>
      <w:rFonts w:ascii="Helvetica" w:hAnsi="Helvetica"/>
      <w:sz w:val="28"/>
      <w:szCs w:val="24"/>
    </w:rPr>
  </w:style>
  <w:style w:type="paragraph" w:styleId="Heading1">
    <w:name w:val="heading 1"/>
    <w:basedOn w:val="Normal"/>
    <w:next w:val="Normal"/>
    <w:link w:val="Heading1Char"/>
    <w:qFormat/>
    <w:rsid w:val="00E9605A"/>
    <w:pPr>
      <w:jc w:val="center"/>
      <w:outlineLvl w:val="0"/>
    </w:pPr>
    <w:rPr>
      <w:rFonts w:cs="Helvetica"/>
      <w:b/>
      <w:sz w:val="26"/>
      <w:szCs w:val="26"/>
    </w:rPr>
  </w:style>
  <w:style w:type="paragraph" w:styleId="Heading4">
    <w:name w:val="heading 4"/>
    <w:basedOn w:val="Normal"/>
    <w:next w:val="Normal"/>
    <w:link w:val="Heading4Char"/>
    <w:semiHidden/>
    <w:unhideWhenUsed/>
    <w:qFormat/>
    <w:rsid w:val="00CC53EB"/>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basedOn w:val="DefaultParagraphFont"/>
    <w:rsid w:val="00226FA7"/>
    <w:rPr>
      <w:color w:val="0000FF"/>
      <w:u w:val="single"/>
    </w:rPr>
  </w:style>
  <w:style w:type="paragraph" w:styleId="Signature">
    <w:name w:val="Signature"/>
    <w:basedOn w:val="Normal"/>
  </w:style>
  <w:style w:type="paragraph" w:styleId="Date">
    <w:name w:val="Date"/>
    <w:basedOn w:val="Normal"/>
    <w:next w:val="Normal"/>
  </w:style>
  <w:style w:type="paragraph" w:styleId="BalloonText">
    <w:name w:val="Balloon Text"/>
    <w:basedOn w:val="Normal"/>
    <w:link w:val="BalloonTextChar"/>
    <w:rsid w:val="00B403AC"/>
    <w:rPr>
      <w:rFonts w:ascii="Tahoma" w:hAnsi="Tahoma" w:cs="Tahoma"/>
      <w:sz w:val="16"/>
      <w:szCs w:val="16"/>
    </w:rPr>
  </w:style>
  <w:style w:type="character" w:customStyle="1" w:styleId="BalloonTextChar">
    <w:name w:val="Balloon Text Char"/>
    <w:basedOn w:val="DefaultParagraphFont"/>
    <w:link w:val="BalloonText"/>
    <w:rsid w:val="00B403AC"/>
    <w:rPr>
      <w:rFonts w:ascii="Tahoma" w:hAnsi="Tahoma" w:cs="Tahoma"/>
      <w:sz w:val="16"/>
      <w:szCs w:val="16"/>
    </w:rPr>
  </w:style>
  <w:style w:type="paragraph" w:styleId="EndnoteText">
    <w:name w:val="endnote text"/>
    <w:basedOn w:val="Normal"/>
    <w:link w:val="EndnoteTextChar"/>
    <w:rsid w:val="00437EDC"/>
    <w:rPr>
      <w:sz w:val="20"/>
      <w:szCs w:val="20"/>
    </w:rPr>
  </w:style>
  <w:style w:type="character" w:customStyle="1" w:styleId="EndnoteTextChar">
    <w:name w:val="Endnote Text Char"/>
    <w:basedOn w:val="DefaultParagraphFont"/>
    <w:link w:val="EndnoteText"/>
    <w:rsid w:val="00437EDC"/>
    <w:rPr>
      <w:rFonts w:ascii="Helvetica" w:hAnsi="Helvetica"/>
    </w:rPr>
  </w:style>
  <w:style w:type="character" w:styleId="EndnoteReference">
    <w:name w:val="endnote reference"/>
    <w:basedOn w:val="DefaultParagraphFont"/>
    <w:rsid w:val="00437EDC"/>
    <w:rPr>
      <w:vertAlign w:val="superscript"/>
    </w:rPr>
  </w:style>
  <w:style w:type="character" w:customStyle="1" w:styleId="Heading1Char">
    <w:name w:val="Heading 1 Char"/>
    <w:basedOn w:val="DefaultParagraphFont"/>
    <w:link w:val="Heading1"/>
    <w:rsid w:val="00E9605A"/>
    <w:rPr>
      <w:rFonts w:ascii="Helvetica" w:hAnsi="Helvetica" w:cs="Helvetica"/>
      <w:b/>
      <w:sz w:val="26"/>
      <w:szCs w:val="26"/>
    </w:rPr>
  </w:style>
  <w:style w:type="character" w:styleId="FollowedHyperlink">
    <w:name w:val="FollowedHyperlink"/>
    <w:basedOn w:val="DefaultParagraphFont"/>
    <w:rsid w:val="00F6746A"/>
    <w:rPr>
      <w:color w:val="800080" w:themeColor="followedHyperlink"/>
      <w:u w:val="single"/>
    </w:rPr>
  </w:style>
  <w:style w:type="character" w:customStyle="1" w:styleId="Heading4Char">
    <w:name w:val="Heading 4 Char"/>
    <w:basedOn w:val="DefaultParagraphFont"/>
    <w:link w:val="Heading4"/>
    <w:semiHidden/>
    <w:rsid w:val="00CC53EB"/>
    <w:rPr>
      <w:rFonts w:asciiTheme="majorHAnsi" w:eastAsiaTheme="majorEastAsia" w:hAnsiTheme="majorHAnsi" w:cstheme="majorBidi"/>
      <w:b/>
      <w:bCs/>
      <w:i/>
      <w:iCs/>
      <w:color w:val="4F81BD" w:themeColor="accent1"/>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746306">
      <w:bodyDiv w:val="1"/>
      <w:marLeft w:val="0"/>
      <w:marRight w:val="0"/>
      <w:marTop w:val="0"/>
      <w:marBottom w:val="0"/>
      <w:divBdr>
        <w:top w:val="none" w:sz="0" w:space="0" w:color="auto"/>
        <w:left w:val="none" w:sz="0" w:space="0" w:color="auto"/>
        <w:bottom w:val="none" w:sz="0" w:space="0" w:color="auto"/>
        <w:right w:val="none" w:sz="0" w:space="0" w:color="auto"/>
      </w:divBdr>
    </w:div>
    <w:div w:id="1578250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beverly@nfb.org"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www.disabilitystatistics.org" TargetMode="External"/><Relationship Id="rId2" Type="http://schemas.openxmlformats.org/officeDocument/2006/relationships/hyperlink" Target="http://www.disabilitystatistics.org" TargetMode="External"/><Relationship Id="rId1" Type="http://schemas.openxmlformats.org/officeDocument/2006/relationships/hyperlink" Target="https://www2.ed.gov/about/overview/budget/budget17/justifications/i-rehab.pdf" TargetMode="External"/><Relationship Id="rId6" Type="http://schemas.openxmlformats.org/officeDocument/2006/relationships/hyperlink" Target="http://www.unclefed.com/GAOReports/d0339_sum.pdf" TargetMode="External"/><Relationship Id="rId5" Type="http://schemas.openxmlformats.org/officeDocument/2006/relationships/hyperlink" Target="https://www.atia.org/at-resources/what-is-at/resources-funding-guide/" TargetMode="External"/><Relationship Id="rId4" Type="http://schemas.openxmlformats.org/officeDocument/2006/relationships/hyperlink" Target="http://www.ncd.gov/rawmedia_repository/c9e48e89_261b_4dda_bc74_203d5915519f.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0ADEB0-4B15-4C57-9B42-7299A39D8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649</Words>
  <Characters>3705</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July 24, 2002</vt:lpstr>
    </vt:vector>
  </TitlesOfParts>
  <Company>NFB</Company>
  <LinksUpToDate>false</LinksUpToDate>
  <CharactersWithSpaces>4346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July 24, 2002</dc:title>
  <dc:creator>Melissa Kroeger</dc:creator>
  <cp:lastModifiedBy>Kimie Beverly</cp:lastModifiedBy>
  <cp:revision>2</cp:revision>
  <cp:lastPrinted>2017-04-11T14:14:00Z</cp:lastPrinted>
  <dcterms:created xsi:type="dcterms:W3CDTF">2017-06-05T18:29:00Z</dcterms:created>
  <dcterms:modified xsi:type="dcterms:W3CDTF">2017-06-05T18:29:00Z</dcterms:modified>
</cp:coreProperties>
</file>